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C62F6" w14:textId="77777777" w:rsidR="00FF1184" w:rsidRPr="006143D1" w:rsidRDefault="00FF1184" w:rsidP="00FF1184">
      <w:pPr>
        <w:pStyle w:val="Heading1"/>
        <w:jc w:val="center"/>
        <w:rPr>
          <w:rFonts w:ascii="Arial" w:hAnsi="Arial" w:cs="Arial"/>
          <w:b/>
          <w:color w:val="auto"/>
          <w:sz w:val="24"/>
          <w:szCs w:val="24"/>
        </w:rPr>
      </w:pPr>
      <w:r w:rsidRPr="006143D1">
        <w:rPr>
          <w:rFonts w:ascii="Arial" w:hAnsi="Arial" w:cs="Arial"/>
          <w:b/>
          <w:color w:val="auto"/>
          <w:sz w:val="24"/>
          <w:szCs w:val="24"/>
        </w:rPr>
        <w:t>Sveučilište u Zagrebu</w:t>
      </w:r>
    </w:p>
    <w:p w14:paraId="21CD309D" w14:textId="77777777" w:rsidR="004F1C7F" w:rsidRDefault="00FF1184" w:rsidP="004F1C7F">
      <w:pPr>
        <w:pStyle w:val="Heading1"/>
        <w:jc w:val="center"/>
        <w:rPr>
          <w:rFonts w:ascii="Arial" w:hAnsi="Arial" w:cs="Arial"/>
          <w:b/>
          <w:color w:val="auto"/>
          <w:sz w:val="24"/>
          <w:szCs w:val="24"/>
        </w:rPr>
      </w:pPr>
      <w:r w:rsidRPr="006143D1">
        <w:rPr>
          <w:rFonts w:ascii="Arial" w:hAnsi="Arial" w:cs="Arial"/>
          <w:b/>
          <w:color w:val="auto"/>
          <w:sz w:val="24"/>
          <w:szCs w:val="24"/>
        </w:rPr>
        <w:t>Medicinski fakultet</w:t>
      </w:r>
    </w:p>
    <w:p w14:paraId="57CEC82F" w14:textId="77777777" w:rsidR="004F1C7F" w:rsidRDefault="004F1C7F" w:rsidP="004F1C7F">
      <w:pPr>
        <w:rPr>
          <w:lang w:eastAsia="en-US" w:bidi="ar-SA"/>
        </w:rPr>
      </w:pPr>
    </w:p>
    <w:p w14:paraId="32E28D8D" w14:textId="77777777" w:rsidR="004F1C7F" w:rsidRDefault="004F1C7F" w:rsidP="004F1C7F">
      <w:pPr>
        <w:rPr>
          <w:lang w:eastAsia="en-US" w:bidi="ar-SA"/>
        </w:rPr>
      </w:pPr>
    </w:p>
    <w:p w14:paraId="385D2D8B" w14:textId="77777777" w:rsidR="004F1C7F" w:rsidRDefault="004F1C7F" w:rsidP="004F1C7F">
      <w:pPr>
        <w:rPr>
          <w:lang w:eastAsia="en-US" w:bidi="ar-SA"/>
        </w:rPr>
      </w:pPr>
    </w:p>
    <w:p w14:paraId="69A906BC" w14:textId="77777777" w:rsidR="004F1C7F" w:rsidRDefault="004F1C7F" w:rsidP="004F1C7F">
      <w:pPr>
        <w:rPr>
          <w:lang w:eastAsia="en-US" w:bidi="ar-SA"/>
        </w:rPr>
      </w:pPr>
    </w:p>
    <w:p w14:paraId="147440F4" w14:textId="77777777" w:rsidR="004F1C7F" w:rsidRDefault="004F1C7F" w:rsidP="004F1C7F">
      <w:pPr>
        <w:rPr>
          <w:lang w:eastAsia="en-US" w:bidi="ar-SA"/>
        </w:rPr>
      </w:pPr>
    </w:p>
    <w:p w14:paraId="4AEC7E46" w14:textId="77777777" w:rsidR="004F1C7F" w:rsidRDefault="004F1C7F" w:rsidP="004F1C7F">
      <w:pPr>
        <w:rPr>
          <w:lang w:eastAsia="en-US" w:bidi="ar-SA"/>
        </w:rPr>
      </w:pPr>
    </w:p>
    <w:p w14:paraId="6DB50EA8" w14:textId="77777777" w:rsidR="004F1C7F" w:rsidRDefault="004F1C7F" w:rsidP="004F1C7F">
      <w:pPr>
        <w:rPr>
          <w:lang w:eastAsia="en-US" w:bidi="ar-SA"/>
        </w:rPr>
      </w:pPr>
    </w:p>
    <w:p w14:paraId="56002AF5" w14:textId="77777777" w:rsidR="004F1C7F" w:rsidRDefault="004F1C7F" w:rsidP="004F1C7F">
      <w:pPr>
        <w:rPr>
          <w:lang w:eastAsia="en-US" w:bidi="ar-SA"/>
        </w:rPr>
      </w:pPr>
    </w:p>
    <w:p w14:paraId="5F7CD072" w14:textId="77777777" w:rsidR="004F1C7F" w:rsidRDefault="004F1C7F" w:rsidP="004F1C7F">
      <w:pPr>
        <w:rPr>
          <w:lang w:eastAsia="en-US" w:bidi="ar-SA"/>
        </w:rPr>
      </w:pPr>
    </w:p>
    <w:p w14:paraId="52557E47" w14:textId="77777777" w:rsidR="004F1C7F" w:rsidRDefault="004F1C7F" w:rsidP="004F1C7F">
      <w:pPr>
        <w:rPr>
          <w:lang w:eastAsia="en-US" w:bidi="ar-SA"/>
        </w:rPr>
      </w:pPr>
    </w:p>
    <w:p w14:paraId="34DA53F8" w14:textId="77777777" w:rsidR="004F1C7F" w:rsidRDefault="004F1C7F" w:rsidP="004F1C7F">
      <w:pPr>
        <w:rPr>
          <w:lang w:eastAsia="en-US" w:bidi="ar-SA"/>
        </w:rPr>
      </w:pPr>
    </w:p>
    <w:p w14:paraId="36D41355" w14:textId="77777777" w:rsidR="004F1C7F" w:rsidRDefault="004F1C7F" w:rsidP="004F1C7F">
      <w:pPr>
        <w:rPr>
          <w:lang w:eastAsia="en-US" w:bidi="ar-SA"/>
        </w:rPr>
      </w:pPr>
    </w:p>
    <w:p w14:paraId="00F66D3D" w14:textId="77777777" w:rsidR="004F1C7F" w:rsidRDefault="004F1C7F" w:rsidP="004F1C7F">
      <w:pPr>
        <w:rPr>
          <w:lang w:eastAsia="en-US" w:bidi="ar-SA"/>
        </w:rPr>
      </w:pPr>
    </w:p>
    <w:p w14:paraId="08C969F9" w14:textId="77777777" w:rsidR="004F1C7F" w:rsidRDefault="004F1C7F" w:rsidP="004F1C7F">
      <w:pPr>
        <w:rPr>
          <w:lang w:eastAsia="en-US" w:bidi="ar-SA"/>
        </w:rPr>
      </w:pPr>
    </w:p>
    <w:p w14:paraId="31F31A66" w14:textId="77777777" w:rsidR="004F1C7F" w:rsidRDefault="004F1C7F" w:rsidP="004F1C7F">
      <w:pPr>
        <w:rPr>
          <w:lang w:eastAsia="en-US" w:bidi="ar-SA"/>
        </w:rPr>
      </w:pPr>
    </w:p>
    <w:p w14:paraId="56488F16" w14:textId="77777777" w:rsidR="004F1C7F" w:rsidRDefault="004F1C7F" w:rsidP="004F1C7F">
      <w:pPr>
        <w:rPr>
          <w:lang w:eastAsia="en-US" w:bidi="ar-SA"/>
        </w:rPr>
      </w:pPr>
    </w:p>
    <w:p w14:paraId="38A620E3" w14:textId="77777777" w:rsidR="004F1C7F" w:rsidRPr="004F1C7F" w:rsidRDefault="004F1C7F" w:rsidP="004F1C7F">
      <w:pPr>
        <w:rPr>
          <w:lang w:eastAsia="en-US" w:bidi="ar-SA"/>
        </w:rPr>
      </w:pPr>
    </w:p>
    <w:p w14:paraId="5848772F" w14:textId="77777777" w:rsidR="00FF1184" w:rsidRPr="006143D1" w:rsidRDefault="00FF1184" w:rsidP="00FF1184">
      <w:pPr>
        <w:pStyle w:val="Heading1"/>
        <w:jc w:val="center"/>
        <w:rPr>
          <w:rFonts w:ascii="Arial" w:hAnsi="Arial" w:cs="Arial"/>
          <w:b/>
          <w:color w:val="auto"/>
          <w:sz w:val="24"/>
          <w:szCs w:val="24"/>
        </w:rPr>
      </w:pPr>
      <w:r>
        <w:rPr>
          <w:rFonts w:ascii="Arial" w:hAnsi="Arial" w:cs="Arial"/>
          <w:b/>
          <w:color w:val="auto"/>
          <w:sz w:val="24"/>
          <w:szCs w:val="24"/>
        </w:rPr>
        <w:t>Ante Vidović</w:t>
      </w:r>
    </w:p>
    <w:p w14:paraId="6F11344B" w14:textId="77777777" w:rsidR="00FF1184" w:rsidRPr="006143D1" w:rsidRDefault="00FF1184" w:rsidP="004F1C7F">
      <w:pPr>
        <w:pStyle w:val="Heading1"/>
        <w:jc w:val="center"/>
        <w:rPr>
          <w:rFonts w:ascii="Arial" w:hAnsi="Arial" w:cs="Arial"/>
          <w:b/>
          <w:color w:val="auto"/>
          <w:sz w:val="24"/>
          <w:szCs w:val="24"/>
        </w:rPr>
      </w:pPr>
      <w:r>
        <w:rPr>
          <w:rFonts w:ascii="Arial" w:hAnsi="Arial" w:cs="Arial"/>
          <w:b/>
          <w:color w:val="auto"/>
          <w:sz w:val="24"/>
          <w:szCs w:val="24"/>
        </w:rPr>
        <w:t>UTJECAJ KOŽNIH MANIFESTACIJA NA KLINIČKE ZNAČAJKE U IgA VASKULITISU</w:t>
      </w:r>
    </w:p>
    <w:p w14:paraId="02100282" w14:textId="77777777" w:rsidR="00FF1184" w:rsidRPr="006143D1" w:rsidRDefault="00FF1184" w:rsidP="00FF1184">
      <w:pPr>
        <w:pStyle w:val="Heading1"/>
        <w:jc w:val="center"/>
        <w:rPr>
          <w:rFonts w:ascii="Arial" w:hAnsi="Arial" w:cs="Arial"/>
          <w:b/>
          <w:color w:val="auto"/>
          <w:sz w:val="24"/>
          <w:szCs w:val="24"/>
        </w:rPr>
      </w:pPr>
    </w:p>
    <w:p w14:paraId="3B3CE003" w14:textId="77777777" w:rsidR="00FF1184" w:rsidRDefault="00FF1184" w:rsidP="00FF1184">
      <w:pPr>
        <w:rPr>
          <w:rFonts w:ascii="Arial" w:eastAsiaTheme="majorEastAsia" w:hAnsi="Arial" w:cs="Arial"/>
          <w:b/>
          <w:kern w:val="0"/>
          <w:lang w:eastAsia="en-US" w:bidi="ar-SA"/>
        </w:rPr>
      </w:pPr>
    </w:p>
    <w:p w14:paraId="296AA211" w14:textId="77777777" w:rsidR="00FF1184" w:rsidRDefault="00FF1184" w:rsidP="00FF1184">
      <w:pPr>
        <w:rPr>
          <w:rFonts w:ascii="Arial" w:eastAsiaTheme="majorEastAsia" w:hAnsi="Arial" w:cs="Arial"/>
          <w:b/>
          <w:kern w:val="0"/>
          <w:lang w:eastAsia="en-US" w:bidi="ar-SA"/>
        </w:rPr>
      </w:pPr>
    </w:p>
    <w:p w14:paraId="7AD841E2" w14:textId="77777777" w:rsidR="004F1C7F" w:rsidRDefault="004F1C7F" w:rsidP="00FF1184">
      <w:pPr>
        <w:rPr>
          <w:rFonts w:ascii="Arial" w:eastAsiaTheme="majorEastAsia" w:hAnsi="Arial" w:cs="Arial"/>
          <w:b/>
          <w:kern w:val="0"/>
          <w:lang w:eastAsia="en-US" w:bidi="ar-SA"/>
        </w:rPr>
      </w:pPr>
    </w:p>
    <w:p w14:paraId="556487E4" w14:textId="77777777" w:rsidR="00FF1184" w:rsidRDefault="00FF1184" w:rsidP="00FF1184">
      <w:pPr>
        <w:rPr>
          <w:rFonts w:ascii="Arial" w:eastAsiaTheme="majorEastAsia" w:hAnsi="Arial" w:cs="Arial"/>
          <w:b/>
          <w:kern w:val="0"/>
          <w:lang w:eastAsia="en-US" w:bidi="ar-SA"/>
        </w:rPr>
      </w:pPr>
    </w:p>
    <w:p w14:paraId="0CBE1B5C" w14:textId="77777777" w:rsidR="00FF1184" w:rsidRDefault="00FF1184" w:rsidP="00FF1184">
      <w:pPr>
        <w:rPr>
          <w:rFonts w:ascii="Arial" w:eastAsiaTheme="majorEastAsia" w:hAnsi="Arial" w:cs="Arial"/>
          <w:b/>
          <w:kern w:val="0"/>
          <w:lang w:eastAsia="en-US" w:bidi="ar-SA"/>
        </w:rPr>
      </w:pPr>
    </w:p>
    <w:p w14:paraId="742C509E" w14:textId="77777777" w:rsidR="00FF1184" w:rsidRDefault="00FF1184" w:rsidP="00FF1184">
      <w:pPr>
        <w:rPr>
          <w:rFonts w:ascii="Arial" w:eastAsiaTheme="majorEastAsia" w:hAnsi="Arial" w:cs="Arial"/>
          <w:b/>
          <w:kern w:val="0"/>
          <w:lang w:eastAsia="en-US" w:bidi="ar-SA"/>
        </w:rPr>
      </w:pPr>
    </w:p>
    <w:p w14:paraId="631DA014" w14:textId="77777777" w:rsidR="00104A30" w:rsidRDefault="00104A30" w:rsidP="00FF1184">
      <w:pPr>
        <w:rPr>
          <w:rFonts w:ascii="Arial" w:eastAsiaTheme="majorEastAsia" w:hAnsi="Arial" w:cs="Arial"/>
          <w:b/>
          <w:kern w:val="0"/>
          <w:lang w:eastAsia="en-US" w:bidi="ar-SA"/>
        </w:rPr>
      </w:pPr>
    </w:p>
    <w:p w14:paraId="029301A7" w14:textId="77777777" w:rsidR="00FF1184" w:rsidRDefault="00FF1184" w:rsidP="00FF1184">
      <w:pPr>
        <w:rPr>
          <w:lang w:eastAsia="en-US" w:bidi="ar-SA"/>
        </w:rPr>
      </w:pPr>
    </w:p>
    <w:p w14:paraId="5CB303BC" w14:textId="77777777" w:rsidR="004F1C7F" w:rsidRDefault="004F1C7F" w:rsidP="00FF1184">
      <w:pPr>
        <w:rPr>
          <w:lang w:eastAsia="en-US" w:bidi="ar-SA"/>
        </w:rPr>
      </w:pPr>
    </w:p>
    <w:p w14:paraId="5AA3399C" w14:textId="77777777" w:rsidR="004F1C7F" w:rsidRDefault="004F1C7F" w:rsidP="00FF1184">
      <w:pPr>
        <w:rPr>
          <w:lang w:eastAsia="en-US" w:bidi="ar-SA"/>
        </w:rPr>
      </w:pPr>
    </w:p>
    <w:p w14:paraId="42E5FF3F" w14:textId="77777777" w:rsidR="00FF1184" w:rsidRDefault="00FF1184" w:rsidP="00FF1184">
      <w:pPr>
        <w:rPr>
          <w:lang w:eastAsia="en-US" w:bidi="ar-SA"/>
        </w:rPr>
      </w:pPr>
    </w:p>
    <w:p w14:paraId="0C7DEB1B" w14:textId="77777777" w:rsidR="00FF1184" w:rsidRPr="00FF1184" w:rsidRDefault="00FF1184" w:rsidP="00FF1184">
      <w:pPr>
        <w:rPr>
          <w:lang w:eastAsia="en-US" w:bidi="ar-SA"/>
        </w:rPr>
      </w:pPr>
    </w:p>
    <w:p w14:paraId="55B12EC4" w14:textId="77777777" w:rsidR="00FF1184" w:rsidRPr="00104A30" w:rsidRDefault="00FF1184" w:rsidP="00104A30">
      <w:pPr>
        <w:jc w:val="center"/>
        <w:rPr>
          <w:rFonts w:ascii="Arial" w:hAnsi="Arial" w:cs="Arial"/>
          <w:b/>
          <w:lang w:eastAsia="en-US" w:bidi="ar-SA"/>
        </w:rPr>
      </w:pPr>
      <w:r>
        <w:rPr>
          <w:rFonts w:ascii="Arial" w:hAnsi="Arial" w:cs="Arial"/>
          <w:b/>
          <w:lang w:eastAsia="en-US" w:bidi="ar-SA"/>
        </w:rPr>
        <w:t>Zagreb, 2022.</w:t>
      </w:r>
    </w:p>
    <w:p w14:paraId="095C0BBE" w14:textId="77777777" w:rsidR="00FF1184" w:rsidRPr="00FF1184" w:rsidRDefault="00FF1184" w:rsidP="00FF1184">
      <w:pPr>
        <w:spacing w:after="200" w:line="360" w:lineRule="auto"/>
        <w:jc w:val="both"/>
        <w:rPr>
          <w:rFonts w:ascii="Arial" w:hAnsi="Arial" w:cs="Arial"/>
          <w:b/>
          <w:bCs/>
          <w:sz w:val="22"/>
          <w:szCs w:val="22"/>
        </w:rPr>
      </w:pPr>
    </w:p>
    <w:p w14:paraId="2B3B3923" w14:textId="77777777" w:rsidR="00FF1184" w:rsidRPr="00FF1184" w:rsidRDefault="00FF1184" w:rsidP="00FF1184">
      <w:pPr>
        <w:spacing w:after="200" w:line="360" w:lineRule="auto"/>
        <w:jc w:val="both"/>
        <w:rPr>
          <w:rFonts w:ascii="Arial" w:hAnsi="Arial" w:cs="Arial"/>
          <w:b/>
          <w:bCs/>
          <w:sz w:val="22"/>
          <w:szCs w:val="22"/>
        </w:rPr>
      </w:pPr>
    </w:p>
    <w:p w14:paraId="1A0BC7A3" w14:textId="77777777" w:rsidR="00FF1184" w:rsidRPr="00FF1184" w:rsidRDefault="00FF1184" w:rsidP="00FF1184">
      <w:pPr>
        <w:spacing w:after="200" w:line="360" w:lineRule="auto"/>
        <w:jc w:val="both"/>
        <w:rPr>
          <w:rFonts w:ascii="Arial" w:hAnsi="Arial" w:cs="Arial"/>
          <w:b/>
          <w:bCs/>
          <w:sz w:val="22"/>
          <w:szCs w:val="22"/>
        </w:rPr>
      </w:pPr>
    </w:p>
    <w:p w14:paraId="50F67C79" w14:textId="77777777" w:rsidR="00FF1184" w:rsidRPr="00FF1184" w:rsidRDefault="00FF1184" w:rsidP="00FF1184">
      <w:pPr>
        <w:spacing w:after="200" w:line="360" w:lineRule="auto"/>
        <w:jc w:val="both"/>
        <w:rPr>
          <w:rFonts w:ascii="Arial" w:hAnsi="Arial" w:cs="Arial"/>
          <w:b/>
          <w:bCs/>
          <w:sz w:val="22"/>
          <w:szCs w:val="22"/>
        </w:rPr>
      </w:pPr>
    </w:p>
    <w:p w14:paraId="1B121A02" w14:textId="77777777" w:rsidR="00FF1184" w:rsidRPr="00FF1184" w:rsidRDefault="00FF1184" w:rsidP="00FF1184">
      <w:pPr>
        <w:spacing w:after="200" w:line="360" w:lineRule="auto"/>
        <w:jc w:val="both"/>
        <w:rPr>
          <w:rFonts w:ascii="Arial" w:hAnsi="Arial" w:cs="Arial"/>
          <w:b/>
          <w:bCs/>
          <w:sz w:val="22"/>
          <w:szCs w:val="22"/>
        </w:rPr>
      </w:pPr>
    </w:p>
    <w:p w14:paraId="207C6F5B" w14:textId="77777777" w:rsidR="00FF1184" w:rsidRPr="00FF1184" w:rsidRDefault="00FF1184" w:rsidP="00FF1184">
      <w:pPr>
        <w:spacing w:after="200" w:line="360" w:lineRule="auto"/>
        <w:jc w:val="both"/>
        <w:rPr>
          <w:rFonts w:ascii="Arial" w:hAnsi="Arial" w:cs="Arial"/>
          <w:b/>
          <w:bCs/>
          <w:sz w:val="22"/>
          <w:szCs w:val="22"/>
        </w:rPr>
      </w:pPr>
    </w:p>
    <w:p w14:paraId="60C8CB7A" w14:textId="77777777" w:rsidR="00FF1184" w:rsidRPr="00FF1184" w:rsidRDefault="00FF1184" w:rsidP="00FF1184">
      <w:pPr>
        <w:spacing w:after="200" w:line="360" w:lineRule="auto"/>
        <w:jc w:val="both"/>
        <w:rPr>
          <w:rFonts w:ascii="Arial" w:hAnsi="Arial" w:cs="Arial"/>
          <w:b/>
          <w:bCs/>
          <w:sz w:val="22"/>
          <w:szCs w:val="22"/>
        </w:rPr>
      </w:pPr>
    </w:p>
    <w:p w14:paraId="1232E3DC" w14:textId="77777777" w:rsidR="00FF1184" w:rsidRPr="00916185" w:rsidRDefault="00FF1184" w:rsidP="00FF1184">
      <w:pPr>
        <w:spacing w:after="200" w:line="360" w:lineRule="auto"/>
        <w:jc w:val="both"/>
        <w:rPr>
          <w:rFonts w:ascii="Arial" w:hAnsi="Arial" w:cs="Arial"/>
          <w:b/>
          <w:bCs/>
          <w:szCs w:val="22"/>
        </w:rPr>
      </w:pPr>
    </w:p>
    <w:p w14:paraId="455C2EE9" w14:textId="77777777" w:rsidR="00916185" w:rsidRPr="00916185" w:rsidRDefault="00916185" w:rsidP="00916185">
      <w:pPr>
        <w:spacing w:line="360" w:lineRule="auto"/>
        <w:jc w:val="both"/>
        <w:rPr>
          <w:rFonts w:ascii="Arial" w:hAnsi="Arial" w:cs="Arial"/>
          <w:sz w:val="22"/>
          <w:szCs w:val="20"/>
        </w:rPr>
      </w:pPr>
      <w:r w:rsidRPr="00916185">
        <w:rPr>
          <w:rFonts w:ascii="Arial" w:hAnsi="Arial" w:cs="Arial"/>
          <w:sz w:val="22"/>
          <w:szCs w:val="20"/>
        </w:rPr>
        <w:t xml:space="preserve">Ovaj rad izrađen je na Zavodu za kliničku imunologiju, reumatologiju i alergologiju Klinike za pedijatriju Kliničkog bolničkog centra Zagreb, Referentnom centru za pedijatrijsku i adolescentnu reumatologiju Ministarstva zdravstva Republike Hrvatske, pod mentorskim vodstvom </w:t>
      </w:r>
      <w:r>
        <w:rPr>
          <w:rFonts w:ascii="Arial" w:hAnsi="Arial" w:cs="Arial"/>
          <w:sz w:val="22"/>
          <w:szCs w:val="20"/>
        </w:rPr>
        <w:t>prof. dr. sc. Marije Jelušić Dražić</w:t>
      </w:r>
      <w:r w:rsidR="00FC12C0">
        <w:rPr>
          <w:rFonts w:ascii="Arial" w:hAnsi="Arial" w:cs="Arial"/>
          <w:sz w:val="22"/>
          <w:szCs w:val="20"/>
        </w:rPr>
        <w:t xml:space="preserve"> u sklopu znanstvenog projekta</w:t>
      </w:r>
      <w:r w:rsidR="00FC12C0">
        <w:rPr>
          <w:rFonts w:ascii="Arial" w:hAnsi="Arial" w:cs="Arial"/>
          <w:sz w:val="22"/>
          <w:szCs w:val="20"/>
          <w:lang w:val="en-GB"/>
        </w:rPr>
        <w:t xml:space="preserve"> “</w:t>
      </w:r>
      <w:proofErr w:type="spellStart"/>
      <w:r w:rsidR="00FC12C0" w:rsidRPr="007F5A00">
        <w:rPr>
          <w:rFonts w:ascii="Arial" w:hAnsi="Arial" w:cs="Arial"/>
          <w:b/>
          <w:sz w:val="22"/>
          <w:szCs w:val="20"/>
          <w:lang w:val="en-GB"/>
        </w:rPr>
        <w:t>Histološki</w:t>
      </w:r>
      <w:proofErr w:type="spellEnd"/>
      <w:r w:rsidR="00FC12C0" w:rsidRPr="007F5A00">
        <w:rPr>
          <w:rFonts w:ascii="Arial" w:hAnsi="Arial" w:cs="Arial"/>
          <w:b/>
          <w:sz w:val="22"/>
          <w:szCs w:val="20"/>
          <w:lang w:val="en-GB"/>
        </w:rPr>
        <w:t xml:space="preserve">, </w:t>
      </w:r>
      <w:proofErr w:type="spellStart"/>
      <w:r w:rsidR="00FC12C0" w:rsidRPr="007F5A00">
        <w:rPr>
          <w:rFonts w:ascii="Arial" w:hAnsi="Arial" w:cs="Arial"/>
          <w:b/>
          <w:sz w:val="22"/>
          <w:szCs w:val="20"/>
          <w:lang w:val="en-GB"/>
        </w:rPr>
        <w:t>klinički</w:t>
      </w:r>
      <w:proofErr w:type="spellEnd"/>
      <w:r w:rsidR="00FC12C0" w:rsidRPr="007F5A00">
        <w:rPr>
          <w:rFonts w:ascii="Arial" w:hAnsi="Arial" w:cs="Arial"/>
          <w:b/>
          <w:sz w:val="22"/>
          <w:szCs w:val="20"/>
          <w:lang w:val="en-GB"/>
        </w:rPr>
        <w:t xml:space="preserve">, </w:t>
      </w:r>
      <w:proofErr w:type="spellStart"/>
      <w:r w:rsidR="00FC12C0" w:rsidRPr="007F5A00">
        <w:rPr>
          <w:rFonts w:ascii="Arial" w:hAnsi="Arial" w:cs="Arial"/>
          <w:b/>
          <w:sz w:val="22"/>
          <w:szCs w:val="20"/>
          <w:lang w:val="en-GB"/>
        </w:rPr>
        <w:t>laboratorijski</w:t>
      </w:r>
      <w:proofErr w:type="spellEnd"/>
      <w:r w:rsidR="00FC12C0" w:rsidRPr="007F5A00">
        <w:rPr>
          <w:rFonts w:ascii="Arial" w:hAnsi="Arial" w:cs="Arial"/>
          <w:b/>
          <w:sz w:val="22"/>
          <w:szCs w:val="20"/>
          <w:lang w:val="en-GB"/>
        </w:rPr>
        <w:t xml:space="preserve"> i </w:t>
      </w:r>
      <w:proofErr w:type="spellStart"/>
      <w:r w:rsidR="00FC12C0" w:rsidRPr="007F5A00">
        <w:rPr>
          <w:rFonts w:ascii="Arial" w:hAnsi="Arial" w:cs="Arial"/>
          <w:b/>
          <w:sz w:val="22"/>
          <w:szCs w:val="20"/>
          <w:lang w:val="en-GB"/>
        </w:rPr>
        <w:t>genski</w:t>
      </w:r>
      <w:proofErr w:type="spellEnd"/>
      <w:r w:rsidR="00FC12C0" w:rsidRPr="007F5A00">
        <w:rPr>
          <w:rFonts w:ascii="Arial" w:hAnsi="Arial" w:cs="Arial"/>
          <w:b/>
          <w:sz w:val="22"/>
          <w:szCs w:val="20"/>
          <w:lang w:val="en-GB"/>
        </w:rPr>
        <w:t xml:space="preserve"> </w:t>
      </w:r>
      <w:proofErr w:type="spellStart"/>
      <w:r w:rsidR="00FC12C0" w:rsidRPr="007F5A00">
        <w:rPr>
          <w:rFonts w:ascii="Arial" w:hAnsi="Arial" w:cs="Arial"/>
          <w:b/>
          <w:sz w:val="22"/>
          <w:szCs w:val="20"/>
          <w:lang w:val="en-GB"/>
        </w:rPr>
        <w:t>prediktori</w:t>
      </w:r>
      <w:proofErr w:type="spellEnd"/>
      <w:r w:rsidR="00FC12C0" w:rsidRPr="007F5A00">
        <w:rPr>
          <w:rFonts w:ascii="Arial" w:hAnsi="Arial" w:cs="Arial"/>
          <w:b/>
          <w:sz w:val="22"/>
          <w:szCs w:val="20"/>
          <w:lang w:val="en-GB"/>
        </w:rPr>
        <w:t xml:space="preserve"> </w:t>
      </w:r>
      <w:proofErr w:type="spellStart"/>
      <w:r w:rsidR="00FC12C0" w:rsidRPr="007F5A00">
        <w:rPr>
          <w:rFonts w:ascii="Arial" w:hAnsi="Arial" w:cs="Arial"/>
          <w:b/>
          <w:sz w:val="22"/>
          <w:szCs w:val="20"/>
          <w:lang w:val="en-GB"/>
        </w:rPr>
        <w:t>ishoda</w:t>
      </w:r>
      <w:proofErr w:type="spellEnd"/>
      <w:r w:rsidR="00FC12C0" w:rsidRPr="007F5A00">
        <w:rPr>
          <w:rFonts w:ascii="Arial" w:hAnsi="Arial" w:cs="Arial"/>
          <w:b/>
          <w:sz w:val="22"/>
          <w:szCs w:val="20"/>
          <w:lang w:val="en-GB"/>
        </w:rPr>
        <w:t xml:space="preserve"> </w:t>
      </w:r>
      <w:proofErr w:type="spellStart"/>
      <w:r w:rsidR="00FC12C0" w:rsidRPr="007F5A00">
        <w:rPr>
          <w:rFonts w:ascii="Arial" w:hAnsi="Arial" w:cs="Arial"/>
          <w:b/>
          <w:sz w:val="22"/>
          <w:szCs w:val="20"/>
          <w:lang w:val="en-GB"/>
        </w:rPr>
        <w:t>bolesnika</w:t>
      </w:r>
      <w:proofErr w:type="spellEnd"/>
      <w:r w:rsidR="00FC12C0" w:rsidRPr="007F5A00">
        <w:rPr>
          <w:rFonts w:ascii="Arial" w:hAnsi="Arial" w:cs="Arial"/>
          <w:b/>
          <w:sz w:val="22"/>
          <w:szCs w:val="20"/>
          <w:lang w:val="en-GB"/>
        </w:rPr>
        <w:t xml:space="preserve"> s </w:t>
      </w:r>
      <w:proofErr w:type="spellStart"/>
      <w:r w:rsidR="00FC12C0" w:rsidRPr="007F5A00">
        <w:rPr>
          <w:rFonts w:ascii="Arial" w:hAnsi="Arial" w:cs="Arial"/>
          <w:b/>
          <w:sz w:val="22"/>
          <w:szCs w:val="20"/>
          <w:lang w:val="en-GB"/>
        </w:rPr>
        <w:t>Henoch-Schönleinovom</w:t>
      </w:r>
      <w:proofErr w:type="spellEnd"/>
      <w:r w:rsidR="00FC12C0" w:rsidRPr="007F5A00">
        <w:rPr>
          <w:rFonts w:ascii="Arial" w:hAnsi="Arial" w:cs="Arial"/>
          <w:b/>
          <w:sz w:val="22"/>
          <w:szCs w:val="20"/>
          <w:lang w:val="en-GB"/>
        </w:rPr>
        <w:t xml:space="preserve"> </w:t>
      </w:r>
      <w:proofErr w:type="spellStart"/>
      <w:r w:rsidR="00FC12C0" w:rsidRPr="007F5A00">
        <w:rPr>
          <w:rFonts w:ascii="Arial" w:hAnsi="Arial" w:cs="Arial"/>
          <w:b/>
          <w:sz w:val="22"/>
          <w:szCs w:val="20"/>
          <w:lang w:val="en-GB"/>
        </w:rPr>
        <w:t>purpurom</w:t>
      </w:r>
      <w:proofErr w:type="spellEnd"/>
      <w:r w:rsidR="00FC12C0" w:rsidRPr="007F5A00">
        <w:rPr>
          <w:rFonts w:ascii="Arial" w:hAnsi="Arial" w:cs="Arial"/>
          <w:b/>
          <w:sz w:val="22"/>
          <w:szCs w:val="20"/>
          <w:lang w:val="en-GB"/>
        </w:rPr>
        <w:t xml:space="preserve"> i </w:t>
      </w:r>
      <w:proofErr w:type="spellStart"/>
      <w:r w:rsidR="00FC12C0" w:rsidRPr="007F5A00">
        <w:rPr>
          <w:rFonts w:ascii="Arial" w:hAnsi="Arial" w:cs="Arial"/>
          <w:b/>
          <w:sz w:val="22"/>
          <w:szCs w:val="20"/>
          <w:lang w:val="en-GB"/>
        </w:rPr>
        <w:t>nefritisom</w:t>
      </w:r>
      <w:proofErr w:type="spellEnd"/>
      <w:r w:rsidR="00FC12C0">
        <w:rPr>
          <w:rFonts w:ascii="Arial" w:hAnsi="Arial" w:cs="Arial"/>
          <w:sz w:val="22"/>
          <w:szCs w:val="20"/>
          <w:lang w:val="en-GB"/>
        </w:rPr>
        <w:t>” (</w:t>
      </w:r>
      <w:proofErr w:type="spellStart"/>
      <w:r w:rsidR="00FC12C0">
        <w:rPr>
          <w:rFonts w:ascii="Arial" w:hAnsi="Arial" w:cs="Arial"/>
          <w:sz w:val="22"/>
          <w:szCs w:val="20"/>
          <w:lang w:val="en-GB"/>
        </w:rPr>
        <w:t>šifra</w:t>
      </w:r>
      <w:proofErr w:type="spellEnd"/>
      <w:r w:rsidR="00FC12C0">
        <w:rPr>
          <w:rFonts w:ascii="Arial" w:hAnsi="Arial" w:cs="Arial"/>
          <w:sz w:val="22"/>
          <w:szCs w:val="20"/>
          <w:lang w:val="en-GB"/>
        </w:rPr>
        <w:t xml:space="preserve"> </w:t>
      </w:r>
      <w:proofErr w:type="spellStart"/>
      <w:r w:rsidR="00FC12C0">
        <w:rPr>
          <w:rFonts w:ascii="Arial" w:hAnsi="Arial" w:cs="Arial"/>
          <w:sz w:val="22"/>
          <w:szCs w:val="20"/>
          <w:lang w:val="en-GB"/>
        </w:rPr>
        <w:t>projekta</w:t>
      </w:r>
      <w:proofErr w:type="spellEnd"/>
      <w:r w:rsidR="00FC12C0">
        <w:rPr>
          <w:rFonts w:ascii="Arial" w:hAnsi="Arial" w:cs="Arial"/>
          <w:sz w:val="22"/>
          <w:szCs w:val="20"/>
          <w:lang w:val="en-GB"/>
        </w:rPr>
        <w:t xml:space="preserve"> HRZZ-IP-2019-04-8822, </w:t>
      </w:r>
      <w:proofErr w:type="spellStart"/>
      <w:r w:rsidR="00FC12C0">
        <w:rPr>
          <w:rFonts w:ascii="Arial" w:hAnsi="Arial" w:cs="Arial"/>
          <w:sz w:val="22"/>
          <w:szCs w:val="20"/>
          <w:lang w:val="en-GB"/>
        </w:rPr>
        <w:t>voditeljica</w:t>
      </w:r>
      <w:proofErr w:type="spellEnd"/>
      <w:r w:rsidR="00FC12C0">
        <w:rPr>
          <w:rFonts w:ascii="Arial" w:hAnsi="Arial" w:cs="Arial"/>
          <w:sz w:val="22"/>
          <w:szCs w:val="20"/>
          <w:lang w:val="en-GB"/>
        </w:rPr>
        <w:t xml:space="preserve"> </w:t>
      </w:r>
      <w:proofErr w:type="spellStart"/>
      <w:r w:rsidR="00FC12C0">
        <w:rPr>
          <w:rFonts w:ascii="Arial" w:hAnsi="Arial" w:cs="Arial"/>
          <w:sz w:val="22"/>
          <w:szCs w:val="20"/>
          <w:lang w:val="en-GB"/>
        </w:rPr>
        <w:t>projekta</w:t>
      </w:r>
      <w:proofErr w:type="spellEnd"/>
      <w:r w:rsidR="00FC12C0">
        <w:rPr>
          <w:rFonts w:ascii="Arial" w:hAnsi="Arial" w:cs="Arial"/>
          <w:sz w:val="22"/>
          <w:szCs w:val="20"/>
          <w:lang w:val="en-GB"/>
        </w:rPr>
        <w:t xml:space="preserve">: prof. dr. sc. </w:t>
      </w:r>
      <w:proofErr w:type="spellStart"/>
      <w:r w:rsidR="00FC12C0">
        <w:rPr>
          <w:rFonts w:ascii="Arial" w:hAnsi="Arial" w:cs="Arial"/>
          <w:sz w:val="22"/>
          <w:szCs w:val="20"/>
          <w:lang w:val="en-GB"/>
        </w:rPr>
        <w:t>Marija</w:t>
      </w:r>
      <w:proofErr w:type="spellEnd"/>
      <w:r w:rsidR="00FC12C0">
        <w:rPr>
          <w:rFonts w:ascii="Arial" w:hAnsi="Arial" w:cs="Arial"/>
          <w:sz w:val="22"/>
          <w:szCs w:val="20"/>
          <w:lang w:val="en-GB"/>
        </w:rPr>
        <w:t xml:space="preserve"> </w:t>
      </w:r>
      <w:proofErr w:type="spellStart"/>
      <w:r w:rsidR="00FC12C0">
        <w:rPr>
          <w:rFonts w:ascii="Arial" w:hAnsi="Arial" w:cs="Arial"/>
          <w:sz w:val="22"/>
          <w:szCs w:val="20"/>
          <w:lang w:val="en-GB"/>
        </w:rPr>
        <w:t>Jelušić</w:t>
      </w:r>
      <w:proofErr w:type="spellEnd"/>
      <w:r w:rsidR="00FC12C0">
        <w:rPr>
          <w:rFonts w:ascii="Arial" w:hAnsi="Arial" w:cs="Arial"/>
          <w:sz w:val="22"/>
          <w:szCs w:val="20"/>
          <w:lang w:val="en-GB"/>
        </w:rPr>
        <w:t xml:space="preserve"> </w:t>
      </w:r>
      <w:proofErr w:type="spellStart"/>
      <w:r w:rsidR="00FC12C0">
        <w:rPr>
          <w:rFonts w:ascii="Arial" w:hAnsi="Arial" w:cs="Arial"/>
          <w:sz w:val="22"/>
          <w:szCs w:val="20"/>
          <w:lang w:val="en-GB"/>
        </w:rPr>
        <w:t>Dražić</w:t>
      </w:r>
      <w:proofErr w:type="spellEnd"/>
      <w:r w:rsidR="00FC12C0">
        <w:rPr>
          <w:rFonts w:ascii="Arial" w:hAnsi="Arial" w:cs="Arial"/>
          <w:sz w:val="22"/>
          <w:szCs w:val="20"/>
          <w:lang w:val="en-GB"/>
        </w:rPr>
        <w:t xml:space="preserve">) </w:t>
      </w:r>
      <w:r w:rsidRPr="00916185">
        <w:rPr>
          <w:rFonts w:ascii="Arial" w:hAnsi="Arial" w:cs="Arial"/>
          <w:sz w:val="22"/>
          <w:szCs w:val="20"/>
          <w:lang w:val="en-GB"/>
        </w:rPr>
        <w:t xml:space="preserve">i </w:t>
      </w:r>
      <w:r w:rsidRPr="00916185">
        <w:rPr>
          <w:rFonts w:ascii="Arial" w:hAnsi="Arial" w:cs="Arial"/>
          <w:sz w:val="22"/>
          <w:szCs w:val="20"/>
        </w:rPr>
        <w:t xml:space="preserve">predan je na natječaj za dodjelu Rektorove nagrade u </w:t>
      </w:r>
      <w:r>
        <w:rPr>
          <w:rFonts w:ascii="Arial" w:hAnsi="Arial" w:cs="Arial"/>
          <w:sz w:val="22"/>
          <w:szCs w:val="20"/>
        </w:rPr>
        <w:t>akademskoj godini 2021</w:t>
      </w:r>
      <w:proofErr w:type="gramStart"/>
      <w:r>
        <w:rPr>
          <w:rFonts w:ascii="Arial" w:hAnsi="Arial" w:cs="Arial"/>
          <w:sz w:val="22"/>
          <w:szCs w:val="20"/>
        </w:rPr>
        <w:t>./</w:t>
      </w:r>
      <w:proofErr w:type="gramEnd"/>
      <w:r>
        <w:rPr>
          <w:rFonts w:ascii="Arial" w:hAnsi="Arial" w:cs="Arial"/>
          <w:sz w:val="22"/>
          <w:szCs w:val="20"/>
        </w:rPr>
        <w:t>2022</w:t>
      </w:r>
      <w:r w:rsidRPr="00916185">
        <w:rPr>
          <w:rFonts w:ascii="Arial" w:hAnsi="Arial" w:cs="Arial"/>
          <w:sz w:val="22"/>
          <w:szCs w:val="20"/>
        </w:rPr>
        <w:t>.</w:t>
      </w:r>
    </w:p>
    <w:p w14:paraId="7C807F20" w14:textId="77777777" w:rsidR="00916185" w:rsidRDefault="00916185" w:rsidP="00FF1184">
      <w:pPr>
        <w:spacing w:after="200" w:line="360" w:lineRule="auto"/>
        <w:jc w:val="both"/>
        <w:rPr>
          <w:rFonts w:ascii="Arial" w:hAnsi="Arial" w:cs="Arial"/>
          <w:sz w:val="20"/>
          <w:szCs w:val="20"/>
        </w:rPr>
      </w:pPr>
    </w:p>
    <w:p w14:paraId="6899F0B3" w14:textId="77777777" w:rsidR="00FC12C0" w:rsidRDefault="00FC12C0" w:rsidP="00FF1184">
      <w:pPr>
        <w:spacing w:after="200" w:line="360" w:lineRule="auto"/>
        <w:jc w:val="both"/>
        <w:rPr>
          <w:rFonts w:ascii="Arial" w:hAnsi="Arial" w:cs="Arial"/>
          <w:b/>
          <w:bCs/>
          <w:sz w:val="22"/>
          <w:szCs w:val="22"/>
        </w:rPr>
      </w:pPr>
    </w:p>
    <w:p w14:paraId="74B3E974" w14:textId="77777777" w:rsidR="00916185" w:rsidRDefault="00916185" w:rsidP="00FF1184">
      <w:pPr>
        <w:spacing w:after="200" w:line="360" w:lineRule="auto"/>
        <w:jc w:val="both"/>
        <w:rPr>
          <w:rFonts w:ascii="Arial" w:hAnsi="Arial" w:cs="Arial"/>
          <w:b/>
          <w:bCs/>
          <w:sz w:val="22"/>
          <w:szCs w:val="22"/>
        </w:rPr>
      </w:pPr>
    </w:p>
    <w:p w14:paraId="350FEC98" w14:textId="77777777" w:rsidR="00916185" w:rsidRDefault="00916185" w:rsidP="00FF1184">
      <w:pPr>
        <w:spacing w:after="200" w:line="360" w:lineRule="auto"/>
        <w:jc w:val="both"/>
        <w:rPr>
          <w:rFonts w:ascii="Arial" w:hAnsi="Arial" w:cs="Arial"/>
          <w:b/>
          <w:bCs/>
          <w:sz w:val="22"/>
          <w:szCs w:val="22"/>
        </w:rPr>
      </w:pPr>
    </w:p>
    <w:p w14:paraId="3EF45AF6" w14:textId="77777777" w:rsidR="00916185" w:rsidRDefault="00916185" w:rsidP="00FF1184">
      <w:pPr>
        <w:spacing w:after="200" w:line="360" w:lineRule="auto"/>
        <w:jc w:val="both"/>
        <w:rPr>
          <w:rFonts w:ascii="Arial" w:hAnsi="Arial" w:cs="Arial"/>
          <w:b/>
          <w:bCs/>
          <w:sz w:val="22"/>
          <w:szCs w:val="22"/>
        </w:rPr>
      </w:pPr>
    </w:p>
    <w:p w14:paraId="3F525DBE" w14:textId="77777777" w:rsidR="00916185" w:rsidRDefault="00916185" w:rsidP="00FF1184">
      <w:pPr>
        <w:spacing w:after="200" w:line="360" w:lineRule="auto"/>
        <w:jc w:val="both"/>
        <w:rPr>
          <w:rFonts w:ascii="Arial" w:hAnsi="Arial" w:cs="Arial"/>
          <w:b/>
          <w:bCs/>
          <w:sz w:val="22"/>
          <w:szCs w:val="22"/>
        </w:rPr>
      </w:pPr>
    </w:p>
    <w:p w14:paraId="55E31BB6" w14:textId="77777777" w:rsidR="00916185" w:rsidRDefault="00916185" w:rsidP="00FF1184">
      <w:pPr>
        <w:spacing w:after="200" w:line="360" w:lineRule="auto"/>
        <w:jc w:val="both"/>
        <w:rPr>
          <w:rFonts w:ascii="Arial" w:hAnsi="Arial" w:cs="Arial"/>
          <w:b/>
          <w:bCs/>
          <w:sz w:val="22"/>
          <w:szCs w:val="22"/>
        </w:rPr>
      </w:pPr>
    </w:p>
    <w:p w14:paraId="04AAFF38" w14:textId="77777777" w:rsidR="00916185" w:rsidRDefault="00916185" w:rsidP="00FF1184">
      <w:pPr>
        <w:spacing w:after="200" w:line="360" w:lineRule="auto"/>
        <w:jc w:val="both"/>
        <w:rPr>
          <w:rFonts w:ascii="Arial" w:hAnsi="Arial" w:cs="Arial"/>
          <w:b/>
          <w:bCs/>
          <w:sz w:val="22"/>
          <w:szCs w:val="22"/>
        </w:rPr>
      </w:pPr>
    </w:p>
    <w:p w14:paraId="2F0DC29D" w14:textId="77777777" w:rsidR="00916185" w:rsidRDefault="00916185" w:rsidP="00FF1184">
      <w:pPr>
        <w:spacing w:after="200" w:line="360" w:lineRule="auto"/>
        <w:jc w:val="both"/>
        <w:rPr>
          <w:rFonts w:ascii="Arial" w:hAnsi="Arial" w:cs="Arial"/>
          <w:b/>
          <w:bCs/>
          <w:sz w:val="22"/>
          <w:szCs w:val="22"/>
        </w:rPr>
      </w:pPr>
    </w:p>
    <w:p w14:paraId="3DEFCE83" w14:textId="77777777" w:rsidR="00916185" w:rsidRDefault="00916185" w:rsidP="00FF1184">
      <w:pPr>
        <w:spacing w:after="200" w:line="360" w:lineRule="auto"/>
        <w:jc w:val="both"/>
        <w:rPr>
          <w:rFonts w:ascii="Arial" w:hAnsi="Arial" w:cs="Arial"/>
          <w:b/>
          <w:bCs/>
          <w:sz w:val="22"/>
          <w:szCs w:val="22"/>
        </w:rPr>
      </w:pPr>
      <w:r>
        <w:rPr>
          <w:rFonts w:ascii="Arial" w:hAnsi="Arial" w:cs="Arial"/>
          <w:b/>
          <w:bCs/>
          <w:sz w:val="22"/>
          <w:szCs w:val="22"/>
        </w:rPr>
        <w:t>POPIS KRATICA</w:t>
      </w:r>
    </w:p>
    <w:p w14:paraId="33D24A63" w14:textId="77777777" w:rsidR="00916185" w:rsidRPr="00916185" w:rsidRDefault="00916185" w:rsidP="00916185">
      <w:pPr>
        <w:spacing w:after="200" w:line="360" w:lineRule="auto"/>
        <w:jc w:val="both"/>
        <w:rPr>
          <w:rFonts w:ascii="Arial" w:hAnsi="Arial" w:cs="Arial"/>
          <w:b/>
          <w:bCs/>
          <w:sz w:val="22"/>
          <w:szCs w:val="22"/>
        </w:rPr>
      </w:pPr>
      <w:r>
        <w:rPr>
          <w:rFonts w:ascii="Arial" w:hAnsi="Arial" w:cs="Arial"/>
          <w:b/>
          <w:bCs/>
          <w:sz w:val="22"/>
          <w:szCs w:val="22"/>
        </w:rPr>
        <w:t>ACE:</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angiotenzin konvertirajući enzim</w:t>
      </w:r>
    </w:p>
    <w:p w14:paraId="257C86CB" w14:textId="77777777" w:rsidR="00916185" w:rsidRPr="00916185" w:rsidRDefault="00916185" w:rsidP="00916185">
      <w:pPr>
        <w:spacing w:after="200" w:line="360" w:lineRule="auto"/>
        <w:jc w:val="both"/>
        <w:rPr>
          <w:rFonts w:ascii="Arial" w:hAnsi="Arial" w:cs="Arial"/>
          <w:b/>
          <w:bCs/>
          <w:sz w:val="22"/>
          <w:szCs w:val="22"/>
        </w:rPr>
      </w:pPr>
      <w:r>
        <w:rPr>
          <w:rFonts w:ascii="Arial" w:hAnsi="Arial" w:cs="Arial"/>
          <w:b/>
          <w:bCs/>
          <w:sz w:val="22"/>
          <w:szCs w:val="22"/>
        </w:rPr>
        <w:t>ANA:</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antinuklearna protutijela</w:t>
      </w:r>
    </w:p>
    <w:p w14:paraId="354BD085" w14:textId="77777777" w:rsidR="00916185" w:rsidRPr="00916185" w:rsidRDefault="00916185" w:rsidP="00916185">
      <w:pPr>
        <w:spacing w:after="200" w:line="360" w:lineRule="auto"/>
        <w:jc w:val="both"/>
        <w:rPr>
          <w:rFonts w:ascii="Arial" w:hAnsi="Arial" w:cs="Arial"/>
          <w:b/>
          <w:bCs/>
          <w:sz w:val="22"/>
          <w:szCs w:val="22"/>
        </w:rPr>
      </w:pPr>
      <w:r w:rsidRPr="00916185">
        <w:rPr>
          <w:rFonts w:ascii="Arial" w:hAnsi="Arial" w:cs="Arial"/>
          <w:b/>
          <w:bCs/>
          <w:sz w:val="22"/>
          <w:szCs w:val="22"/>
        </w:rPr>
        <w:t>ANCA</w:t>
      </w:r>
      <w:r>
        <w:rPr>
          <w:rFonts w:ascii="Arial" w:hAnsi="Arial" w:cs="Arial"/>
          <w:b/>
          <w:bCs/>
          <w:sz w:val="22"/>
          <w:szCs w:val="22"/>
        </w:rPr>
        <w:t>:</w:t>
      </w:r>
      <w:r w:rsidRPr="00916185">
        <w:rPr>
          <w:rFonts w:ascii="Arial" w:hAnsi="Arial" w:cs="Arial"/>
          <w:b/>
          <w:bCs/>
          <w:sz w:val="22"/>
          <w:szCs w:val="22"/>
        </w:rPr>
        <w:t xml:space="preserve">  </w:t>
      </w:r>
      <w:r w:rsidR="00341685">
        <w:rPr>
          <w:rFonts w:ascii="Arial" w:hAnsi="Arial" w:cs="Arial"/>
          <w:b/>
          <w:bCs/>
          <w:sz w:val="22"/>
          <w:szCs w:val="22"/>
        </w:rPr>
        <w:tab/>
      </w:r>
      <w:r w:rsidRPr="00916185">
        <w:rPr>
          <w:rFonts w:ascii="Arial" w:hAnsi="Arial" w:cs="Arial"/>
          <w:bCs/>
          <w:sz w:val="22"/>
          <w:szCs w:val="22"/>
        </w:rPr>
        <w:t>antineutrofilna citoplazmatska protutijela</w:t>
      </w:r>
    </w:p>
    <w:p w14:paraId="388B4FB0" w14:textId="77777777" w:rsid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APTV:</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aktivirano parcijalno tromboplastinsko vrijeme</w:t>
      </w:r>
    </w:p>
    <w:p w14:paraId="537CF6D1" w14:textId="77777777" w:rsidR="00341685" w:rsidRPr="00341685" w:rsidRDefault="00341685" w:rsidP="00916185">
      <w:pPr>
        <w:spacing w:after="200" w:line="360" w:lineRule="auto"/>
        <w:jc w:val="both"/>
        <w:rPr>
          <w:rFonts w:ascii="Arial" w:hAnsi="Arial" w:cs="Arial"/>
          <w:bCs/>
          <w:sz w:val="22"/>
          <w:szCs w:val="22"/>
        </w:rPr>
      </w:pPr>
      <w:r>
        <w:rPr>
          <w:rFonts w:ascii="Arial" w:hAnsi="Arial" w:cs="Arial"/>
          <w:b/>
          <w:bCs/>
          <w:sz w:val="22"/>
          <w:szCs w:val="22"/>
        </w:rPr>
        <w:t>ASTO:</w:t>
      </w:r>
      <w:r>
        <w:rPr>
          <w:rFonts w:ascii="Arial" w:hAnsi="Arial" w:cs="Arial"/>
          <w:b/>
          <w:bCs/>
          <w:sz w:val="22"/>
          <w:szCs w:val="22"/>
        </w:rPr>
        <w:tab/>
      </w:r>
      <w:r>
        <w:rPr>
          <w:rFonts w:ascii="Arial" w:hAnsi="Arial" w:cs="Arial"/>
          <w:b/>
          <w:bCs/>
          <w:sz w:val="22"/>
          <w:szCs w:val="22"/>
        </w:rPr>
        <w:tab/>
      </w:r>
      <w:r>
        <w:rPr>
          <w:rFonts w:ascii="Arial" w:hAnsi="Arial" w:cs="Arial"/>
          <w:bCs/>
          <w:sz w:val="22"/>
          <w:szCs w:val="22"/>
        </w:rPr>
        <w:t>antistreptolizinski O titar</w:t>
      </w:r>
    </w:p>
    <w:p w14:paraId="7C158EA2" w14:textId="77777777" w:rsid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CRP:</w:t>
      </w:r>
      <w:r w:rsidRPr="00916185">
        <w:rPr>
          <w:rFonts w:ascii="Arial" w:hAnsi="Arial" w:cs="Arial"/>
          <w:b/>
          <w:bCs/>
          <w:sz w:val="22"/>
          <w:szCs w:val="22"/>
        </w:rPr>
        <w:t xml:space="preserve"> </w:t>
      </w:r>
      <w:r w:rsidR="00341685">
        <w:rPr>
          <w:rFonts w:ascii="Arial" w:hAnsi="Arial" w:cs="Arial"/>
          <w:b/>
          <w:bCs/>
          <w:sz w:val="22"/>
          <w:szCs w:val="22"/>
        </w:rPr>
        <w:tab/>
      </w:r>
      <w:r w:rsidR="00341685">
        <w:rPr>
          <w:rFonts w:ascii="Arial" w:hAnsi="Arial" w:cs="Arial"/>
          <w:b/>
          <w:bCs/>
          <w:sz w:val="22"/>
          <w:szCs w:val="22"/>
        </w:rPr>
        <w:tab/>
      </w:r>
      <w:r w:rsidRPr="00916185">
        <w:rPr>
          <w:rFonts w:ascii="Arial" w:hAnsi="Arial" w:cs="Arial"/>
          <w:bCs/>
          <w:sz w:val="22"/>
          <w:szCs w:val="22"/>
        </w:rPr>
        <w:t>C-reaktivni protein</w:t>
      </w:r>
    </w:p>
    <w:p w14:paraId="620DCD78" w14:textId="77777777" w:rsidR="00341685" w:rsidRPr="00341685" w:rsidRDefault="00341685" w:rsidP="00916185">
      <w:pPr>
        <w:spacing w:after="200" w:line="360" w:lineRule="auto"/>
        <w:jc w:val="both"/>
        <w:rPr>
          <w:rFonts w:ascii="Arial" w:hAnsi="Arial" w:cs="Arial"/>
          <w:bCs/>
          <w:sz w:val="22"/>
          <w:szCs w:val="22"/>
        </w:rPr>
      </w:pPr>
      <w:r w:rsidRPr="00341685">
        <w:rPr>
          <w:rFonts w:ascii="Arial" w:hAnsi="Arial" w:cs="Arial"/>
          <w:b/>
          <w:color w:val="000000"/>
          <w:sz w:val="22"/>
          <w:szCs w:val="22"/>
        </w:rPr>
        <w:t>CH</w:t>
      </w:r>
      <w:r w:rsidRPr="00341685">
        <w:rPr>
          <w:rFonts w:ascii="Arial" w:hAnsi="Arial" w:cs="Arial"/>
          <w:b/>
          <w:color w:val="000000"/>
          <w:sz w:val="14"/>
          <w:szCs w:val="14"/>
        </w:rPr>
        <w:t>50</w:t>
      </w:r>
      <w:r w:rsidRPr="00341685">
        <w:rPr>
          <w:rFonts w:ascii="Arial" w:hAnsi="Arial" w:cs="Arial"/>
          <w:b/>
          <w:color w:val="000000"/>
          <w:sz w:val="22"/>
          <w:szCs w:val="14"/>
        </w:rPr>
        <w:t>:</w:t>
      </w:r>
      <w:r>
        <w:rPr>
          <w:rFonts w:ascii="Arial" w:hAnsi="Arial" w:cs="Arial"/>
          <w:b/>
          <w:color w:val="000000"/>
          <w:sz w:val="22"/>
          <w:szCs w:val="14"/>
        </w:rPr>
        <w:tab/>
      </w:r>
      <w:r>
        <w:rPr>
          <w:rFonts w:ascii="Arial" w:hAnsi="Arial" w:cs="Arial"/>
          <w:b/>
          <w:color w:val="000000"/>
          <w:sz w:val="22"/>
          <w:szCs w:val="14"/>
        </w:rPr>
        <w:tab/>
      </w:r>
      <w:r>
        <w:rPr>
          <w:rFonts w:ascii="Arial" w:hAnsi="Arial" w:cs="Arial"/>
          <w:color w:val="000000"/>
          <w:sz w:val="22"/>
          <w:szCs w:val="14"/>
        </w:rPr>
        <w:t>razina ukupnog komplementa</w:t>
      </w:r>
    </w:p>
    <w:p w14:paraId="46904EBB" w14:textId="3B588386" w:rsidR="00916185" w:rsidRPr="00916185" w:rsidRDefault="00916185" w:rsidP="00916185">
      <w:pPr>
        <w:spacing w:after="200" w:line="360" w:lineRule="auto"/>
        <w:jc w:val="both"/>
        <w:rPr>
          <w:rFonts w:ascii="Arial" w:hAnsi="Arial" w:cs="Arial"/>
          <w:b/>
          <w:bCs/>
          <w:sz w:val="22"/>
          <w:szCs w:val="22"/>
        </w:rPr>
      </w:pPr>
      <w:r>
        <w:rPr>
          <w:rFonts w:ascii="Arial" w:hAnsi="Arial" w:cs="Arial"/>
          <w:b/>
          <w:bCs/>
          <w:sz w:val="22"/>
          <w:szCs w:val="22"/>
        </w:rPr>
        <w:t>eGRF:</w:t>
      </w:r>
      <w:r w:rsidRPr="00916185">
        <w:rPr>
          <w:rFonts w:ascii="Arial" w:hAnsi="Arial" w:cs="Arial"/>
          <w:b/>
          <w:bCs/>
          <w:sz w:val="22"/>
          <w:szCs w:val="22"/>
        </w:rPr>
        <w:t xml:space="preserve"> </w:t>
      </w:r>
      <w:r w:rsidR="00341685">
        <w:rPr>
          <w:rFonts w:ascii="Arial" w:hAnsi="Arial" w:cs="Arial"/>
          <w:b/>
          <w:bCs/>
          <w:sz w:val="22"/>
          <w:szCs w:val="22"/>
        </w:rPr>
        <w:tab/>
      </w:r>
      <w:r w:rsidRPr="00916185">
        <w:rPr>
          <w:rFonts w:ascii="Arial" w:hAnsi="Arial" w:cs="Arial"/>
          <w:bCs/>
          <w:sz w:val="22"/>
          <w:szCs w:val="22"/>
        </w:rPr>
        <w:t>procijenjena brzina glomerula</w:t>
      </w:r>
      <w:r w:rsidR="00392F18">
        <w:rPr>
          <w:rFonts w:ascii="Arial" w:hAnsi="Arial" w:cs="Arial"/>
          <w:bCs/>
          <w:sz w:val="22"/>
          <w:szCs w:val="22"/>
        </w:rPr>
        <w:t>r</w:t>
      </w:r>
      <w:r w:rsidRPr="00916185">
        <w:rPr>
          <w:rFonts w:ascii="Arial" w:hAnsi="Arial" w:cs="Arial"/>
          <w:bCs/>
          <w:sz w:val="22"/>
          <w:szCs w:val="22"/>
        </w:rPr>
        <w:t>ne filtracije</w:t>
      </w:r>
    </w:p>
    <w:p w14:paraId="2929497B" w14:textId="77777777" w:rsidR="00916185" w:rsidRPr="00341685" w:rsidRDefault="00916185" w:rsidP="00916185">
      <w:pPr>
        <w:spacing w:after="200" w:line="360" w:lineRule="auto"/>
        <w:jc w:val="both"/>
        <w:rPr>
          <w:rFonts w:ascii="Arial" w:hAnsi="Arial" w:cs="Arial"/>
          <w:bCs/>
          <w:i/>
          <w:sz w:val="22"/>
          <w:szCs w:val="22"/>
        </w:rPr>
      </w:pPr>
      <w:r>
        <w:rPr>
          <w:rFonts w:ascii="Arial" w:hAnsi="Arial" w:cs="Arial"/>
          <w:b/>
          <w:bCs/>
          <w:sz w:val="22"/>
          <w:szCs w:val="22"/>
        </w:rPr>
        <w:t>EULAR:</w:t>
      </w:r>
      <w:r w:rsidRPr="00916185">
        <w:rPr>
          <w:rFonts w:ascii="Arial" w:hAnsi="Arial" w:cs="Arial"/>
          <w:b/>
          <w:bCs/>
          <w:sz w:val="22"/>
          <w:szCs w:val="22"/>
        </w:rPr>
        <w:t xml:space="preserve"> </w:t>
      </w:r>
      <w:r w:rsidR="00341685">
        <w:rPr>
          <w:rFonts w:ascii="Arial" w:hAnsi="Arial" w:cs="Arial"/>
          <w:b/>
          <w:bCs/>
          <w:sz w:val="22"/>
          <w:szCs w:val="22"/>
        </w:rPr>
        <w:tab/>
      </w:r>
      <w:r w:rsidRPr="00916185">
        <w:rPr>
          <w:rFonts w:ascii="Arial" w:hAnsi="Arial" w:cs="Arial"/>
          <w:bCs/>
          <w:sz w:val="22"/>
          <w:szCs w:val="22"/>
        </w:rPr>
        <w:t xml:space="preserve">Europska liga protiv reumatizma (eng. </w:t>
      </w:r>
      <w:r w:rsidRPr="00341685">
        <w:rPr>
          <w:rFonts w:ascii="Arial" w:hAnsi="Arial" w:cs="Arial"/>
          <w:bCs/>
          <w:i/>
          <w:sz w:val="22"/>
          <w:szCs w:val="22"/>
        </w:rPr>
        <w:t>The European League Against</w:t>
      </w:r>
    </w:p>
    <w:p w14:paraId="2FF4BC97" w14:textId="77777777" w:rsidR="00916185" w:rsidRPr="00916185" w:rsidRDefault="00916185" w:rsidP="00F4578C">
      <w:pPr>
        <w:spacing w:after="200" w:line="360" w:lineRule="auto"/>
        <w:ind w:left="708" w:firstLine="708"/>
        <w:jc w:val="both"/>
        <w:rPr>
          <w:rFonts w:ascii="Arial" w:hAnsi="Arial" w:cs="Arial"/>
          <w:bCs/>
          <w:sz w:val="22"/>
          <w:szCs w:val="22"/>
        </w:rPr>
      </w:pPr>
      <w:r w:rsidRPr="00341685">
        <w:rPr>
          <w:rFonts w:ascii="Arial" w:hAnsi="Arial" w:cs="Arial"/>
          <w:bCs/>
          <w:i/>
          <w:sz w:val="22"/>
          <w:szCs w:val="22"/>
        </w:rPr>
        <w:t>Rheumatism</w:t>
      </w:r>
      <w:r w:rsidRPr="00916185">
        <w:rPr>
          <w:rFonts w:ascii="Arial" w:hAnsi="Arial" w:cs="Arial"/>
          <w:bCs/>
          <w:sz w:val="22"/>
          <w:szCs w:val="22"/>
        </w:rPr>
        <w:t>)</w:t>
      </w:r>
    </w:p>
    <w:p w14:paraId="5AF3BC94" w14:textId="085628D8" w:rsidR="00916185" w:rsidRPr="00916185" w:rsidRDefault="00916185" w:rsidP="00916185">
      <w:pPr>
        <w:spacing w:after="200" w:line="360" w:lineRule="auto"/>
        <w:jc w:val="both"/>
        <w:rPr>
          <w:rFonts w:ascii="Arial" w:hAnsi="Arial" w:cs="Arial"/>
          <w:b/>
          <w:bCs/>
          <w:sz w:val="22"/>
          <w:szCs w:val="22"/>
        </w:rPr>
      </w:pPr>
      <w:r>
        <w:rPr>
          <w:rFonts w:ascii="Arial" w:hAnsi="Arial" w:cs="Arial"/>
          <w:b/>
          <w:bCs/>
          <w:sz w:val="22"/>
          <w:szCs w:val="22"/>
        </w:rPr>
        <w:t>GWAS:</w:t>
      </w:r>
      <w:r>
        <w:rPr>
          <w:rFonts w:ascii="Arial" w:hAnsi="Arial" w:cs="Arial"/>
          <w:b/>
          <w:bCs/>
          <w:sz w:val="22"/>
          <w:szCs w:val="22"/>
        </w:rPr>
        <w:tab/>
      </w:r>
      <w:r w:rsidR="00392F18">
        <w:rPr>
          <w:rFonts w:ascii="Arial" w:hAnsi="Arial" w:cs="Arial"/>
          <w:bCs/>
          <w:sz w:val="22"/>
          <w:szCs w:val="22"/>
        </w:rPr>
        <w:t>c</w:t>
      </w:r>
      <w:r w:rsidRPr="00916185">
        <w:rPr>
          <w:rFonts w:ascii="Arial" w:hAnsi="Arial" w:cs="Arial"/>
          <w:bCs/>
          <w:sz w:val="22"/>
          <w:szCs w:val="22"/>
        </w:rPr>
        <w:t xml:space="preserve">jelogenomsko sekvencioniranje (eng. </w:t>
      </w:r>
      <w:r w:rsidRPr="00341685">
        <w:rPr>
          <w:rFonts w:ascii="Arial" w:hAnsi="Arial" w:cs="Arial"/>
          <w:bCs/>
          <w:i/>
          <w:sz w:val="22"/>
          <w:szCs w:val="22"/>
        </w:rPr>
        <w:t>Genome wide association studies</w:t>
      </w:r>
      <w:r w:rsidRPr="00916185">
        <w:rPr>
          <w:rFonts w:ascii="Arial" w:hAnsi="Arial" w:cs="Arial"/>
          <w:bCs/>
          <w:sz w:val="22"/>
          <w:szCs w:val="22"/>
        </w:rPr>
        <w:t>)</w:t>
      </w:r>
    </w:p>
    <w:p w14:paraId="53965DCB" w14:textId="77777777" w:rsidR="00916185" w:rsidRPr="00916185" w:rsidRDefault="00916185" w:rsidP="00916185">
      <w:pPr>
        <w:spacing w:after="200" w:line="360" w:lineRule="auto"/>
        <w:jc w:val="both"/>
        <w:rPr>
          <w:rFonts w:ascii="Arial" w:hAnsi="Arial" w:cs="Arial"/>
          <w:b/>
          <w:bCs/>
          <w:sz w:val="22"/>
          <w:szCs w:val="22"/>
        </w:rPr>
      </w:pPr>
      <w:r>
        <w:rPr>
          <w:rFonts w:ascii="Arial" w:hAnsi="Arial" w:cs="Arial"/>
          <w:b/>
          <w:bCs/>
          <w:sz w:val="22"/>
          <w:szCs w:val="22"/>
        </w:rPr>
        <w:t>Hb:</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hemoglobin</w:t>
      </w:r>
    </w:p>
    <w:p w14:paraId="4A992164" w14:textId="77777777" w:rsidR="00916185" w:rsidRPr="00916185" w:rsidRDefault="00916185" w:rsidP="00916185">
      <w:pPr>
        <w:spacing w:after="200" w:line="360" w:lineRule="auto"/>
        <w:jc w:val="both"/>
        <w:rPr>
          <w:rFonts w:ascii="Arial" w:hAnsi="Arial" w:cs="Arial"/>
          <w:b/>
          <w:bCs/>
          <w:sz w:val="22"/>
          <w:szCs w:val="22"/>
        </w:rPr>
      </w:pPr>
      <w:r>
        <w:rPr>
          <w:rFonts w:ascii="Arial" w:hAnsi="Arial" w:cs="Arial"/>
          <w:b/>
          <w:bCs/>
          <w:sz w:val="22"/>
          <w:szCs w:val="22"/>
        </w:rPr>
        <w:t>HSP:</w:t>
      </w:r>
      <w:r w:rsidRPr="00916185">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Henoch-Schönleinova purpura</w:t>
      </w:r>
    </w:p>
    <w:p w14:paraId="6FA2E1B3" w14:textId="77777777" w:rsid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Ig</w:t>
      </w:r>
      <w:r w:rsidR="007161F7">
        <w:rPr>
          <w:rFonts w:ascii="Arial" w:hAnsi="Arial" w:cs="Arial"/>
          <w:b/>
          <w:bCs/>
          <w:sz w:val="22"/>
          <w:szCs w:val="22"/>
        </w:rPr>
        <w:t>A</w:t>
      </w:r>
      <w:r>
        <w:rPr>
          <w:rFonts w:ascii="Arial" w:hAnsi="Arial" w:cs="Arial"/>
          <w:b/>
          <w:bCs/>
          <w:sz w:val="22"/>
          <w:szCs w:val="22"/>
        </w:rPr>
        <w:t>:</w:t>
      </w:r>
      <w:r w:rsidRPr="00916185">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imunoglobulin</w:t>
      </w:r>
      <w:r w:rsidR="007161F7">
        <w:rPr>
          <w:rFonts w:ascii="Arial" w:hAnsi="Arial" w:cs="Arial"/>
          <w:bCs/>
          <w:sz w:val="22"/>
          <w:szCs w:val="22"/>
        </w:rPr>
        <w:t xml:space="preserve"> A</w:t>
      </w:r>
    </w:p>
    <w:p w14:paraId="56B99134" w14:textId="77777777" w:rsidR="007161F7" w:rsidRDefault="007161F7" w:rsidP="00916185">
      <w:pPr>
        <w:spacing w:after="200" w:line="360" w:lineRule="auto"/>
        <w:jc w:val="both"/>
        <w:rPr>
          <w:rFonts w:ascii="Arial" w:hAnsi="Arial" w:cs="Arial"/>
          <w:bCs/>
          <w:sz w:val="22"/>
          <w:szCs w:val="22"/>
        </w:rPr>
      </w:pPr>
      <w:r>
        <w:rPr>
          <w:rFonts w:ascii="Arial" w:hAnsi="Arial" w:cs="Arial"/>
          <w:b/>
          <w:bCs/>
          <w:sz w:val="22"/>
          <w:szCs w:val="22"/>
        </w:rPr>
        <w:t>IgG:</w:t>
      </w:r>
      <w:r>
        <w:rPr>
          <w:rFonts w:ascii="Arial" w:hAnsi="Arial" w:cs="Arial"/>
          <w:b/>
          <w:bCs/>
          <w:sz w:val="22"/>
          <w:szCs w:val="22"/>
        </w:rPr>
        <w:tab/>
      </w:r>
      <w:r>
        <w:rPr>
          <w:rFonts w:ascii="Arial" w:hAnsi="Arial" w:cs="Arial"/>
          <w:b/>
          <w:bCs/>
          <w:sz w:val="22"/>
          <w:szCs w:val="22"/>
        </w:rPr>
        <w:tab/>
      </w:r>
      <w:r>
        <w:rPr>
          <w:rFonts w:ascii="Arial" w:hAnsi="Arial" w:cs="Arial"/>
          <w:bCs/>
          <w:sz w:val="22"/>
          <w:szCs w:val="22"/>
        </w:rPr>
        <w:t>Imunoglobulin G</w:t>
      </w:r>
    </w:p>
    <w:p w14:paraId="2804576D" w14:textId="77777777" w:rsidR="007161F7" w:rsidRDefault="007161F7" w:rsidP="00916185">
      <w:pPr>
        <w:spacing w:after="200" w:line="360" w:lineRule="auto"/>
        <w:jc w:val="both"/>
        <w:rPr>
          <w:rFonts w:ascii="Arial" w:hAnsi="Arial" w:cs="Arial"/>
          <w:bCs/>
          <w:sz w:val="22"/>
          <w:szCs w:val="22"/>
        </w:rPr>
      </w:pPr>
      <w:r>
        <w:rPr>
          <w:rFonts w:ascii="Arial" w:hAnsi="Arial" w:cs="Arial"/>
          <w:b/>
          <w:bCs/>
          <w:sz w:val="22"/>
          <w:szCs w:val="22"/>
        </w:rPr>
        <w:t>IgM:</w:t>
      </w:r>
      <w:r>
        <w:rPr>
          <w:rFonts w:ascii="Arial" w:hAnsi="Arial" w:cs="Arial"/>
          <w:b/>
          <w:bCs/>
          <w:sz w:val="22"/>
          <w:szCs w:val="22"/>
        </w:rPr>
        <w:tab/>
      </w:r>
      <w:r>
        <w:rPr>
          <w:rFonts w:ascii="Arial" w:hAnsi="Arial" w:cs="Arial"/>
          <w:b/>
          <w:bCs/>
          <w:sz w:val="22"/>
          <w:szCs w:val="22"/>
        </w:rPr>
        <w:tab/>
      </w:r>
      <w:r>
        <w:rPr>
          <w:rFonts w:ascii="Arial" w:hAnsi="Arial" w:cs="Arial"/>
          <w:bCs/>
          <w:sz w:val="22"/>
          <w:szCs w:val="22"/>
        </w:rPr>
        <w:t>Imunoglobulin M</w:t>
      </w:r>
    </w:p>
    <w:p w14:paraId="499ABAC7" w14:textId="77777777" w:rsidR="007161F7" w:rsidRPr="007161F7" w:rsidRDefault="007161F7" w:rsidP="00916185">
      <w:pPr>
        <w:spacing w:after="200" w:line="360" w:lineRule="auto"/>
        <w:jc w:val="both"/>
        <w:rPr>
          <w:rFonts w:ascii="Arial" w:hAnsi="Arial" w:cs="Arial"/>
          <w:bCs/>
          <w:sz w:val="22"/>
          <w:szCs w:val="22"/>
        </w:rPr>
      </w:pPr>
      <w:r>
        <w:rPr>
          <w:rFonts w:ascii="Arial" w:hAnsi="Arial" w:cs="Arial"/>
          <w:b/>
          <w:bCs/>
          <w:sz w:val="22"/>
          <w:szCs w:val="22"/>
        </w:rPr>
        <w:t>uIgE:</w:t>
      </w:r>
      <w:r>
        <w:rPr>
          <w:rFonts w:ascii="Arial" w:hAnsi="Arial" w:cs="Arial"/>
          <w:b/>
          <w:bCs/>
          <w:sz w:val="22"/>
          <w:szCs w:val="22"/>
        </w:rPr>
        <w:tab/>
      </w:r>
      <w:r>
        <w:rPr>
          <w:rFonts w:ascii="Arial" w:hAnsi="Arial" w:cs="Arial"/>
          <w:bCs/>
          <w:sz w:val="22"/>
          <w:szCs w:val="22"/>
        </w:rPr>
        <w:tab/>
        <w:t>ukupni imunoglobulin E</w:t>
      </w:r>
    </w:p>
    <w:p w14:paraId="4FFC3763" w14:textId="77777777" w:rsid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IgAV:</w:t>
      </w:r>
      <w:r w:rsidRPr="00916185">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sidRPr="00916185">
        <w:rPr>
          <w:rFonts w:ascii="Arial" w:hAnsi="Arial" w:cs="Arial"/>
          <w:bCs/>
          <w:sz w:val="22"/>
          <w:szCs w:val="22"/>
        </w:rPr>
        <w:t>imunoglobulin A vaskulitis</w:t>
      </w:r>
    </w:p>
    <w:p w14:paraId="19E5BBAA" w14:textId="77777777" w:rsidR="00916185" w:rsidRP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 xml:space="preserve">IgAVN: </w:t>
      </w:r>
      <w:r>
        <w:rPr>
          <w:rFonts w:ascii="Arial" w:hAnsi="Arial" w:cs="Arial"/>
          <w:b/>
          <w:bCs/>
          <w:sz w:val="22"/>
          <w:szCs w:val="22"/>
        </w:rPr>
        <w:tab/>
      </w:r>
      <w:r>
        <w:rPr>
          <w:rFonts w:ascii="Arial" w:hAnsi="Arial" w:cs="Arial"/>
          <w:bCs/>
          <w:sz w:val="22"/>
          <w:szCs w:val="22"/>
        </w:rPr>
        <w:t>IgA vaskulitis nefritis</w:t>
      </w:r>
    </w:p>
    <w:p w14:paraId="1D5D3569" w14:textId="77777777" w:rsidR="007161F7" w:rsidRPr="007161F7" w:rsidRDefault="007161F7" w:rsidP="00916185">
      <w:pPr>
        <w:spacing w:after="200" w:line="360" w:lineRule="auto"/>
        <w:jc w:val="both"/>
        <w:rPr>
          <w:rFonts w:ascii="Arial" w:hAnsi="Arial" w:cs="Arial"/>
          <w:bCs/>
          <w:sz w:val="22"/>
          <w:szCs w:val="22"/>
        </w:rPr>
      </w:pPr>
      <w:r>
        <w:rPr>
          <w:rFonts w:ascii="Arial" w:hAnsi="Arial" w:cs="Arial"/>
          <w:b/>
          <w:bCs/>
          <w:sz w:val="22"/>
          <w:szCs w:val="22"/>
        </w:rPr>
        <w:t>IR:</w:t>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interkvartilni raspon</w:t>
      </w:r>
    </w:p>
    <w:p w14:paraId="1BD6D005" w14:textId="77777777" w:rsidR="00341685" w:rsidRDefault="00341685" w:rsidP="00916185">
      <w:pPr>
        <w:spacing w:after="200" w:line="360" w:lineRule="auto"/>
        <w:jc w:val="both"/>
        <w:rPr>
          <w:rFonts w:ascii="Arial" w:hAnsi="Arial" w:cs="Arial"/>
          <w:bCs/>
          <w:sz w:val="22"/>
          <w:szCs w:val="22"/>
        </w:rPr>
      </w:pPr>
      <w:r w:rsidRPr="00341685">
        <w:rPr>
          <w:rFonts w:ascii="Arial" w:hAnsi="Arial" w:cs="Arial"/>
          <w:b/>
          <w:bCs/>
          <w:sz w:val="22"/>
          <w:szCs w:val="22"/>
        </w:rPr>
        <w:t>MMP-2:</w:t>
      </w:r>
      <w:r>
        <w:rPr>
          <w:rFonts w:ascii="Arial" w:hAnsi="Arial" w:cs="Arial"/>
          <w:bCs/>
          <w:sz w:val="22"/>
          <w:szCs w:val="22"/>
        </w:rPr>
        <w:tab/>
        <w:t>matriks metaloproteinaza 2</w:t>
      </w:r>
    </w:p>
    <w:p w14:paraId="1AF6FF40" w14:textId="77777777" w:rsidR="00341685" w:rsidRPr="00341685" w:rsidRDefault="00341685" w:rsidP="00916185">
      <w:pPr>
        <w:spacing w:after="200" w:line="360" w:lineRule="auto"/>
        <w:jc w:val="both"/>
        <w:rPr>
          <w:rFonts w:ascii="Arial" w:hAnsi="Arial" w:cs="Arial"/>
          <w:bCs/>
          <w:sz w:val="22"/>
          <w:szCs w:val="22"/>
        </w:rPr>
      </w:pPr>
      <w:r>
        <w:rPr>
          <w:rFonts w:ascii="Arial" w:hAnsi="Arial" w:cs="Arial"/>
          <w:b/>
          <w:bCs/>
          <w:sz w:val="22"/>
          <w:szCs w:val="22"/>
        </w:rPr>
        <w:t>MMP-9:</w:t>
      </w:r>
      <w:r>
        <w:rPr>
          <w:rFonts w:ascii="Arial" w:hAnsi="Arial" w:cs="Arial"/>
          <w:b/>
          <w:bCs/>
          <w:sz w:val="22"/>
          <w:szCs w:val="22"/>
        </w:rPr>
        <w:tab/>
      </w:r>
      <w:r>
        <w:rPr>
          <w:rFonts w:ascii="Arial" w:hAnsi="Arial" w:cs="Arial"/>
          <w:bCs/>
          <w:sz w:val="22"/>
          <w:szCs w:val="22"/>
        </w:rPr>
        <w:t>matriks metaloproteinaza 9</w:t>
      </w:r>
    </w:p>
    <w:p w14:paraId="10AAECE8" w14:textId="77777777" w:rsidR="007161F7" w:rsidRPr="007161F7" w:rsidRDefault="007161F7" w:rsidP="00916185">
      <w:pPr>
        <w:spacing w:after="200" w:line="360" w:lineRule="auto"/>
        <w:jc w:val="both"/>
        <w:rPr>
          <w:rFonts w:ascii="Arial" w:hAnsi="Arial" w:cs="Arial"/>
          <w:bCs/>
          <w:sz w:val="22"/>
          <w:szCs w:val="22"/>
        </w:rPr>
      </w:pPr>
      <w:r w:rsidRPr="007161F7">
        <w:rPr>
          <w:rFonts w:ascii="Arial" w:hAnsi="Arial" w:cs="Arial"/>
          <w:b/>
          <w:bCs/>
          <w:sz w:val="22"/>
          <w:szCs w:val="22"/>
        </w:rPr>
        <w:t xml:space="preserve">NSAID: </w:t>
      </w:r>
      <w:r>
        <w:rPr>
          <w:rFonts w:ascii="Arial" w:hAnsi="Arial" w:cs="Arial"/>
          <w:b/>
          <w:bCs/>
          <w:sz w:val="22"/>
          <w:szCs w:val="22"/>
        </w:rPr>
        <w:tab/>
      </w:r>
      <w:r w:rsidRPr="007161F7">
        <w:rPr>
          <w:rFonts w:ascii="Arial" w:hAnsi="Arial" w:cs="Arial"/>
          <w:bCs/>
          <w:sz w:val="22"/>
          <w:szCs w:val="22"/>
        </w:rPr>
        <w:t xml:space="preserve">nesteroidni protuupalni lijekovi (engl. </w:t>
      </w:r>
      <w:r w:rsidRPr="007161F7">
        <w:rPr>
          <w:rFonts w:ascii="Arial" w:hAnsi="Arial" w:cs="Arial"/>
          <w:bCs/>
          <w:i/>
          <w:sz w:val="22"/>
          <w:szCs w:val="22"/>
        </w:rPr>
        <w:t>non-steroidal anti-inflammatory drugs</w:t>
      </w:r>
      <w:r w:rsidRPr="007161F7">
        <w:rPr>
          <w:rFonts w:ascii="Arial" w:hAnsi="Arial" w:cs="Arial"/>
          <w:bCs/>
          <w:sz w:val="22"/>
          <w:szCs w:val="22"/>
        </w:rPr>
        <w:t>)</w:t>
      </w:r>
    </w:p>
    <w:p w14:paraId="084F2BAB" w14:textId="77777777" w:rsidR="00916185" w:rsidRPr="00341685" w:rsidRDefault="00916185" w:rsidP="00916185">
      <w:pPr>
        <w:spacing w:after="200" w:line="360" w:lineRule="auto"/>
        <w:jc w:val="both"/>
        <w:rPr>
          <w:rFonts w:ascii="Arial" w:hAnsi="Arial" w:cs="Arial"/>
          <w:bCs/>
          <w:i/>
          <w:sz w:val="22"/>
          <w:szCs w:val="22"/>
        </w:rPr>
      </w:pPr>
      <w:r>
        <w:rPr>
          <w:rFonts w:ascii="Arial" w:hAnsi="Arial" w:cs="Arial"/>
          <w:b/>
          <w:bCs/>
          <w:sz w:val="22"/>
          <w:szCs w:val="22"/>
        </w:rPr>
        <w:t>PRES:</w:t>
      </w:r>
      <w:r w:rsidRPr="00916185">
        <w:rPr>
          <w:rFonts w:ascii="Arial" w:hAnsi="Arial" w:cs="Arial"/>
          <w:b/>
          <w:bCs/>
          <w:sz w:val="22"/>
          <w:szCs w:val="22"/>
        </w:rPr>
        <w:t xml:space="preserve"> </w:t>
      </w:r>
      <w:r>
        <w:rPr>
          <w:rFonts w:ascii="Arial" w:hAnsi="Arial" w:cs="Arial"/>
          <w:b/>
          <w:bCs/>
          <w:sz w:val="22"/>
          <w:szCs w:val="22"/>
        </w:rPr>
        <w:tab/>
      </w:r>
      <w:r w:rsidRPr="00916185">
        <w:rPr>
          <w:rFonts w:ascii="Arial" w:hAnsi="Arial" w:cs="Arial"/>
          <w:bCs/>
          <w:sz w:val="22"/>
          <w:szCs w:val="22"/>
        </w:rPr>
        <w:t xml:space="preserve">Europsko pedijatrijsko reumatološko društvo (eng. </w:t>
      </w:r>
      <w:r w:rsidRPr="00341685">
        <w:rPr>
          <w:rFonts w:ascii="Arial" w:hAnsi="Arial" w:cs="Arial"/>
          <w:bCs/>
          <w:i/>
          <w:sz w:val="22"/>
          <w:szCs w:val="22"/>
        </w:rPr>
        <w:t>Paediatric Rheumatology</w:t>
      </w:r>
    </w:p>
    <w:p w14:paraId="604AF91D" w14:textId="77777777" w:rsidR="00916185" w:rsidRPr="00916185" w:rsidRDefault="00916185" w:rsidP="00F4578C">
      <w:pPr>
        <w:spacing w:after="200" w:line="360" w:lineRule="auto"/>
        <w:ind w:left="708" w:firstLine="708"/>
        <w:jc w:val="both"/>
        <w:rPr>
          <w:rFonts w:ascii="Arial" w:hAnsi="Arial" w:cs="Arial"/>
          <w:bCs/>
          <w:sz w:val="22"/>
          <w:szCs w:val="22"/>
        </w:rPr>
      </w:pPr>
      <w:r w:rsidRPr="00341685">
        <w:rPr>
          <w:rFonts w:ascii="Arial" w:hAnsi="Arial" w:cs="Arial"/>
          <w:bCs/>
          <w:i/>
          <w:sz w:val="22"/>
          <w:szCs w:val="22"/>
        </w:rPr>
        <w:t>European society</w:t>
      </w:r>
      <w:r w:rsidRPr="00916185">
        <w:rPr>
          <w:rFonts w:ascii="Arial" w:hAnsi="Arial" w:cs="Arial"/>
          <w:bCs/>
          <w:sz w:val="22"/>
          <w:szCs w:val="22"/>
        </w:rPr>
        <w:t>)</w:t>
      </w:r>
    </w:p>
    <w:p w14:paraId="3743BE01" w14:textId="77777777" w:rsidR="00916185" w:rsidRP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PRINTO:</w:t>
      </w:r>
      <w:r w:rsidRPr="00916185">
        <w:rPr>
          <w:rFonts w:ascii="Arial" w:hAnsi="Arial" w:cs="Arial"/>
          <w:b/>
          <w:bCs/>
          <w:sz w:val="22"/>
          <w:szCs w:val="22"/>
        </w:rPr>
        <w:t xml:space="preserve"> </w:t>
      </w:r>
      <w:r>
        <w:rPr>
          <w:rFonts w:ascii="Arial" w:hAnsi="Arial" w:cs="Arial"/>
          <w:b/>
          <w:bCs/>
          <w:sz w:val="22"/>
          <w:szCs w:val="22"/>
        </w:rPr>
        <w:tab/>
      </w:r>
      <w:r w:rsidRPr="00916185">
        <w:rPr>
          <w:rFonts w:ascii="Arial" w:hAnsi="Arial" w:cs="Arial"/>
          <w:bCs/>
          <w:sz w:val="22"/>
          <w:szCs w:val="22"/>
        </w:rPr>
        <w:t>Međunarodna organizacija za provođenje ispitivanja u dječjoj reumatologiji (eng.</w:t>
      </w:r>
    </w:p>
    <w:p w14:paraId="3CDCF87E" w14:textId="77777777" w:rsidR="00916185" w:rsidRPr="00916185" w:rsidRDefault="00916185" w:rsidP="00F4578C">
      <w:pPr>
        <w:spacing w:after="200" w:line="360" w:lineRule="auto"/>
        <w:ind w:left="708" w:firstLine="708"/>
        <w:jc w:val="both"/>
        <w:rPr>
          <w:rFonts w:ascii="Arial" w:hAnsi="Arial" w:cs="Arial"/>
          <w:bCs/>
          <w:sz w:val="22"/>
          <w:szCs w:val="22"/>
        </w:rPr>
      </w:pPr>
      <w:r w:rsidRPr="00341685">
        <w:rPr>
          <w:rFonts w:ascii="Arial" w:hAnsi="Arial" w:cs="Arial"/>
          <w:bCs/>
          <w:i/>
          <w:sz w:val="22"/>
          <w:szCs w:val="22"/>
        </w:rPr>
        <w:t>Paediatric Rheumatology International Trials Organisation</w:t>
      </w:r>
      <w:r w:rsidRPr="00916185">
        <w:rPr>
          <w:rFonts w:ascii="Arial" w:hAnsi="Arial" w:cs="Arial"/>
          <w:bCs/>
          <w:sz w:val="22"/>
          <w:szCs w:val="22"/>
        </w:rPr>
        <w:t>)</w:t>
      </w:r>
    </w:p>
    <w:p w14:paraId="0435C23C" w14:textId="77777777" w:rsidR="00916185" w:rsidRPr="00916185" w:rsidRDefault="00916185" w:rsidP="00916185">
      <w:pPr>
        <w:spacing w:after="200" w:line="360" w:lineRule="auto"/>
        <w:jc w:val="both"/>
        <w:rPr>
          <w:rFonts w:ascii="Arial" w:hAnsi="Arial" w:cs="Arial"/>
          <w:bCs/>
          <w:sz w:val="22"/>
          <w:szCs w:val="22"/>
        </w:rPr>
      </w:pPr>
      <w:r>
        <w:rPr>
          <w:rFonts w:ascii="Arial" w:hAnsi="Arial" w:cs="Arial"/>
          <w:b/>
          <w:bCs/>
          <w:sz w:val="22"/>
          <w:szCs w:val="22"/>
        </w:rPr>
        <w:t>SHARE:</w:t>
      </w:r>
      <w:r w:rsidRPr="00916185">
        <w:rPr>
          <w:rFonts w:ascii="Arial" w:hAnsi="Arial" w:cs="Arial"/>
          <w:b/>
          <w:bCs/>
          <w:sz w:val="22"/>
          <w:szCs w:val="22"/>
        </w:rPr>
        <w:t xml:space="preserve"> </w:t>
      </w:r>
      <w:r>
        <w:rPr>
          <w:rFonts w:ascii="Arial" w:hAnsi="Arial" w:cs="Arial"/>
          <w:b/>
          <w:bCs/>
          <w:sz w:val="22"/>
          <w:szCs w:val="22"/>
        </w:rPr>
        <w:tab/>
      </w:r>
      <w:r w:rsidRPr="00916185">
        <w:rPr>
          <w:rFonts w:ascii="Arial" w:hAnsi="Arial" w:cs="Arial"/>
          <w:bCs/>
          <w:sz w:val="22"/>
          <w:szCs w:val="22"/>
        </w:rPr>
        <w:t xml:space="preserve">eng. </w:t>
      </w:r>
      <w:r w:rsidRPr="00341685">
        <w:rPr>
          <w:rFonts w:ascii="Arial" w:hAnsi="Arial" w:cs="Arial"/>
          <w:bCs/>
          <w:i/>
          <w:sz w:val="22"/>
          <w:szCs w:val="22"/>
        </w:rPr>
        <w:t>Single Hub and Acess point for paediatric Rheumatology in Europe</w:t>
      </w:r>
    </w:p>
    <w:p w14:paraId="1D691DB7" w14:textId="77777777" w:rsidR="00916185" w:rsidRDefault="00341685" w:rsidP="00FF1184">
      <w:pPr>
        <w:spacing w:after="200" w:line="360" w:lineRule="auto"/>
        <w:jc w:val="both"/>
        <w:rPr>
          <w:rFonts w:ascii="Arial" w:hAnsi="Arial" w:cs="Arial"/>
          <w:bCs/>
          <w:sz w:val="22"/>
          <w:szCs w:val="22"/>
        </w:rPr>
      </w:pPr>
      <w:r>
        <w:rPr>
          <w:rFonts w:ascii="Arial" w:hAnsi="Arial" w:cs="Arial"/>
          <w:b/>
          <w:bCs/>
          <w:sz w:val="22"/>
          <w:szCs w:val="22"/>
        </w:rPr>
        <w:t>SE:</w:t>
      </w:r>
      <w:r>
        <w:rPr>
          <w:rFonts w:ascii="Arial" w:hAnsi="Arial" w:cs="Arial"/>
          <w:b/>
          <w:bCs/>
          <w:sz w:val="22"/>
          <w:szCs w:val="22"/>
        </w:rPr>
        <w:tab/>
      </w:r>
      <w:r>
        <w:rPr>
          <w:rFonts w:ascii="Arial" w:hAnsi="Arial" w:cs="Arial"/>
          <w:b/>
          <w:bCs/>
          <w:sz w:val="22"/>
          <w:szCs w:val="22"/>
        </w:rPr>
        <w:tab/>
      </w:r>
      <w:r>
        <w:rPr>
          <w:rFonts w:ascii="Arial" w:hAnsi="Arial" w:cs="Arial"/>
          <w:bCs/>
          <w:sz w:val="22"/>
          <w:szCs w:val="22"/>
        </w:rPr>
        <w:t>sedimentacija eritrocita</w:t>
      </w:r>
    </w:p>
    <w:p w14:paraId="64A5A582" w14:textId="77777777" w:rsidR="00916185" w:rsidRDefault="00341685" w:rsidP="00FF1184">
      <w:pPr>
        <w:spacing w:after="200" w:line="360" w:lineRule="auto"/>
        <w:jc w:val="both"/>
        <w:rPr>
          <w:rFonts w:ascii="Arial" w:hAnsi="Arial" w:cs="Arial"/>
          <w:bCs/>
          <w:sz w:val="22"/>
          <w:szCs w:val="22"/>
        </w:rPr>
      </w:pPr>
      <w:r>
        <w:rPr>
          <w:rFonts w:ascii="Arial" w:hAnsi="Arial" w:cs="Arial"/>
          <w:b/>
          <w:bCs/>
          <w:sz w:val="22"/>
          <w:szCs w:val="22"/>
        </w:rPr>
        <w:t>PV:</w:t>
      </w:r>
      <w:r>
        <w:rPr>
          <w:rFonts w:ascii="Arial" w:hAnsi="Arial" w:cs="Arial"/>
          <w:b/>
          <w:bCs/>
          <w:sz w:val="22"/>
          <w:szCs w:val="22"/>
        </w:rPr>
        <w:tab/>
      </w:r>
      <w:r>
        <w:rPr>
          <w:rFonts w:ascii="Arial" w:hAnsi="Arial" w:cs="Arial"/>
          <w:b/>
          <w:bCs/>
          <w:sz w:val="22"/>
          <w:szCs w:val="22"/>
        </w:rPr>
        <w:tab/>
      </w:r>
      <w:r>
        <w:rPr>
          <w:rFonts w:ascii="Arial" w:hAnsi="Arial" w:cs="Arial"/>
          <w:bCs/>
          <w:sz w:val="22"/>
          <w:szCs w:val="22"/>
        </w:rPr>
        <w:t>protrombinsko vrijeme</w:t>
      </w:r>
    </w:p>
    <w:p w14:paraId="41CB56A0" w14:textId="77777777" w:rsidR="00341685" w:rsidRPr="00341685" w:rsidRDefault="00341685" w:rsidP="00FF1184">
      <w:pPr>
        <w:spacing w:after="200" w:line="360" w:lineRule="auto"/>
        <w:jc w:val="both"/>
        <w:rPr>
          <w:rFonts w:ascii="Arial" w:hAnsi="Arial" w:cs="Arial"/>
          <w:bCs/>
          <w:sz w:val="22"/>
          <w:szCs w:val="22"/>
        </w:rPr>
      </w:pPr>
    </w:p>
    <w:p w14:paraId="30C70F45" w14:textId="77777777" w:rsidR="00916185" w:rsidRDefault="00916185" w:rsidP="00FF1184">
      <w:pPr>
        <w:spacing w:after="200" w:line="360" w:lineRule="auto"/>
        <w:jc w:val="both"/>
        <w:rPr>
          <w:rFonts w:ascii="Arial" w:hAnsi="Arial" w:cs="Arial"/>
          <w:b/>
          <w:bCs/>
          <w:sz w:val="22"/>
          <w:szCs w:val="22"/>
        </w:rPr>
      </w:pPr>
    </w:p>
    <w:p w14:paraId="5FA1870E" w14:textId="77777777" w:rsidR="00916185" w:rsidRDefault="00916185" w:rsidP="00FF1184">
      <w:pPr>
        <w:spacing w:after="200" w:line="360" w:lineRule="auto"/>
        <w:jc w:val="both"/>
        <w:rPr>
          <w:rFonts w:ascii="Arial" w:hAnsi="Arial" w:cs="Arial"/>
          <w:b/>
          <w:bCs/>
          <w:sz w:val="22"/>
          <w:szCs w:val="22"/>
        </w:rPr>
      </w:pPr>
    </w:p>
    <w:p w14:paraId="52C71EBE" w14:textId="77777777" w:rsidR="00916185" w:rsidRDefault="00916185" w:rsidP="00FF1184">
      <w:pPr>
        <w:spacing w:after="200" w:line="360" w:lineRule="auto"/>
        <w:jc w:val="both"/>
        <w:rPr>
          <w:rFonts w:ascii="Arial" w:hAnsi="Arial" w:cs="Arial"/>
          <w:b/>
          <w:bCs/>
          <w:sz w:val="22"/>
          <w:szCs w:val="22"/>
        </w:rPr>
      </w:pPr>
    </w:p>
    <w:p w14:paraId="3BF34620" w14:textId="77777777" w:rsidR="00916185" w:rsidRDefault="00916185" w:rsidP="00FF1184">
      <w:pPr>
        <w:spacing w:after="200" w:line="360" w:lineRule="auto"/>
        <w:jc w:val="both"/>
        <w:rPr>
          <w:rFonts w:ascii="Arial" w:hAnsi="Arial" w:cs="Arial"/>
          <w:b/>
          <w:bCs/>
          <w:sz w:val="22"/>
          <w:szCs w:val="22"/>
        </w:rPr>
      </w:pPr>
    </w:p>
    <w:p w14:paraId="7ED61110" w14:textId="77777777" w:rsidR="00916185" w:rsidRDefault="00916185" w:rsidP="00FF1184">
      <w:pPr>
        <w:spacing w:after="200" w:line="360" w:lineRule="auto"/>
        <w:jc w:val="both"/>
        <w:rPr>
          <w:rFonts w:ascii="Arial" w:hAnsi="Arial" w:cs="Arial"/>
          <w:b/>
          <w:bCs/>
          <w:sz w:val="22"/>
          <w:szCs w:val="22"/>
        </w:rPr>
      </w:pPr>
    </w:p>
    <w:p w14:paraId="7559920A" w14:textId="77777777" w:rsidR="00916185" w:rsidRDefault="00916185" w:rsidP="00FF1184">
      <w:pPr>
        <w:spacing w:after="200" w:line="360" w:lineRule="auto"/>
        <w:jc w:val="both"/>
        <w:rPr>
          <w:rFonts w:ascii="Arial" w:hAnsi="Arial" w:cs="Arial"/>
          <w:b/>
          <w:bCs/>
          <w:sz w:val="22"/>
          <w:szCs w:val="22"/>
        </w:rPr>
      </w:pPr>
    </w:p>
    <w:p w14:paraId="084473F6" w14:textId="77777777" w:rsidR="00916185" w:rsidRDefault="00916185" w:rsidP="00FF1184">
      <w:pPr>
        <w:spacing w:after="200" w:line="360" w:lineRule="auto"/>
        <w:jc w:val="both"/>
        <w:rPr>
          <w:rFonts w:ascii="Arial" w:hAnsi="Arial" w:cs="Arial"/>
          <w:b/>
          <w:bCs/>
          <w:sz w:val="22"/>
          <w:szCs w:val="22"/>
        </w:rPr>
      </w:pPr>
    </w:p>
    <w:p w14:paraId="45214E41" w14:textId="77777777" w:rsidR="00916185" w:rsidRDefault="00916185" w:rsidP="00FF1184">
      <w:pPr>
        <w:spacing w:after="200" w:line="360" w:lineRule="auto"/>
        <w:jc w:val="both"/>
        <w:rPr>
          <w:rFonts w:ascii="Arial" w:hAnsi="Arial" w:cs="Arial"/>
          <w:b/>
          <w:bCs/>
          <w:sz w:val="22"/>
          <w:szCs w:val="22"/>
        </w:rPr>
      </w:pPr>
    </w:p>
    <w:p w14:paraId="29C3DBB2" w14:textId="77777777" w:rsidR="00916185" w:rsidRDefault="00916185" w:rsidP="00FF1184">
      <w:pPr>
        <w:spacing w:after="200" w:line="360" w:lineRule="auto"/>
        <w:jc w:val="both"/>
        <w:rPr>
          <w:rFonts w:ascii="Arial" w:hAnsi="Arial" w:cs="Arial"/>
          <w:b/>
          <w:bCs/>
          <w:sz w:val="22"/>
          <w:szCs w:val="22"/>
        </w:rPr>
      </w:pPr>
    </w:p>
    <w:p w14:paraId="59D00B76" w14:textId="77777777" w:rsidR="00916185" w:rsidRDefault="00916185" w:rsidP="00FF1184">
      <w:pPr>
        <w:spacing w:after="200" w:line="360" w:lineRule="auto"/>
        <w:jc w:val="both"/>
        <w:rPr>
          <w:rFonts w:ascii="Arial" w:hAnsi="Arial" w:cs="Arial"/>
          <w:b/>
          <w:bCs/>
          <w:sz w:val="22"/>
          <w:szCs w:val="22"/>
        </w:rPr>
      </w:pPr>
    </w:p>
    <w:p w14:paraId="1D5498DE" w14:textId="77777777" w:rsidR="00916185" w:rsidRDefault="00916185" w:rsidP="00FF1184">
      <w:pPr>
        <w:spacing w:after="200" w:line="360" w:lineRule="auto"/>
        <w:jc w:val="both"/>
        <w:rPr>
          <w:rFonts w:ascii="Arial" w:hAnsi="Arial" w:cs="Arial"/>
          <w:b/>
          <w:bCs/>
          <w:sz w:val="22"/>
          <w:szCs w:val="22"/>
        </w:rPr>
      </w:pPr>
    </w:p>
    <w:p w14:paraId="51793ECF" w14:textId="77777777" w:rsidR="00916185" w:rsidRDefault="00916185" w:rsidP="00FF1184">
      <w:pPr>
        <w:spacing w:after="200" w:line="360" w:lineRule="auto"/>
        <w:jc w:val="both"/>
        <w:rPr>
          <w:rFonts w:ascii="Arial" w:hAnsi="Arial" w:cs="Arial"/>
          <w:b/>
          <w:bCs/>
          <w:sz w:val="22"/>
          <w:szCs w:val="22"/>
        </w:rPr>
      </w:pPr>
    </w:p>
    <w:sdt>
      <w:sdtPr>
        <w:rPr>
          <w:rFonts w:ascii="Calibri" w:eastAsia="Calibri" w:hAnsi="Calibri" w:cs="Times New Roman"/>
          <w:b w:val="0"/>
          <w:bCs w:val="0"/>
          <w:i/>
          <w:iCs/>
          <w:color w:val="auto"/>
          <w:sz w:val="24"/>
          <w:szCs w:val="24"/>
          <w:lang w:val="hr-HR"/>
        </w:rPr>
        <w:id w:val="-776100006"/>
        <w:docPartObj>
          <w:docPartGallery w:val="Table of Contents"/>
          <w:docPartUnique/>
        </w:docPartObj>
      </w:sdtPr>
      <w:sdtEndPr>
        <w:rPr>
          <w:rFonts w:ascii="Times New Roman" w:hAnsi="Times New Roman" w:cstheme="minorHAnsi"/>
          <w:b/>
          <w:bCs/>
          <w:noProof/>
        </w:rPr>
      </w:sdtEndPr>
      <w:sdtContent>
        <w:p w14:paraId="336B73F3" w14:textId="77777777" w:rsidR="00E01B14" w:rsidRPr="00F4578C" w:rsidRDefault="00E01B14" w:rsidP="00E01B14">
          <w:pPr>
            <w:pStyle w:val="TOCHeading"/>
            <w:rPr>
              <w:rFonts w:ascii="Arial" w:hAnsi="Arial" w:cs="Arial"/>
              <w:color w:val="000000" w:themeColor="text1"/>
              <w:sz w:val="24"/>
              <w:szCs w:val="24"/>
              <w:lang w:val="hr-HR"/>
            </w:rPr>
          </w:pPr>
          <w:r w:rsidRPr="00F4578C">
            <w:rPr>
              <w:rFonts w:ascii="Arial" w:hAnsi="Arial" w:cs="Arial"/>
              <w:color w:val="000000" w:themeColor="text1"/>
              <w:sz w:val="24"/>
              <w:szCs w:val="24"/>
            </w:rPr>
            <w:t>SADRŽAJ RADA</w:t>
          </w:r>
        </w:p>
        <w:p w14:paraId="3C4C0892" w14:textId="77777777" w:rsidR="00E01B14" w:rsidRPr="00F4578C" w:rsidRDefault="00E01B14" w:rsidP="00E01B14">
          <w:pPr>
            <w:pStyle w:val="TOC1"/>
            <w:tabs>
              <w:tab w:val="left" w:pos="440"/>
              <w:tab w:val="right" w:leader="dot" w:pos="9062"/>
            </w:tabs>
            <w:rPr>
              <w:rFonts w:ascii="Arial" w:eastAsiaTheme="minorEastAsia" w:hAnsi="Arial" w:cs="Arial"/>
              <w:b w:val="0"/>
              <w:bCs w:val="0"/>
              <w:i w:val="0"/>
              <w:iCs w:val="0"/>
              <w:noProof/>
              <w:lang w:eastAsia="en-GB"/>
            </w:rPr>
          </w:pPr>
          <w:r w:rsidRPr="00F4578C">
            <w:rPr>
              <w:rFonts w:ascii="Arial" w:hAnsi="Arial" w:cs="Arial"/>
              <w:i w:val="0"/>
              <w:iCs w:val="0"/>
            </w:rPr>
            <w:fldChar w:fldCharType="begin"/>
          </w:r>
          <w:r w:rsidRPr="00F4578C">
            <w:rPr>
              <w:rFonts w:ascii="Arial" w:hAnsi="Arial" w:cs="Arial"/>
              <w:i w:val="0"/>
              <w:iCs w:val="0"/>
            </w:rPr>
            <w:instrText xml:space="preserve"> TOC \o "1-3" \h \z \u </w:instrText>
          </w:r>
          <w:r w:rsidRPr="00F4578C">
            <w:rPr>
              <w:rFonts w:ascii="Arial" w:hAnsi="Arial" w:cs="Arial"/>
              <w:i w:val="0"/>
              <w:iCs w:val="0"/>
            </w:rPr>
            <w:fldChar w:fldCharType="separate"/>
          </w:r>
          <w:hyperlink w:anchor="_Toc74693060" w:history="1">
            <w:r w:rsidRPr="00F4578C">
              <w:rPr>
                <w:rStyle w:val="Hyperlink"/>
                <w:rFonts w:ascii="Arial" w:hAnsi="Arial" w:cs="Arial"/>
                <w:noProof/>
              </w:rPr>
              <w:t>1.</w:t>
            </w:r>
            <w:r w:rsidRPr="00F4578C">
              <w:rPr>
                <w:rFonts w:ascii="Arial" w:eastAsiaTheme="minorEastAsia" w:hAnsi="Arial" w:cs="Arial"/>
                <w:b w:val="0"/>
                <w:bCs w:val="0"/>
                <w:i w:val="0"/>
                <w:iCs w:val="0"/>
                <w:noProof/>
                <w:lang w:eastAsia="en-GB"/>
              </w:rPr>
              <w:tab/>
            </w:r>
            <w:r w:rsidRPr="00F4578C">
              <w:rPr>
                <w:rStyle w:val="Hyperlink"/>
                <w:rFonts w:ascii="Arial" w:hAnsi="Arial" w:cs="Arial"/>
                <w:noProof/>
              </w:rPr>
              <w:t>UVOD</w:t>
            </w:r>
            <w:r w:rsidRPr="00F4578C">
              <w:rPr>
                <w:rFonts w:ascii="Arial" w:hAnsi="Arial" w:cs="Arial"/>
                <w:noProof/>
                <w:webHidden/>
              </w:rPr>
              <w:tab/>
            </w:r>
            <w:r w:rsidRPr="00F4578C">
              <w:rPr>
                <w:rFonts w:ascii="Arial" w:hAnsi="Arial" w:cs="Arial"/>
                <w:noProof/>
                <w:webHidden/>
              </w:rPr>
              <w:fldChar w:fldCharType="begin"/>
            </w:r>
            <w:r w:rsidRPr="00F4578C">
              <w:rPr>
                <w:rFonts w:ascii="Arial" w:hAnsi="Arial" w:cs="Arial"/>
                <w:noProof/>
                <w:webHidden/>
              </w:rPr>
              <w:instrText xml:space="preserve"> PAGEREF _Toc74693060 \h </w:instrText>
            </w:r>
            <w:r w:rsidRPr="00F4578C">
              <w:rPr>
                <w:rFonts w:ascii="Arial" w:hAnsi="Arial" w:cs="Arial"/>
                <w:noProof/>
                <w:webHidden/>
              </w:rPr>
            </w:r>
            <w:r w:rsidRPr="00F4578C">
              <w:rPr>
                <w:rFonts w:ascii="Arial" w:hAnsi="Arial" w:cs="Arial"/>
                <w:noProof/>
                <w:webHidden/>
              </w:rPr>
              <w:fldChar w:fldCharType="separate"/>
            </w:r>
            <w:r w:rsidRPr="00F4578C">
              <w:rPr>
                <w:rFonts w:ascii="Arial" w:hAnsi="Arial" w:cs="Arial"/>
                <w:noProof/>
                <w:webHidden/>
              </w:rPr>
              <w:t>1</w:t>
            </w:r>
            <w:r w:rsidRPr="00F4578C">
              <w:rPr>
                <w:rFonts w:ascii="Arial" w:hAnsi="Arial" w:cs="Arial"/>
                <w:noProof/>
                <w:webHidden/>
              </w:rPr>
              <w:fldChar w:fldCharType="end"/>
            </w:r>
          </w:hyperlink>
        </w:p>
        <w:p w14:paraId="4BF193F8" w14:textId="77777777" w:rsidR="00E01B14" w:rsidRPr="00F4578C" w:rsidRDefault="00B455A0" w:rsidP="00F4578C">
          <w:pPr>
            <w:pStyle w:val="TOC2"/>
            <w:rPr>
              <w:rFonts w:eastAsiaTheme="minorEastAsia"/>
              <w:sz w:val="24"/>
              <w:szCs w:val="24"/>
              <w:lang w:eastAsia="en-GB"/>
            </w:rPr>
          </w:pPr>
          <w:hyperlink w:anchor="_Toc74693061" w:history="1">
            <w:r w:rsidR="00E01B14" w:rsidRPr="00F4578C">
              <w:rPr>
                <w:rStyle w:val="Hyperlink"/>
              </w:rPr>
              <w:t>1.1.</w:t>
            </w:r>
            <w:r w:rsidR="00E01B14" w:rsidRPr="00F4578C">
              <w:rPr>
                <w:rFonts w:eastAsiaTheme="minorEastAsia"/>
                <w:sz w:val="24"/>
                <w:szCs w:val="24"/>
                <w:lang w:eastAsia="en-GB"/>
              </w:rPr>
              <w:tab/>
            </w:r>
            <w:r w:rsidR="00F4578C" w:rsidRPr="00E01B14">
              <w:t>Etiologija i epidemiologija IgA vaskulitisa</w:t>
            </w:r>
            <w:r w:rsidR="00E01B14" w:rsidRPr="00F4578C">
              <w:rPr>
                <w:webHidden/>
              </w:rPr>
              <w:tab/>
            </w:r>
            <w:r w:rsidR="00E01B14" w:rsidRPr="00F4578C">
              <w:rPr>
                <w:webHidden/>
              </w:rPr>
              <w:fldChar w:fldCharType="begin"/>
            </w:r>
            <w:r w:rsidR="00E01B14" w:rsidRPr="00F4578C">
              <w:rPr>
                <w:webHidden/>
              </w:rPr>
              <w:instrText xml:space="preserve"> PAGEREF _Toc74693061 \h </w:instrText>
            </w:r>
            <w:r w:rsidR="00E01B14" w:rsidRPr="00F4578C">
              <w:rPr>
                <w:webHidden/>
              </w:rPr>
            </w:r>
            <w:r w:rsidR="00E01B14" w:rsidRPr="00F4578C">
              <w:rPr>
                <w:webHidden/>
              </w:rPr>
              <w:fldChar w:fldCharType="separate"/>
            </w:r>
            <w:r w:rsidR="00E01B14" w:rsidRPr="00F4578C">
              <w:rPr>
                <w:webHidden/>
              </w:rPr>
              <w:t>1</w:t>
            </w:r>
            <w:r w:rsidR="00E01B14" w:rsidRPr="00F4578C">
              <w:rPr>
                <w:webHidden/>
              </w:rPr>
              <w:fldChar w:fldCharType="end"/>
            </w:r>
          </w:hyperlink>
        </w:p>
        <w:p w14:paraId="0DC65D26" w14:textId="4C923D28" w:rsidR="00E01B14" w:rsidRPr="00F4578C" w:rsidRDefault="00B455A0" w:rsidP="00F4578C">
          <w:pPr>
            <w:pStyle w:val="TOC2"/>
            <w:rPr>
              <w:rFonts w:eastAsiaTheme="minorEastAsia"/>
              <w:sz w:val="24"/>
              <w:szCs w:val="24"/>
              <w:lang w:eastAsia="en-GB"/>
            </w:rPr>
          </w:pPr>
          <w:hyperlink w:anchor="_Toc74693062" w:history="1">
            <w:r w:rsidR="00E01B14" w:rsidRPr="00F4578C">
              <w:rPr>
                <w:rStyle w:val="Hyperlink"/>
              </w:rPr>
              <w:t>1.2.</w:t>
            </w:r>
            <w:r w:rsidR="00E01B14" w:rsidRPr="00F4578C">
              <w:rPr>
                <w:rFonts w:eastAsiaTheme="minorEastAsia"/>
                <w:sz w:val="24"/>
                <w:szCs w:val="24"/>
                <w:lang w:eastAsia="en-GB"/>
              </w:rPr>
              <w:tab/>
            </w:r>
            <w:r w:rsidR="00F4578C" w:rsidRPr="00E01B14">
              <w:t>Klinička slika i liječenje IgA vaskulitisa</w:t>
            </w:r>
            <w:r w:rsidR="00E01B14" w:rsidRPr="00F4578C">
              <w:rPr>
                <w:webHidden/>
              </w:rPr>
              <w:tab/>
            </w:r>
            <w:r w:rsidR="009312CD">
              <w:rPr>
                <w:webHidden/>
              </w:rPr>
              <w:t>1</w:t>
            </w:r>
          </w:hyperlink>
        </w:p>
        <w:p w14:paraId="0DF03C4C" w14:textId="7348E24C" w:rsidR="00430CCC" w:rsidRDefault="00B455A0" w:rsidP="00430CCC">
          <w:pPr>
            <w:pStyle w:val="TOC2"/>
            <w:ind w:left="0"/>
          </w:pPr>
          <w:hyperlink w:anchor="_Toc74693064" w:history="1">
            <w:r w:rsidR="00E01B14" w:rsidRPr="00F4578C">
              <w:rPr>
                <w:rStyle w:val="Hyperlink"/>
              </w:rPr>
              <w:t>2.</w:t>
            </w:r>
            <w:r w:rsidR="00430CCC">
              <w:rPr>
                <w:rFonts w:eastAsiaTheme="minorEastAsia"/>
                <w:b w:val="0"/>
                <w:bCs w:val="0"/>
                <w:lang w:eastAsia="en-GB"/>
              </w:rPr>
              <w:t xml:space="preserve">    </w:t>
            </w:r>
            <w:r w:rsidR="00F4578C" w:rsidRPr="00430CCC">
              <w:rPr>
                <w:i/>
                <w:sz w:val="24"/>
              </w:rPr>
              <w:t>OPĆI I SPECIFIČNI CILJEVI RADA</w:t>
            </w:r>
            <w:r w:rsidR="00E01B14" w:rsidRPr="00F4578C">
              <w:rPr>
                <w:webHidden/>
              </w:rPr>
              <w:tab/>
            </w:r>
            <w:r w:rsidR="009312CD">
              <w:rPr>
                <w:webHidden/>
              </w:rPr>
              <w:t>2</w:t>
            </w:r>
          </w:hyperlink>
        </w:p>
        <w:p w14:paraId="5445D9A5" w14:textId="65B1F87D" w:rsidR="00430CCC" w:rsidRPr="00F4578C" w:rsidRDefault="00B455A0" w:rsidP="00430CCC">
          <w:pPr>
            <w:pStyle w:val="TOC2"/>
            <w:rPr>
              <w:rFonts w:eastAsiaTheme="minorEastAsia"/>
              <w:sz w:val="24"/>
              <w:szCs w:val="24"/>
              <w:lang w:eastAsia="en-GB"/>
            </w:rPr>
          </w:pPr>
          <w:hyperlink w:anchor="_Toc74693061" w:history="1">
            <w:r w:rsidR="00430CCC">
              <w:rPr>
                <w:rStyle w:val="Hyperlink"/>
              </w:rPr>
              <w:t>2</w:t>
            </w:r>
            <w:r w:rsidR="00430CCC" w:rsidRPr="00F4578C">
              <w:rPr>
                <w:rStyle w:val="Hyperlink"/>
              </w:rPr>
              <w:t>.1.</w:t>
            </w:r>
            <w:r w:rsidR="00430CCC" w:rsidRPr="00F4578C">
              <w:rPr>
                <w:rFonts w:eastAsiaTheme="minorEastAsia"/>
                <w:sz w:val="24"/>
                <w:szCs w:val="24"/>
                <w:lang w:eastAsia="en-GB"/>
              </w:rPr>
              <w:tab/>
            </w:r>
            <w:r w:rsidR="00430CCC">
              <w:t>Opći cilj rad</w:t>
            </w:r>
            <w:r w:rsidR="00430CCC" w:rsidRPr="00E01B14">
              <w:t>a</w:t>
            </w:r>
            <w:r w:rsidR="00430CCC" w:rsidRPr="00F4578C">
              <w:rPr>
                <w:webHidden/>
              </w:rPr>
              <w:tab/>
            </w:r>
            <w:r w:rsidR="009312CD">
              <w:rPr>
                <w:webHidden/>
              </w:rPr>
              <w:t>2</w:t>
            </w:r>
          </w:hyperlink>
        </w:p>
        <w:p w14:paraId="16BB64F6" w14:textId="14AAE3A5" w:rsidR="00E01B14" w:rsidRPr="00430CCC" w:rsidRDefault="00B455A0" w:rsidP="00430CCC">
          <w:pPr>
            <w:pStyle w:val="TOC2"/>
            <w:rPr>
              <w:rFonts w:eastAsiaTheme="minorEastAsia"/>
              <w:sz w:val="24"/>
              <w:szCs w:val="24"/>
              <w:lang w:eastAsia="en-GB"/>
            </w:rPr>
          </w:pPr>
          <w:hyperlink w:anchor="_Toc74693061" w:history="1">
            <w:r w:rsidR="00430CCC">
              <w:rPr>
                <w:rStyle w:val="Hyperlink"/>
              </w:rPr>
              <w:t>2.2</w:t>
            </w:r>
            <w:r w:rsidR="00430CCC" w:rsidRPr="00F4578C">
              <w:rPr>
                <w:rStyle w:val="Hyperlink"/>
              </w:rPr>
              <w:t>.</w:t>
            </w:r>
            <w:r w:rsidR="00430CCC" w:rsidRPr="00F4578C">
              <w:rPr>
                <w:rFonts w:eastAsiaTheme="minorEastAsia"/>
                <w:sz w:val="24"/>
                <w:szCs w:val="24"/>
                <w:lang w:eastAsia="en-GB"/>
              </w:rPr>
              <w:tab/>
            </w:r>
            <w:r w:rsidR="00430CCC">
              <w:t>Specifični ciljevi rada</w:t>
            </w:r>
            <w:r w:rsidR="00430CCC" w:rsidRPr="00F4578C">
              <w:rPr>
                <w:webHidden/>
              </w:rPr>
              <w:tab/>
            </w:r>
            <w:r w:rsidR="009312CD">
              <w:rPr>
                <w:webHidden/>
              </w:rPr>
              <w:t>2</w:t>
            </w:r>
          </w:hyperlink>
        </w:p>
        <w:p w14:paraId="2E1CF8ED" w14:textId="18CA7E98" w:rsidR="00E01B14" w:rsidRDefault="00B455A0" w:rsidP="00E01B14">
          <w:pPr>
            <w:pStyle w:val="TOC1"/>
            <w:tabs>
              <w:tab w:val="left" w:pos="440"/>
              <w:tab w:val="right" w:leader="dot" w:pos="9062"/>
            </w:tabs>
            <w:rPr>
              <w:rFonts w:ascii="Arial" w:hAnsi="Arial" w:cs="Arial"/>
              <w:noProof/>
            </w:rPr>
          </w:pPr>
          <w:hyperlink w:anchor="_Toc74693065" w:history="1">
            <w:r w:rsidR="00E01B14" w:rsidRPr="00F4578C">
              <w:rPr>
                <w:rStyle w:val="Hyperlink"/>
                <w:rFonts w:ascii="Arial" w:eastAsia="Times New Roman" w:hAnsi="Arial" w:cs="Arial"/>
                <w:noProof/>
              </w:rPr>
              <w:t>3.</w:t>
            </w:r>
            <w:r w:rsidR="00E01B14" w:rsidRPr="00F4578C">
              <w:rPr>
                <w:rFonts w:ascii="Arial" w:eastAsiaTheme="minorEastAsia" w:hAnsi="Arial" w:cs="Arial"/>
                <w:b w:val="0"/>
                <w:bCs w:val="0"/>
                <w:i w:val="0"/>
                <w:iCs w:val="0"/>
                <w:noProof/>
                <w:lang w:eastAsia="en-GB"/>
              </w:rPr>
              <w:tab/>
            </w:r>
            <w:r w:rsidR="00E01B14" w:rsidRPr="00F4578C">
              <w:rPr>
                <w:rStyle w:val="Hyperlink"/>
                <w:rFonts w:ascii="Arial" w:hAnsi="Arial" w:cs="Arial"/>
                <w:noProof/>
              </w:rPr>
              <w:t xml:space="preserve">ISPITANICI I </w:t>
            </w:r>
            <w:r w:rsidR="00E01B14" w:rsidRPr="00F4578C">
              <w:rPr>
                <w:rStyle w:val="Hyperlink"/>
                <w:rFonts w:ascii="Arial" w:eastAsia="Times New Roman" w:hAnsi="Arial" w:cs="Arial"/>
                <w:noProof/>
              </w:rPr>
              <w:t>METODE</w:t>
            </w:r>
            <w:r w:rsidR="00E01B14" w:rsidRPr="00F4578C">
              <w:rPr>
                <w:rFonts w:ascii="Arial" w:hAnsi="Arial" w:cs="Arial"/>
                <w:noProof/>
                <w:webHidden/>
              </w:rPr>
              <w:tab/>
            </w:r>
            <w:r w:rsidR="009312CD">
              <w:rPr>
                <w:rFonts w:ascii="Arial" w:hAnsi="Arial" w:cs="Arial"/>
                <w:noProof/>
                <w:webHidden/>
              </w:rPr>
              <w:t>2</w:t>
            </w:r>
          </w:hyperlink>
        </w:p>
        <w:p w14:paraId="2886617C" w14:textId="60656518" w:rsidR="00E01B14" w:rsidRPr="00F4578C" w:rsidRDefault="00B455A0" w:rsidP="00E01B14">
          <w:pPr>
            <w:pStyle w:val="TOC1"/>
            <w:tabs>
              <w:tab w:val="left" w:pos="440"/>
              <w:tab w:val="right" w:leader="dot" w:pos="9062"/>
            </w:tabs>
            <w:rPr>
              <w:rFonts w:ascii="Arial" w:eastAsiaTheme="minorEastAsia" w:hAnsi="Arial" w:cs="Arial"/>
              <w:b w:val="0"/>
              <w:bCs w:val="0"/>
              <w:i w:val="0"/>
              <w:iCs w:val="0"/>
              <w:noProof/>
              <w:lang w:eastAsia="en-GB"/>
            </w:rPr>
          </w:pPr>
          <w:hyperlink w:anchor="_Toc74693069" w:history="1">
            <w:r w:rsidR="00E01B14" w:rsidRPr="00F4578C">
              <w:rPr>
                <w:rStyle w:val="Hyperlink"/>
                <w:rFonts w:ascii="Arial" w:eastAsia="Times New Roman" w:hAnsi="Arial" w:cs="Arial"/>
                <w:noProof/>
              </w:rPr>
              <w:t>4.</w:t>
            </w:r>
            <w:r w:rsidR="00E01B14" w:rsidRPr="00F4578C">
              <w:rPr>
                <w:rFonts w:ascii="Arial" w:eastAsiaTheme="minorEastAsia" w:hAnsi="Arial" w:cs="Arial"/>
                <w:b w:val="0"/>
                <w:bCs w:val="0"/>
                <w:i w:val="0"/>
                <w:iCs w:val="0"/>
                <w:noProof/>
                <w:lang w:eastAsia="en-GB"/>
              </w:rPr>
              <w:tab/>
            </w:r>
            <w:r w:rsidR="00E01B14" w:rsidRPr="00F4578C">
              <w:rPr>
                <w:rStyle w:val="Hyperlink"/>
                <w:rFonts w:ascii="Arial" w:eastAsia="Times New Roman" w:hAnsi="Arial" w:cs="Arial"/>
                <w:noProof/>
              </w:rPr>
              <w:t>REZULTATI</w:t>
            </w:r>
            <w:r w:rsidR="00E01B14" w:rsidRPr="00F4578C">
              <w:rPr>
                <w:rFonts w:ascii="Arial" w:hAnsi="Arial" w:cs="Arial"/>
                <w:noProof/>
                <w:webHidden/>
              </w:rPr>
              <w:tab/>
            </w:r>
            <w:r w:rsidR="009312CD">
              <w:rPr>
                <w:rFonts w:ascii="Arial" w:hAnsi="Arial" w:cs="Arial"/>
                <w:noProof/>
                <w:webHidden/>
              </w:rPr>
              <w:t>4</w:t>
            </w:r>
          </w:hyperlink>
        </w:p>
        <w:p w14:paraId="46568D2A" w14:textId="370E9702" w:rsidR="00E01B14" w:rsidRPr="00F4578C" w:rsidRDefault="00B455A0" w:rsidP="00F4578C">
          <w:pPr>
            <w:pStyle w:val="TOC2"/>
            <w:rPr>
              <w:rFonts w:eastAsiaTheme="minorEastAsia"/>
              <w:sz w:val="24"/>
              <w:szCs w:val="24"/>
              <w:lang w:eastAsia="en-GB"/>
            </w:rPr>
          </w:pPr>
          <w:hyperlink w:anchor="_Toc74693070" w:history="1">
            <w:r w:rsidR="00E01B14" w:rsidRPr="00F4578C">
              <w:rPr>
                <w:rStyle w:val="Hyperlink"/>
              </w:rPr>
              <w:t>4.1.</w:t>
            </w:r>
            <w:r w:rsidR="00E01B14" w:rsidRPr="00F4578C">
              <w:rPr>
                <w:rFonts w:eastAsiaTheme="minorEastAsia"/>
                <w:sz w:val="24"/>
                <w:szCs w:val="24"/>
                <w:lang w:eastAsia="en-GB"/>
              </w:rPr>
              <w:tab/>
            </w:r>
            <w:r w:rsidR="00F4578C" w:rsidRPr="00F4578C">
              <w:t xml:space="preserve">Usporedba kliničkih i demografskih parametara bolesnika koji su imali </w:t>
            </w:r>
            <w:r w:rsidR="002A4F14">
              <w:t xml:space="preserve">        </w:t>
            </w:r>
            <w:r w:rsidR="00F4578C" w:rsidRPr="00F4578C">
              <w:t xml:space="preserve">kožne lezije samo po donjim ekstremitetima i bolesnika s kožnim lezijama </w:t>
            </w:r>
            <w:r w:rsidR="002A4F14">
              <w:t xml:space="preserve">     proširenim </w:t>
            </w:r>
            <w:r w:rsidR="00F4578C" w:rsidRPr="00F4578C">
              <w:t>iznad donjih ekstremiteta</w:t>
            </w:r>
            <w:r w:rsidR="00E01B14" w:rsidRPr="00F4578C">
              <w:rPr>
                <w:webHidden/>
              </w:rPr>
              <w:tab/>
            </w:r>
            <w:r w:rsidR="009312CD">
              <w:rPr>
                <w:webHidden/>
              </w:rPr>
              <w:t>4</w:t>
            </w:r>
          </w:hyperlink>
        </w:p>
        <w:p w14:paraId="01726A2A" w14:textId="37404C91" w:rsidR="00E01B14" w:rsidRPr="00F4578C" w:rsidRDefault="00B455A0" w:rsidP="00F4578C">
          <w:pPr>
            <w:pStyle w:val="TOC2"/>
            <w:rPr>
              <w:rFonts w:eastAsiaTheme="minorEastAsia"/>
              <w:sz w:val="24"/>
              <w:szCs w:val="24"/>
              <w:lang w:eastAsia="en-GB"/>
            </w:rPr>
          </w:pPr>
          <w:hyperlink w:anchor="_Toc74693071" w:history="1">
            <w:r w:rsidR="00E01B14" w:rsidRPr="00F4578C">
              <w:rPr>
                <w:rStyle w:val="Hyperlink"/>
              </w:rPr>
              <w:t>4.2.</w:t>
            </w:r>
            <w:r w:rsidR="00E01B14" w:rsidRPr="00F4578C">
              <w:rPr>
                <w:rFonts w:eastAsiaTheme="minorEastAsia"/>
                <w:sz w:val="24"/>
                <w:szCs w:val="24"/>
                <w:lang w:eastAsia="en-GB"/>
              </w:rPr>
              <w:tab/>
            </w:r>
            <w:r w:rsidR="00F4578C" w:rsidRPr="00F4578C">
              <w:t xml:space="preserve">Usporedba laboratorijskih parametara bolesnika koji su imali kožne lezije </w:t>
            </w:r>
            <w:r w:rsidR="002A4F14">
              <w:t xml:space="preserve">    </w:t>
            </w:r>
            <w:r w:rsidR="00F4578C" w:rsidRPr="00F4578C">
              <w:t xml:space="preserve">samo po donjim ekstremitetima i bolesnika s kožnim lezijama proširenim iznad </w:t>
            </w:r>
            <w:r w:rsidR="002A4F14">
              <w:t xml:space="preserve">   </w:t>
            </w:r>
            <w:r w:rsidR="00F4578C" w:rsidRPr="00F4578C">
              <w:t>donjih ekstremiteta</w:t>
            </w:r>
            <w:r w:rsidR="00E01B14" w:rsidRPr="00F4578C">
              <w:rPr>
                <w:webHidden/>
              </w:rPr>
              <w:tab/>
            </w:r>
            <w:r w:rsidR="009312CD">
              <w:rPr>
                <w:webHidden/>
              </w:rPr>
              <w:t>6</w:t>
            </w:r>
          </w:hyperlink>
        </w:p>
        <w:p w14:paraId="1D5F81EF" w14:textId="13B0F854" w:rsidR="00E01B14" w:rsidRPr="00F4578C" w:rsidRDefault="00B455A0" w:rsidP="00F4578C">
          <w:pPr>
            <w:pStyle w:val="TOC2"/>
            <w:rPr>
              <w:rFonts w:eastAsiaTheme="minorEastAsia"/>
              <w:sz w:val="24"/>
              <w:szCs w:val="24"/>
              <w:lang w:eastAsia="en-GB"/>
            </w:rPr>
          </w:pPr>
          <w:hyperlink w:anchor="_Toc74693072" w:history="1">
            <w:r w:rsidR="00E01B14" w:rsidRPr="008C73DA">
              <w:rPr>
                <w:rStyle w:val="Hyperlink"/>
              </w:rPr>
              <w:t>4.3.</w:t>
            </w:r>
            <w:r w:rsidR="00E01B14" w:rsidRPr="008C73DA">
              <w:rPr>
                <w:rFonts w:eastAsiaTheme="minorEastAsia"/>
                <w:sz w:val="24"/>
                <w:szCs w:val="24"/>
                <w:lang w:eastAsia="en-GB"/>
              </w:rPr>
              <w:tab/>
            </w:r>
            <w:r w:rsidR="00F4578C" w:rsidRPr="00F4578C">
              <w:t>Usporedba kliničkih i demografskih parametara bolesnika koji su imali teške kožne promjene s ostalim bolesnicima</w:t>
            </w:r>
            <w:r w:rsidR="00E01B14" w:rsidRPr="00F4578C">
              <w:rPr>
                <w:webHidden/>
              </w:rPr>
              <w:tab/>
            </w:r>
            <w:r w:rsidR="009312CD">
              <w:rPr>
                <w:webHidden/>
              </w:rPr>
              <w:t>8</w:t>
            </w:r>
          </w:hyperlink>
        </w:p>
        <w:p w14:paraId="74087BE6" w14:textId="1F964B05" w:rsidR="00E01B14" w:rsidRPr="00F4578C" w:rsidRDefault="00B455A0" w:rsidP="00E01B14">
          <w:pPr>
            <w:pStyle w:val="TOC1"/>
            <w:tabs>
              <w:tab w:val="left" w:pos="440"/>
              <w:tab w:val="right" w:leader="dot" w:pos="9062"/>
            </w:tabs>
            <w:rPr>
              <w:rFonts w:ascii="Arial" w:eastAsiaTheme="minorEastAsia" w:hAnsi="Arial" w:cs="Arial"/>
              <w:b w:val="0"/>
              <w:bCs w:val="0"/>
              <w:i w:val="0"/>
              <w:iCs w:val="0"/>
              <w:noProof/>
              <w:lang w:eastAsia="en-GB"/>
            </w:rPr>
          </w:pPr>
          <w:hyperlink w:anchor="_Toc74693073" w:history="1">
            <w:r w:rsidR="00E01B14" w:rsidRPr="00F4578C">
              <w:rPr>
                <w:rStyle w:val="Hyperlink"/>
                <w:rFonts w:ascii="Arial" w:eastAsia="Times New Roman" w:hAnsi="Arial" w:cs="Arial"/>
                <w:noProof/>
              </w:rPr>
              <w:t>5.</w:t>
            </w:r>
            <w:r w:rsidR="00E01B14" w:rsidRPr="00F4578C">
              <w:rPr>
                <w:rFonts w:ascii="Arial" w:eastAsiaTheme="minorEastAsia" w:hAnsi="Arial" w:cs="Arial"/>
                <w:b w:val="0"/>
                <w:bCs w:val="0"/>
                <w:i w:val="0"/>
                <w:iCs w:val="0"/>
                <w:noProof/>
                <w:lang w:eastAsia="en-GB"/>
              </w:rPr>
              <w:tab/>
            </w:r>
            <w:r w:rsidR="00E01B14" w:rsidRPr="00F4578C">
              <w:rPr>
                <w:rStyle w:val="Hyperlink"/>
                <w:rFonts w:ascii="Arial" w:eastAsia="Times New Roman" w:hAnsi="Arial" w:cs="Arial"/>
                <w:noProof/>
              </w:rPr>
              <w:t>RASPRAVA</w:t>
            </w:r>
            <w:r w:rsidR="00E01B14" w:rsidRPr="00F4578C">
              <w:rPr>
                <w:rFonts w:ascii="Arial" w:hAnsi="Arial" w:cs="Arial"/>
                <w:noProof/>
                <w:webHidden/>
              </w:rPr>
              <w:tab/>
            </w:r>
            <w:r w:rsidR="009312CD">
              <w:rPr>
                <w:rFonts w:ascii="Arial" w:hAnsi="Arial" w:cs="Arial"/>
                <w:noProof/>
                <w:webHidden/>
              </w:rPr>
              <w:t>9</w:t>
            </w:r>
          </w:hyperlink>
        </w:p>
        <w:p w14:paraId="0486163D" w14:textId="3A35793E" w:rsidR="00E01B14" w:rsidRPr="00F4578C" w:rsidRDefault="00B455A0" w:rsidP="00E01B14">
          <w:pPr>
            <w:pStyle w:val="TOC1"/>
            <w:tabs>
              <w:tab w:val="left" w:pos="440"/>
              <w:tab w:val="right" w:leader="dot" w:pos="9062"/>
            </w:tabs>
            <w:rPr>
              <w:rFonts w:ascii="Arial" w:eastAsiaTheme="minorEastAsia" w:hAnsi="Arial" w:cs="Arial"/>
              <w:b w:val="0"/>
              <w:bCs w:val="0"/>
              <w:i w:val="0"/>
              <w:iCs w:val="0"/>
              <w:noProof/>
              <w:lang w:eastAsia="en-GB"/>
            </w:rPr>
          </w:pPr>
          <w:hyperlink w:anchor="_Toc74693074" w:history="1">
            <w:r w:rsidR="00E01B14" w:rsidRPr="00F4578C">
              <w:rPr>
                <w:rStyle w:val="Hyperlink"/>
                <w:rFonts w:ascii="Arial" w:eastAsia="Times New Roman" w:hAnsi="Arial" w:cs="Arial"/>
                <w:noProof/>
              </w:rPr>
              <w:t>6.</w:t>
            </w:r>
            <w:r w:rsidR="00E01B14" w:rsidRPr="00F4578C">
              <w:rPr>
                <w:rFonts w:ascii="Arial" w:eastAsiaTheme="minorEastAsia" w:hAnsi="Arial" w:cs="Arial"/>
                <w:b w:val="0"/>
                <w:bCs w:val="0"/>
                <w:i w:val="0"/>
                <w:iCs w:val="0"/>
                <w:noProof/>
                <w:lang w:eastAsia="en-GB"/>
              </w:rPr>
              <w:tab/>
            </w:r>
            <w:r w:rsidR="00E01B14" w:rsidRPr="00F4578C">
              <w:rPr>
                <w:rStyle w:val="Hyperlink"/>
                <w:rFonts w:ascii="Arial" w:eastAsia="Times New Roman" w:hAnsi="Arial" w:cs="Arial"/>
                <w:noProof/>
              </w:rPr>
              <w:t>ZAKLJUČCI</w:t>
            </w:r>
            <w:r w:rsidR="00E01B14" w:rsidRPr="00F4578C">
              <w:rPr>
                <w:rFonts w:ascii="Arial" w:hAnsi="Arial" w:cs="Arial"/>
                <w:noProof/>
                <w:webHidden/>
              </w:rPr>
              <w:tab/>
            </w:r>
            <w:r w:rsidR="009312CD">
              <w:rPr>
                <w:rFonts w:ascii="Arial" w:hAnsi="Arial" w:cs="Arial"/>
                <w:noProof/>
                <w:webHidden/>
              </w:rPr>
              <w:t>11</w:t>
            </w:r>
          </w:hyperlink>
        </w:p>
        <w:p w14:paraId="270FDEC7" w14:textId="1DA87291" w:rsidR="00E01B14" w:rsidRPr="00F4578C" w:rsidRDefault="00B455A0" w:rsidP="00E01B14">
          <w:pPr>
            <w:pStyle w:val="TOC1"/>
            <w:tabs>
              <w:tab w:val="left" w:pos="440"/>
              <w:tab w:val="right" w:leader="dot" w:pos="9062"/>
            </w:tabs>
            <w:rPr>
              <w:rFonts w:ascii="Arial" w:eastAsiaTheme="minorEastAsia" w:hAnsi="Arial" w:cs="Arial"/>
              <w:b w:val="0"/>
              <w:bCs w:val="0"/>
              <w:i w:val="0"/>
              <w:iCs w:val="0"/>
              <w:noProof/>
              <w:lang w:eastAsia="en-GB"/>
            </w:rPr>
          </w:pPr>
          <w:hyperlink w:anchor="_Toc74693075" w:history="1">
            <w:r w:rsidR="00E01B14" w:rsidRPr="00F4578C">
              <w:rPr>
                <w:rStyle w:val="Hyperlink"/>
                <w:rFonts w:ascii="Arial" w:eastAsia="Times New Roman" w:hAnsi="Arial" w:cs="Arial"/>
                <w:noProof/>
              </w:rPr>
              <w:t>7.</w:t>
            </w:r>
            <w:r w:rsidR="00E01B14" w:rsidRPr="00F4578C">
              <w:rPr>
                <w:rFonts w:ascii="Arial" w:eastAsiaTheme="minorEastAsia" w:hAnsi="Arial" w:cs="Arial"/>
                <w:b w:val="0"/>
                <w:bCs w:val="0"/>
                <w:i w:val="0"/>
                <w:iCs w:val="0"/>
                <w:noProof/>
                <w:lang w:eastAsia="en-GB"/>
              </w:rPr>
              <w:tab/>
            </w:r>
            <w:r w:rsidR="00E01B14" w:rsidRPr="00F4578C">
              <w:rPr>
                <w:rStyle w:val="Hyperlink"/>
                <w:rFonts w:ascii="Arial" w:eastAsia="Times New Roman" w:hAnsi="Arial" w:cs="Arial"/>
                <w:noProof/>
              </w:rPr>
              <w:t>ZAHVALE</w:t>
            </w:r>
            <w:r w:rsidR="00E01B14" w:rsidRPr="00F4578C">
              <w:rPr>
                <w:rFonts w:ascii="Arial" w:hAnsi="Arial" w:cs="Arial"/>
                <w:noProof/>
                <w:webHidden/>
              </w:rPr>
              <w:tab/>
            </w:r>
            <w:r w:rsidR="009312CD">
              <w:rPr>
                <w:rFonts w:ascii="Arial" w:hAnsi="Arial" w:cs="Arial"/>
                <w:noProof/>
                <w:webHidden/>
              </w:rPr>
              <w:t>12</w:t>
            </w:r>
          </w:hyperlink>
        </w:p>
        <w:p w14:paraId="26E2501C" w14:textId="13BF8B2F" w:rsidR="00E01B14" w:rsidRPr="00F4578C" w:rsidRDefault="00B455A0" w:rsidP="00E01B14">
          <w:pPr>
            <w:pStyle w:val="TOC1"/>
            <w:tabs>
              <w:tab w:val="left" w:pos="440"/>
              <w:tab w:val="right" w:leader="dot" w:pos="9062"/>
            </w:tabs>
            <w:rPr>
              <w:rFonts w:ascii="Arial" w:eastAsiaTheme="minorEastAsia" w:hAnsi="Arial" w:cs="Arial"/>
              <w:b w:val="0"/>
              <w:bCs w:val="0"/>
              <w:i w:val="0"/>
              <w:iCs w:val="0"/>
              <w:noProof/>
              <w:lang w:eastAsia="en-GB"/>
            </w:rPr>
          </w:pPr>
          <w:hyperlink w:anchor="_Toc74693076" w:history="1">
            <w:r w:rsidR="00E01B14" w:rsidRPr="00F4578C">
              <w:rPr>
                <w:rStyle w:val="Hyperlink"/>
                <w:rFonts w:ascii="Arial" w:hAnsi="Arial" w:cs="Arial"/>
                <w:noProof/>
              </w:rPr>
              <w:t>8.</w:t>
            </w:r>
            <w:r w:rsidR="00E01B14" w:rsidRPr="00F4578C">
              <w:rPr>
                <w:rFonts w:ascii="Arial" w:eastAsiaTheme="minorEastAsia" w:hAnsi="Arial" w:cs="Arial"/>
                <w:b w:val="0"/>
                <w:bCs w:val="0"/>
                <w:i w:val="0"/>
                <w:iCs w:val="0"/>
                <w:noProof/>
                <w:lang w:eastAsia="en-GB"/>
              </w:rPr>
              <w:tab/>
            </w:r>
            <w:r w:rsidR="00430CCC">
              <w:rPr>
                <w:rStyle w:val="Hyperlink"/>
                <w:rFonts w:ascii="Arial" w:hAnsi="Arial" w:cs="Arial"/>
                <w:noProof/>
              </w:rPr>
              <w:t>POPIS LITERATURE</w:t>
            </w:r>
            <w:r w:rsidR="00E01B14" w:rsidRPr="00F4578C">
              <w:rPr>
                <w:rFonts w:ascii="Arial" w:hAnsi="Arial" w:cs="Arial"/>
                <w:noProof/>
                <w:webHidden/>
              </w:rPr>
              <w:tab/>
            </w:r>
            <w:r w:rsidR="009312CD">
              <w:rPr>
                <w:rFonts w:ascii="Arial" w:hAnsi="Arial" w:cs="Arial"/>
                <w:noProof/>
                <w:webHidden/>
              </w:rPr>
              <w:t>13</w:t>
            </w:r>
          </w:hyperlink>
        </w:p>
        <w:p w14:paraId="53281784" w14:textId="00AF9DEC" w:rsidR="00E01B14" w:rsidRDefault="00B455A0" w:rsidP="00E01B14">
          <w:pPr>
            <w:pStyle w:val="TOC1"/>
            <w:tabs>
              <w:tab w:val="left" w:pos="440"/>
              <w:tab w:val="right" w:leader="dot" w:pos="9062"/>
            </w:tabs>
            <w:rPr>
              <w:rFonts w:ascii="Arial" w:hAnsi="Arial" w:cs="Arial"/>
              <w:noProof/>
            </w:rPr>
          </w:pPr>
          <w:hyperlink w:anchor="_Toc74693077" w:history="1">
            <w:r w:rsidR="00E01B14" w:rsidRPr="00F4578C">
              <w:rPr>
                <w:rStyle w:val="Hyperlink"/>
                <w:rFonts w:ascii="Arial" w:hAnsi="Arial" w:cs="Arial"/>
                <w:noProof/>
              </w:rPr>
              <w:t>9.</w:t>
            </w:r>
            <w:r w:rsidR="00E01B14" w:rsidRPr="00F4578C">
              <w:rPr>
                <w:rFonts w:ascii="Arial" w:eastAsiaTheme="minorEastAsia" w:hAnsi="Arial" w:cs="Arial"/>
                <w:b w:val="0"/>
                <w:bCs w:val="0"/>
                <w:i w:val="0"/>
                <w:iCs w:val="0"/>
                <w:noProof/>
                <w:lang w:eastAsia="en-GB"/>
              </w:rPr>
              <w:tab/>
            </w:r>
            <w:r w:rsidR="00E01B14" w:rsidRPr="00F4578C">
              <w:rPr>
                <w:rStyle w:val="Hyperlink"/>
                <w:rFonts w:ascii="Arial" w:hAnsi="Arial" w:cs="Arial"/>
                <w:noProof/>
              </w:rPr>
              <w:t>SAŽETAK</w:t>
            </w:r>
            <w:r w:rsidR="00E01B14" w:rsidRPr="00F4578C">
              <w:rPr>
                <w:rFonts w:ascii="Arial" w:hAnsi="Arial" w:cs="Arial"/>
                <w:noProof/>
                <w:webHidden/>
              </w:rPr>
              <w:tab/>
            </w:r>
            <w:r w:rsidR="009312CD">
              <w:rPr>
                <w:rFonts w:ascii="Arial" w:hAnsi="Arial" w:cs="Arial"/>
                <w:noProof/>
                <w:webHidden/>
              </w:rPr>
              <w:t>15</w:t>
            </w:r>
          </w:hyperlink>
        </w:p>
        <w:p w14:paraId="441AF885" w14:textId="6CA47A5E" w:rsidR="00430CCC" w:rsidRPr="00430CCC" w:rsidRDefault="00B455A0" w:rsidP="00430CCC">
          <w:pPr>
            <w:pStyle w:val="TOC1"/>
            <w:tabs>
              <w:tab w:val="left" w:pos="660"/>
              <w:tab w:val="right" w:leader="dot" w:pos="9062"/>
            </w:tabs>
            <w:rPr>
              <w:rFonts w:ascii="Arial" w:eastAsiaTheme="minorEastAsia" w:hAnsi="Arial" w:cs="Arial"/>
              <w:b w:val="0"/>
              <w:bCs w:val="0"/>
              <w:i w:val="0"/>
              <w:iCs w:val="0"/>
              <w:noProof/>
              <w:lang w:eastAsia="en-GB"/>
            </w:rPr>
          </w:pPr>
          <w:hyperlink w:anchor="_Toc74693078" w:history="1">
            <w:r w:rsidR="00430CCC" w:rsidRPr="00F4578C">
              <w:rPr>
                <w:rStyle w:val="Hyperlink"/>
                <w:rFonts w:ascii="Arial" w:hAnsi="Arial" w:cs="Arial"/>
                <w:noProof/>
                <w:lang w:val="en-GB"/>
              </w:rPr>
              <w:t>10.</w:t>
            </w:r>
            <w:r w:rsidR="00430CCC" w:rsidRPr="00F4578C">
              <w:rPr>
                <w:rFonts w:ascii="Arial" w:eastAsiaTheme="minorEastAsia" w:hAnsi="Arial" w:cs="Arial"/>
                <w:b w:val="0"/>
                <w:bCs w:val="0"/>
                <w:i w:val="0"/>
                <w:iCs w:val="0"/>
                <w:noProof/>
                <w:lang w:eastAsia="en-GB"/>
              </w:rPr>
              <w:tab/>
            </w:r>
            <w:r w:rsidR="00430CCC" w:rsidRPr="00F4578C">
              <w:rPr>
                <w:rStyle w:val="Hyperlink"/>
                <w:rFonts w:ascii="Arial" w:hAnsi="Arial" w:cs="Arial"/>
                <w:noProof/>
                <w:lang w:val="en-GB"/>
              </w:rPr>
              <w:t>SUMMARY</w:t>
            </w:r>
            <w:r w:rsidR="00430CCC" w:rsidRPr="00F4578C">
              <w:rPr>
                <w:rFonts w:ascii="Arial" w:hAnsi="Arial" w:cs="Arial"/>
                <w:noProof/>
                <w:webHidden/>
              </w:rPr>
              <w:tab/>
            </w:r>
            <w:r w:rsidR="009312CD">
              <w:rPr>
                <w:rFonts w:ascii="Arial" w:hAnsi="Arial" w:cs="Arial"/>
                <w:noProof/>
                <w:webHidden/>
              </w:rPr>
              <w:t>16</w:t>
            </w:r>
          </w:hyperlink>
        </w:p>
        <w:p w14:paraId="59BCF0CA" w14:textId="0576E0F9" w:rsidR="00E01B14" w:rsidRPr="00F4578C" w:rsidRDefault="00B455A0" w:rsidP="00E01B14">
          <w:pPr>
            <w:pStyle w:val="TOC1"/>
            <w:tabs>
              <w:tab w:val="left" w:pos="660"/>
              <w:tab w:val="right" w:leader="dot" w:pos="9062"/>
            </w:tabs>
            <w:rPr>
              <w:rFonts w:ascii="Arial" w:eastAsiaTheme="minorEastAsia" w:hAnsi="Arial" w:cs="Arial"/>
              <w:b w:val="0"/>
              <w:bCs w:val="0"/>
              <w:i w:val="0"/>
              <w:iCs w:val="0"/>
              <w:noProof/>
              <w:lang w:eastAsia="en-GB"/>
            </w:rPr>
          </w:pPr>
          <w:hyperlink w:anchor="_Toc74693078" w:history="1">
            <w:r w:rsidR="00430CCC">
              <w:rPr>
                <w:rStyle w:val="Hyperlink"/>
                <w:rFonts w:ascii="Arial" w:hAnsi="Arial" w:cs="Arial"/>
                <w:noProof/>
                <w:lang w:val="en-GB"/>
              </w:rPr>
              <w:t>11</w:t>
            </w:r>
            <w:r w:rsidR="00E01B14" w:rsidRPr="00F4578C">
              <w:rPr>
                <w:rStyle w:val="Hyperlink"/>
                <w:rFonts w:ascii="Arial" w:hAnsi="Arial" w:cs="Arial"/>
                <w:noProof/>
                <w:lang w:val="en-GB"/>
              </w:rPr>
              <w:t>.</w:t>
            </w:r>
            <w:r w:rsidR="00E01B14" w:rsidRPr="00F4578C">
              <w:rPr>
                <w:rFonts w:ascii="Arial" w:eastAsiaTheme="minorEastAsia" w:hAnsi="Arial" w:cs="Arial"/>
                <w:b w:val="0"/>
                <w:bCs w:val="0"/>
                <w:i w:val="0"/>
                <w:iCs w:val="0"/>
                <w:noProof/>
                <w:lang w:eastAsia="en-GB"/>
              </w:rPr>
              <w:tab/>
            </w:r>
            <w:r w:rsidR="00430CCC">
              <w:rPr>
                <w:rStyle w:val="Hyperlink"/>
                <w:rFonts w:ascii="Arial" w:hAnsi="Arial" w:cs="Arial"/>
                <w:noProof/>
                <w:lang w:val="en-GB"/>
              </w:rPr>
              <w:t>ŽIVOTOPIS</w:t>
            </w:r>
            <w:r w:rsidR="00E01B14" w:rsidRPr="00F4578C">
              <w:rPr>
                <w:rFonts w:ascii="Arial" w:hAnsi="Arial" w:cs="Arial"/>
                <w:noProof/>
                <w:webHidden/>
              </w:rPr>
              <w:tab/>
            </w:r>
            <w:r w:rsidR="009312CD">
              <w:rPr>
                <w:rFonts w:ascii="Arial" w:hAnsi="Arial" w:cs="Arial"/>
                <w:noProof/>
                <w:webHidden/>
              </w:rPr>
              <w:t>17</w:t>
            </w:r>
          </w:hyperlink>
        </w:p>
        <w:p w14:paraId="406E537E" w14:textId="77777777" w:rsidR="00E01B14" w:rsidRPr="00430CCC" w:rsidRDefault="00E01B14" w:rsidP="00430CCC">
          <w:pPr>
            <w:pStyle w:val="TOC1"/>
            <w:tabs>
              <w:tab w:val="left" w:pos="660"/>
              <w:tab w:val="right" w:leader="dot" w:pos="9062"/>
            </w:tabs>
            <w:rPr>
              <w:rFonts w:ascii="Arial" w:eastAsiaTheme="minorEastAsia" w:hAnsi="Arial" w:cs="Arial"/>
              <w:b w:val="0"/>
              <w:bCs w:val="0"/>
              <w:i w:val="0"/>
              <w:iCs w:val="0"/>
              <w:noProof/>
              <w:lang w:eastAsia="en-GB"/>
            </w:rPr>
          </w:pPr>
          <w:r w:rsidRPr="00F4578C">
            <w:rPr>
              <w:rFonts w:ascii="Arial" w:hAnsi="Arial" w:cs="Arial"/>
              <w:i w:val="0"/>
              <w:iCs w:val="0"/>
            </w:rPr>
            <w:fldChar w:fldCharType="end"/>
          </w:r>
        </w:p>
      </w:sdtContent>
    </w:sdt>
    <w:p w14:paraId="6385E801" w14:textId="77777777" w:rsidR="00E01B14" w:rsidRDefault="00E01B14" w:rsidP="00FF1184">
      <w:pPr>
        <w:spacing w:after="200" w:line="360" w:lineRule="auto"/>
        <w:jc w:val="both"/>
        <w:rPr>
          <w:rFonts w:ascii="Arial" w:hAnsi="Arial" w:cs="Arial"/>
          <w:b/>
          <w:bCs/>
          <w:szCs w:val="22"/>
        </w:rPr>
      </w:pPr>
    </w:p>
    <w:p w14:paraId="23226966" w14:textId="77777777" w:rsidR="00430CCC" w:rsidRDefault="00430CCC" w:rsidP="00FF1184">
      <w:pPr>
        <w:spacing w:after="200" w:line="360" w:lineRule="auto"/>
        <w:jc w:val="both"/>
        <w:rPr>
          <w:rFonts w:ascii="Arial" w:hAnsi="Arial" w:cs="Arial"/>
          <w:b/>
          <w:bCs/>
          <w:szCs w:val="22"/>
        </w:rPr>
      </w:pPr>
    </w:p>
    <w:p w14:paraId="7A322B45" w14:textId="77777777" w:rsidR="00430CCC" w:rsidRDefault="00430CCC" w:rsidP="00FF1184">
      <w:pPr>
        <w:spacing w:after="200" w:line="360" w:lineRule="auto"/>
        <w:jc w:val="both"/>
        <w:rPr>
          <w:rFonts w:ascii="Arial" w:hAnsi="Arial" w:cs="Arial"/>
          <w:b/>
          <w:bCs/>
          <w:szCs w:val="22"/>
        </w:rPr>
      </w:pPr>
    </w:p>
    <w:p w14:paraId="71B2DF43" w14:textId="77777777" w:rsidR="00430CCC" w:rsidRDefault="00430CCC" w:rsidP="00FF1184">
      <w:pPr>
        <w:spacing w:after="200" w:line="360" w:lineRule="auto"/>
        <w:jc w:val="both"/>
        <w:rPr>
          <w:rFonts w:ascii="Arial" w:hAnsi="Arial" w:cs="Arial"/>
          <w:b/>
          <w:bCs/>
          <w:szCs w:val="22"/>
        </w:rPr>
      </w:pPr>
    </w:p>
    <w:p w14:paraId="762C0E70" w14:textId="76DF8E10" w:rsidR="00FD2DE0" w:rsidRDefault="00FD2DE0" w:rsidP="00FD2DE0">
      <w:pPr>
        <w:widowControl/>
        <w:rPr>
          <w:rFonts w:ascii="Arial" w:hAnsi="Arial" w:cs="Arial"/>
          <w:b/>
          <w:bCs/>
          <w:szCs w:val="22"/>
        </w:rPr>
      </w:pPr>
    </w:p>
    <w:p w14:paraId="21CDC497" w14:textId="77777777" w:rsidR="00A65D67" w:rsidRDefault="00A65D67" w:rsidP="004F1C7F">
      <w:pPr>
        <w:pStyle w:val="headingmoji"/>
        <w:sectPr w:rsidR="00A65D67" w:rsidSect="00D82215">
          <w:footerReference w:type="default" r:id="rId9"/>
          <w:footerReference w:type="first" r:id="rId10"/>
          <w:pgSz w:w="12240" w:h="15840"/>
          <w:pgMar w:top="1440" w:right="1440" w:bottom="1440" w:left="1440" w:header="0" w:footer="0" w:gutter="0"/>
          <w:pgNumType w:start="1" w:chapStyle="1"/>
          <w:cols w:space="720"/>
          <w:formProt w:val="0"/>
          <w:titlePg/>
          <w:docGrid w:linePitch="326"/>
        </w:sectPr>
      </w:pPr>
    </w:p>
    <w:p w14:paraId="1332DDB2" w14:textId="77777777" w:rsidR="005021C1" w:rsidRPr="004F1C7F" w:rsidRDefault="00E5296A" w:rsidP="004F1C7F">
      <w:pPr>
        <w:pStyle w:val="headingmoji"/>
      </w:pPr>
      <w:r w:rsidRPr="004F1C7F">
        <w:t>UVOD</w:t>
      </w:r>
    </w:p>
    <w:p w14:paraId="216FA4A5" w14:textId="77777777" w:rsidR="0072278B" w:rsidRPr="0072278B" w:rsidRDefault="0072278B" w:rsidP="0072278B">
      <w:pPr>
        <w:pStyle w:val="ListParagraph"/>
        <w:numPr>
          <w:ilvl w:val="1"/>
          <w:numId w:val="1"/>
        </w:numPr>
        <w:spacing w:after="200" w:line="360" w:lineRule="auto"/>
        <w:jc w:val="both"/>
        <w:rPr>
          <w:rFonts w:ascii="Arial" w:hAnsi="Arial" w:cs="Arial"/>
          <w:b/>
          <w:sz w:val="22"/>
          <w:szCs w:val="22"/>
        </w:rPr>
      </w:pPr>
      <w:r w:rsidRPr="0072278B">
        <w:rPr>
          <w:rFonts w:ascii="Arial" w:hAnsi="Arial" w:cs="Arial"/>
          <w:b/>
          <w:sz w:val="22"/>
          <w:szCs w:val="22"/>
        </w:rPr>
        <w:t>Etiologija i epidemiologija IgA vaskulitisa</w:t>
      </w:r>
    </w:p>
    <w:p w14:paraId="530C2382" w14:textId="77777777" w:rsidR="0072278B" w:rsidRDefault="00E87ED5" w:rsidP="0072278B">
      <w:pPr>
        <w:spacing w:after="200" w:line="360" w:lineRule="auto"/>
        <w:jc w:val="both"/>
        <w:rPr>
          <w:rFonts w:ascii="Arial" w:hAnsi="Arial" w:cs="Arial"/>
          <w:kern w:val="0"/>
          <w:sz w:val="22"/>
          <w:szCs w:val="22"/>
        </w:rPr>
      </w:pPr>
      <w:r w:rsidRPr="00FF1184">
        <w:rPr>
          <w:rFonts w:ascii="Arial" w:hAnsi="Arial" w:cs="Arial"/>
          <w:sz w:val="22"/>
          <w:szCs w:val="22"/>
        </w:rPr>
        <w:t xml:space="preserve">IgA vaskulitis (IgAV), </w:t>
      </w:r>
      <w:r w:rsidRPr="00FF1184">
        <w:rPr>
          <w:rFonts w:ascii="Arial" w:hAnsi="Arial" w:cs="Arial"/>
          <w:kern w:val="0"/>
          <w:sz w:val="22"/>
          <w:szCs w:val="22"/>
        </w:rPr>
        <w:t xml:space="preserve">otprije poznat kao Henoch-Schönleinova purpura (HSP), najčešći je vaskulitis dječje dobi s procijenjenom svjetskom godišnjom incidencijom 3-55,9 na 100 000 djece (1-3). U Republici Hrvatskoj prosječna godišnja incidencija IgAV-a je 6,79 na 100 000 djece (4). </w:t>
      </w:r>
      <w:r w:rsidR="0072278B">
        <w:rPr>
          <w:rFonts w:ascii="Arial" w:hAnsi="Arial" w:cs="Arial"/>
          <w:kern w:val="0"/>
          <w:sz w:val="22"/>
          <w:szCs w:val="22"/>
        </w:rPr>
        <w:t xml:space="preserve">Etiologija IgAV-a nije još uvijek u potpunosti poznata, međutim dosadašnji podaci ukazuju na važnost infektivne etiologije. Infekcija gornjeg respiratornog trakta prethodi IgAV-u u 90% slučajeva. Najčešće su to virusne infekcije, ali mogu biti i bakterijske, ponajprije streptokokne (19). </w:t>
      </w:r>
    </w:p>
    <w:p w14:paraId="13BB1CB4" w14:textId="77777777" w:rsidR="0072278B" w:rsidRPr="0072278B" w:rsidRDefault="0072278B" w:rsidP="0072278B">
      <w:pPr>
        <w:pStyle w:val="ListParagraph"/>
        <w:numPr>
          <w:ilvl w:val="1"/>
          <w:numId w:val="1"/>
        </w:numPr>
        <w:spacing w:after="200" w:line="360" w:lineRule="auto"/>
        <w:jc w:val="both"/>
        <w:rPr>
          <w:rFonts w:ascii="Arial" w:hAnsi="Arial" w:cs="Arial"/>
          <w:b/>
          <w:kern w:val="0"/>
          <w:sz w:val="22"/>
          <w:szCs w:val="22"/>
        </w:rPr>
      </w:pPr>
      <w:r w:rsidRPr="0072278B">
        <w:rPr>
          <w:rFonts w:ascii="Arial" w:hAnsi="Arial" w:cs="Arial"/>
          <w:b/>
          <w:kern w:val="0"/>
          <w:sz w:val="22"/>
          <w:szCs w:val="22"/>
        </w:rPr>
        <w:t>Klinička slika i liječenje IgA vaskulitisa</w:t>
      </w:r>
    </w:p>
    <w:p w14:paraId="0C48DD24" w14:textId="2E08D39A" w:rsidR="006274D8" w:rsidRDefault="00A95740" w:rsidP="00FF1184">
      <w:pPr>
        <w:spacing w:after="200" w:line="360" w:lineRule="auto"/>
        <w:jc w:val="both"/>
        <w:rPr>
          <w:rFonts w:ascii="Arial" w:hAnsi="Arial" w:cs="Arial"/>
          <w:kern w:val="0"/>
          <w:sz w:val="22"/>
          <w:szCs w:val="22"/>
        </w:rPr>
      </w:pPr>
      <w:r>
        <w:rPr>
          <w:rFonts w:ascii="Arial" w:hAnsi="Arial" w:cs="Arial"/>
          <w:kern w:val="0"/>
          <w:sz w:val="22"/>
          <w:szCs w:val="22"/>
        </w:rPr>
        <w:t>U većini slučajev</w:t>
      </w:r>
      <w:r w:rsidR="0072278B">
        <w:rPr>
          <w:rFonts w:ascii="Arial" w:hAnsi="Arial" w:cs="Arial"/>
          <w:kern w:val="0"/>
          <w:sz w:val="22"/>
          <w:szCs w:val="22"/>
        </w:rPr>
        <w:t xml:space="preserve">a IgAV prezentira se blagom vrućicom i kožnim promjenama. </w:t>
      </w:r>
      <w:r w:rsidR="00E87ED5" w:rsidRPr="00FF1184">
        <w:rPr>
          <w:rFonts w:ascii="Arial" w:hAnsi="Arial" w:cs="Arial"/>
          <w:kern w:val="0"/>
          <w:sz w:val="22"/>
          <w:szCs w:val="22"/>
        </w:rPr>
        <w:t>Palpabilna purpura i/ili petehije bez</w:t>
      </w:r>
      <w:r w:rsidR="00392F18">
        <w:rPr>
          <w:rFonts w:ascii="Arial" w:hAnsi="Arial" w:cs="Arial"/>
          <w:kern w:val="0"/>
          <w:sz w:val="22"/>
          <w:szCs w:val="22"/>
        </w:rPr>
        <w:t xml:space="preserve"> trombocitopenije i drugog podle</w:t>
      </w:r>
      <w:r w:rsidR="00E87ED5" w:rsidRPr="00FF1184">
        <w:rPr>
          <w:rFonts w:ascii="Arial" w:hAnsi="Arial" w:cs="Arial"/>
          <w:kern w:val="0"/>
          <w:sz w:val="22"/>
          <w:szCs w:val="22"/>
        </w:rPr>
        <w:t xml:space="preserve">žećeg koagulacijskog poremećaja prepoznatljivo su obilježje bolesti te ujedno i neophodan kriterij u postavljanju dijagnoze (5). Purpurični osip najčešće je rasprostranjen po ekstenzornim stranama donjih udova i gluteusima premda može biti proširen i na gornje udove, trbuh, lice i uške. U početku se kožne lezije očituju kao grozdovi eritema, urtike i makulopapulozni osip, a potom prelaze u petehije, ekhimoze i ljubičaste induracije promjera do 1 cm koje su raspoređene između prethodno promijenjene kože. Kožne lezije potom mijenjaju boju od crvene i ljubičaste do smećkaste boje da bi nakon desetak dana izblijedjele ostavljajući kod pojedinih bolesnika područja postupalne hiperpigmentacije (6). U manje od 5% djece može doći i do razvitka nekroza, ulceracija i bula na koži, dok je pojava takvih kožnih oblika opisana u čak 60% odraslih bolesnika (7). U takvim slučajevima, kao i kod kožnih lezija koje su difuzno rasprostranjene preporučeno je napraviti i biopsiju kože kako bi se isključili drugi vaskulitisi, posebno ANCA-povezani vaskulitisi (8). Biopsija kože u bolesnika s IgAV pokazuje leukocitoklastični vaskulitis kojeg obilježava fibrinoidna nekroza malih krvnih žila papilarnog dermisa (kapilare, venule i arteriole), perivaskularni edem i neutrofilna infiltracija s fragmentacijom njihovih jezgara dok nalaz direktne imunofluorescencije kože pokazuje predominantne IgA depozite i C3 komponente komplementa u dermisu (5). I dok purpurični osip uobičajeno prolazi spontano, odnosno na primjenu kratkotrajnog simptomatskog liječenja, najteži kožni oblici zahtijevaju posebnu terapiju. Osim toga, već su neka prethodna istraživanja pokazala da rasprostranjenost purpuričnog osipa kao i recidivi purpure mogu značajno pridonositi povećanom riziku za nastanak težih gastrointestinalnih oblika bolesti kao i razvitku IgA vaskulitis nefritisa (IgAVN), najznačajnije kronične komplikacije bolesti (9-12). </w:t>
      </w:r>
      <w:r w:rsidR="006274D8">
        <w:rPr>
          <w:rFonts w:ascii="Arial" w:hAnsi="Arial" w:cs="Arial"/>
          <w:kern w:val="0"/>
          <w:sz w:val="22"/>
          <w:szCs w:val="22"/>
        </w:rPr>
        <w:t>Osim kožnog osipa, zahvaćeni mogu biti zglobovi, gastrointestinalni sustav ili bubrezi, a vrlo rijetko pogođeni su respiratorni i središnji živčani sustav. Zahvaćenost se zglobova najčešće očituje kao oteklina i/ili bolovi. Od gastrointestinalnih simptoma najzastupljeniji su bolovi i hemoragije, a zahvaćenost bubrega očituje se uglavnom hematurijom i/ili proteinurijom (5).</w:t>
      </w:r>
      <w:r w:rsidR="00396813">
        <w:rPr>
          <w:rFonts w:ascii="Arial" w:hAnsi="Arial" w:cs="Arial"/>
          <w:kern w:val="0"/>
          <w:sz w:val="22"/>
          <w:szCs w:val="22"/>
        </w:rPr>
        <w:t xml:space="preserve"> </w:t>
      </w:r>
      <w:r w:rsidR="006274D8">
        <w:rPr>
          <w:rFonts w:ascii="Arial" w:hAnsi="Arial" w:cs="Arial"/>
          <w:kern w:val="0"/>
          <w:sz w:val="22"/>
          <w:szCs w:val="22"/>
        </w:rPr>
        <w:t>U liječenju bolesnika s IgAV-om primjenjujemo prvenstveno simptomatsku terapiju te analgetike. Kod težih slučajeva u terapiju se mogu uvesti i kortikost</w:t>
      </w:r>
      <w:r>
        <w:rPr>
          <w:rFonts w:ascii="Arial" w:hAnsi="Arial" w:cs="Arial"/>
          <w:kern w:val="0"/>
          <w:sz w:val="22"/>
          <w:szCs w:val="22"/>
        </w:rPr>
        <w:t>eroidi ili pak imunosupresivi, a a</w:t>
      </w:r>
      <w:r w:rsidR="006274D8">
        <w:rPr>
          <w:rFonts w:ascii="Arial" w:hAnsi="Arial" w:cs="Arial"/>
          <w:kern w:val="0"/>
          <w:sz w:val="22"/>
          <w:szCs w:val="22"/>
        </w:rPr>
        <w:t xml:space="preserve">ko pacijent ima kontinuiranu proteinuriju 3 mjeseca, indicirani su ACE inhibitori (8). </w:t>
      </w:r>
    </w:p>
    <w:p w14:paraId="625866F2" w14:textId="77777777" w:rsidR="00CB4B6C" w:rsidRPr="00CB4B6C" w:rsidRDefault="004F1C7F" w:rsidP="004F1C7F">
      <w:pPr>
        <w:pStyle w:val="headingmoji"/>
      </w:pPr>
      <w:r>
        <w:t xml:space="preserve"> </w:t>
      </w:r>
      <w:r w:rsidR="0083228C" w:rsidRPr="0083228C">
        <w:t>OPĆI I SPECIFIČNI CILJEVI RADA</w:t>
      </w:r>
    </w:p>
    <w:p w14:paraId="74724CF2" w14:textId="77777777" w:rsidR="00CB4B6C" w:rsidRPr="00CB4B6C" w:rsidRDefault="00CB4B6C" w:rsidP="00CB4B6C">
      <w:pPr>
        <w:pStyle w:val="ListParagraph"/>
        <w:numPr>
          <w:ilvl w:val="1"/>
          <w:numId w:val="1"/>
        </w:numPr>
        <w:spacing w:after="200" w:line="360" w:lineRule="auto"/>
        <w:jc w:val="both"/>
        <w:rPr>
          <w:rFonts w:ascii="Arial" w:hAnsi="Arial" w:cs="Arial"/>
          <w:b/>
          <w:sz w:val="22"/>
          <w:szCs w:val="22"/>
        </w:rPr>
      </w:pPr>
      <w:r>
        <w:rPr>
          <w:rFonts w:ascii="Arial" w:hAnsi="Arial" w:cs="Arial"/>
          <w:b/>
          <w:sz w:val="22"/>
          <w:szCs w:val="22"/>
        </w:rPr>
        <w:t>Opći cilj rada</w:t>
      </w:r>
    </w:p>
    <w:p w14:paraId="5FFEC37E" w14:textId="77777777" w:rsidR="0083228C" w:rsidRDefault="0083228C" w:rsidP="0083228C">
      <w:pPr>
        <w:spacing w:after="200" w:line="360" w:lineRule="auto"/>
        <w:jc w:val="both"/>
        <w:rPr>
          <w:rFonts w:ascii="Arial" w:hAnsi="Arial" w:cs="Arial"/>
          <w:sz w:val="22"/>
          <w:szCs w:val="22"/>
        </w:rPr>
      </w:pPr>
      <w:r w:rsidRPr="009D3E6E">
        <w:rPr>
          <w:rFonts w:ascii="Arial" w:hAnsi="Arial" w:cs="Arial"/>
          <w:b/>
          <w:sz w:val="22"/>
          <w:szCs w:val="22"/>
        </w:rPr>
        <w:t>Op</w:t>
      </w:r>
      <w:r w:rsidR="003C176D" w:rsidRPr="009D3E6E">
        <w:rPr>
          <w:rFonts w:ascii="Arial" w:hAnsi="Arial" w:cs="Arial"/>
          <w:b/>
          <w:sz w:val="22"/>
          <w:szCs w:val="22"/>
        </w:rPr>
        <w:t>ći cilj</w:t>
      </w:r>
      <w:r w:rsidR="003C176D">
        <w:rPr>
          <w:rFonts w:ascii="Arial" w:hAnsi="Arial" w:cs="Arial"/>
          <w:sz w:val="22"/>
          <w:szCs w:val="22"/>
        </w:rPr>
        <w:t xml:space="preserve"> rada jest utvrditi osobitosti kožnih promjena u bolesnika s IgAV-om te ispitati njihov utjecaj na kliničke i laboratorijske značajke te odabir terapije.</w:t>
      </w:r>
    </w:p>
    <w:p w14:paraId="4B9EA20C" w14:textId="77777777" w:rsidR="00CB4B6C" w:rsidRPr="00CB4B6C" w:rsidRDefault="00E01B14" w:rsidP="00CB4B6C">
      <w:pPr>
        <w:pStyle w:val="ListParagraph"/>
        <w:numPr>
          <w:ilvl w:val="1"/>
          <w:numId w:val="1"/>
        </w:numPr>
        <w:spacing w:after="200" w:line="360" w:lineRule="auto"/>
        <w:jc w:val="both"/>
        <w:rPr>
          <w:rFonts w:ascii="Arial" w:hAnsi="Arial" w:cs="Arial"/>
          <w:b/>
          <w:sz w:val="22"/>
          <w:szCs w:val="22"/>
        </w:rPr>
      </w:pPr>
      <w:r>
        <w:rPr>
          <w:rFonts w:ascii="Arial" w:hAnsi="Arial" w:cs="Arial"/>
          <w:b/>
          <w:sz w:val="22"/>
          <w:szCs w:val="22"/>
        </w:rPr>
        <w:t>Specifični ciljevi rada</w:t>
      </w:r>
      <w:r w:rsidR="00CB4B6C">
        <w:rPr>
          <w:rFonts w:ascii="Arial" w:hAnsi="Arial" w:cs="Arial"/>
          <w:b/>
          <w:sz w:val="22"/>
          <w:szCs w:val="22"/>
        </w:rPr>
        <w:t xml:space="preserve"> </w:t>
      </w:r>
    </w:p>
    <w:p w14:paraId="1FBB8811" w14:textId="77777777" w:rsidR="003C176D" w:rsidRDefault="003C176D" w:rsidP="0083228C">
      <w:pPr>
        <w:spacing w:after="200" w:line="360" w:lineRule="auto"/>
        <w:jc w:val="both"/>
        <w:rPr>
          <w:rFonts w:ascii="Arial" w:hAnsi="Arial" w:cs="Arial"/>
          <w:sz w:val="22"/>
          <w:szCs w:val="22"/>
        </w:rPr>
      </w:pPr>
      <w:r w:rsidRPr="009D3E6E">
        <w:rPr>
          <w:rFonts w:ascii="Arial" w:hAnsi="Arial" w:cs="Arial"/>
          <w:b/>
          <w:sz w:val="22"/>
          <w:szCs w:val="22"/>
        </w:rPr>
        <w:t>Specifični ciljevi</w:t>
      </w:r>
      <w:r>
        <w:rPr>
          <w:rFonts w:ascii="Arial" w:hAnsi="Arial" w:cs="Arial"/>
          <w:sz w:val="22"/>
          <w:szCs w:val="22"/>
        </w:rPr>
        <w:t xml:space="preserve"> rada su:</w:t>
      </w:r>
    </w:p>
    <w:p w14:paraId="785FC89E" w14:textId="77777777" w:rsidR="003C176D" w:rsidRDefault="003C176D" w:rsidP="003C176D">
      <w:pPr>
        <w:pStyle w:val="ListParagraph"/>
        <w:numPr>
          <w:ilvl w:val="0"/>
          <w:numId w:val="2"/>
        </w:numPr>
        <w:spacing w:after="200" w:line="360" w:lineRule="auto"/>
        <w:jc w:val="both"/>
        <w:rPr>
          <w:rFonts w:ascii="Arial" w:hAnsi="Arial" w:cs="Arial"/>
          <w:sz w:val="22"/>
          <w:szCs w:val="22"/>
        </w:rPr>
      </w:pPr>
      <w:r>
        <w:rPr>
          <w:rFonts w:ascii="Arial" w:hAnsi="Arial" w:cs="Arial"/>
          <w:sz w:val="22"/>
          <w:szCs w:val="22"/>
        </w:rPr>
        <w:t>ispitati imaju li bolesnici s kožnim promjenama proširenim iznad donjih udova če</w:t>
      </w:r>
      <w:r w:rsidR="009D3E6E">
        <w:rPr>
          <w:rFonts w:ascii="Arial" w:hAnsi="Arial" w:cs="Arial"/>
          <w:sz w:val="22"/>
          <w:szCs w:val="22"/>
        </w:rPr>
        <w:t>š</w:t>
      </w:r>
      <w:r>
        <w:rPr>
          <w:rFonts w:ascii="Arial" w:hAnsi="Arial" w:cs="Arial"/>
          <w:sz w:val="22"/>
          <w:szCs w:val="22"/>
        </w:rPr>
        <w:t>će zahvaćene druge organe i organske sustave u odnosu na bolesnike s kožnim osipom ograničenim na donje udove i glutealno područje</w:t>
      </w:r>
    </w:p>
    <w:p w14:paraId="0DA04A71" w14:textId="77777777" w:rsidR="009D3E6E" w:rsidRDefault="009F5A75" w:rsidP="009D3E6E">
      <w:pPr>
        <w:pStyle w:val="ListParagraph"/>
        <w:numPr>
          <w:ilvl w:val="0"/>
          <w:numId w:val="2"/>
        </w:numPr>
        <w:spacing w:after="200" w:line="360" w:lineRule="auto"/>
        <w:jc w:val="both"/>
        <w:rPr>
          <w:rFonts w:ascii="Arial" w:hAnsi="Arial" w:cs="Arial"/>
          <w:sz w:val="22"/>
          <w:szCs w:val="22"/>
        </w:rPr>
      </w:pPr>
      <w:r>
        <w:rPr>
          <w:rFonts w:ascii="Arial" w:hAnsi="Arial" w:cs="Arial"/>
          <w:sz w:val="22"/>
          <w:szCs w:val="22"/>
        </w:rPr>
        <w:t>istražiti</w:t>
      </w:r>
      <w:r w:rsidR="009D3E6E">
        <w:rPr>
          <w:rFonts w:ascii="Arial" w:hAnsi="Arial" w:cs="Arial"/>
          <w:sz w:val="22"/>
          <w:szCs w:val="22"/>
        </w:rPr>
        <w:t xml:space="preserve"> utječe li težina kožnih manifestacija IgAV-a na laboratorijske nalaze bolesnika</w:t>
      </w:r>
    </w:p>
    <w:p w14:paraId="59547A09" w14:textId="77777777" w:rsidR="009F5A75" w:rsidRDefault="009F5A75" w:rsidP="009D3E6E">
      <w:pPr>
        <w:pStyle w:val="ListParagraph"/>
        <w:numPr>
          <w:ilvl w:val="0"/>
          <w:numId w:val="2"/>
        </w:numPr>
        <w:spacing w:after="200" w:line="360" w:lineRule="auto"/>
        <w:jc w:val="both"/>
        <w:rPr>
          <w:rFonts w:ascii="Arial" w:hAnsi="Arial" w:cs="Arial"/>
          <w:sz w:val="22"/>
          <w:szCs w:val="22"/>
        </w:rPr>
      </w:pPr>
      <w:r>
        <w:rPr>
          <w:rFonts w:ascii="Arial" w:hAnsi="Arial" w:cs="Arial"/>
          <w:sz w:val="22"/>
          <w:szCs w:val="22"/>
        </w:rPr>
        <w:t>ispitati imaju li bolesnici s teškim kožnim promjenama češće zahvaćene druge organe i organske sustave u odnosu na ostale bolesnike</w:t>
      </w:r>
    </w:p>
    <w:p w14:paraId="18DA92D3" w14:textId="77777777" w:rsidR="009F5A75" w:rsidRDefault="009F5A75" w:rsidP="009F5A75">
      <w:pPr>
        <w:pStyle w:val="ListParagraph"/>
        <w:numPr>
          <w:ilvl w:val="0"/>
          <w:numId w:val="2"/>
        </w:numPr>
        <w:spacing w:after="200" w:line="360" w:lineRule="auto"/>
        <w:jc w:val="both"/>
        <w:rPr>
          <w:rFonts w:ascii="Arial" w:hAnsi="Arial" w:cs="Arial"/>
          <w:sz w:val="22"/>
          <w:szCs w:val="22"/>
        </w:rPr>
      </w:pPr>
      <w:r>
        <w:rPr>
          <w:rFonts w:ascii="Arial" w:hAnsi="Arial" w:cs="Arial"/>
          <w:sz w:val="22"/>
          <w:szCs w:val="22"/>
        </w:rPr>
        <w:t>istražiti postoji li povezanost između težine kožnih očitovanja bolesti i upotrebe glukokortikoida i antihipertenziva u liječenju</w:t>
      </w:r>
    </w:p>
    <w:p w14:paraId="143F5D2E" w14:textId="77777777" w:rsidR="00CB4B6C" w:rsidRPr="00EA1BF9" w:rsidRDefault="009F5A75" w:rsidP="00EA1BF9">
      <w:pPr>
        <w:pStyle w:val="ListParagraph"/>
        <w:numPr>
          <w:ilvl w:val="0"/>
          <w:numId w:val="2"/>
        </w:numPr>
        <w:spacing w:after="200" w:line="360" w:lineRule="auto"/>
        <w:jc w:val="both"/>
        <w:rPr>
          <w:rFonts w:ascii="Arial" w:hAnsi="Arial" w:cs="Arial"/>
          <w:sz w:val="22"/>
          <w:szCs w:val="22"/>
        </w:rPr>
      </w:pPr>
      <w:r>
        <w:rPr>
          <w:rFonts w:ascii="Arial" w:hAnsi="Arial" w:cs="Arial"/>
          <w:sz w:val="22"/>
          <w:szCs w:val="22"/>
        </w:rPr>
        <w:t>analizirati postoje li du</w:t>
      </w:r>
      <w:r w:rsidR="00430CCC">
        <w:rPr>
          <w:rFonts w:ascii="Arial" w:hAnsi="Arial" w:cs="Arial"/>
          <w:sz w:val="22"/>
          <w:szCs w:val="22"/>
        </w:rPr>
        <w:t>goročne posljedice teških kožnih</w:t>
      </w:r>
      <w:r>
        <w:rPr>
          <w:rFonts w:ascii="Arial" w:hAnsi="Arial" w:cs="Arial"/>
          <w:sz w:val="22"/>
          <w:szCs w:val="22"/>
        </w:rPr>
        <w:t xml:space="preserve"> manifestacija IgAV-a</w:t>
      </w:r>
    </w:p>
    <w:p w14:paraId="5DE66DD9" w14:textId="77777777" w:rsidR="0083228C" w:rsidRPr="0083228C" w:rsidRDefault="009D3E6E" w:rsidP="004F1C7F">
      <w:pPr>
        <w:pStyle w:val="headingmoji"/>
      </w:pPr>
      <w:r>
        <w:t>ISPITANICI</w:t>
      </w:r>
      <w:r w:rsidR="0083228C" w:rsidRPr="0083228C">
        <w:t xml:space="preserve"> I METODE</w:t>
      </w:r>
    </w:p>
    <w:p w14:paraId="6C110A40" w14:textId="77777777" w:rsidR="005021C1" w:rsidRPr="00FF1184" w:rsidRDefault="00E87ED5" w:rsidP="00FF1184">
      <w:pPr>
        <w:spacing w:after="200" w:line="360" w:lineRule="auto"/>
        <w:jc w:val="both"/>
        <w:rPr>
          <w:rFonts w:ascii="Arial" w:hAnsi="Arial" w:cs="Arial"/>
          <w:sz w:val="22"/>
          <w:szCs w:val="22"/>
        </w:rPr>
      </w:pPr>
      <w:r w:rsidRPr="00FF1184">
        <w:rPr>
          <w:rFonts w:ascii="Arial" w:hAnsi="Arial" w:cs="Arial"/>
          <w:kern w:val="0"/>
          <w:sz w:val="22"/>
          <w:szCs w:val="22"/>
        </w:rPr>
        <w:t xml:space="preserve">U razdoblju od siječnja 2009. do prosinca 2021. u </w:t>
      </w:r>
      <w:proofErr w:type="spellStart"/>
      <w:r w:rsidRPr="00FF1184">
        <w:rPr>
          <w:rFonts w:ascii="Arial" w:hAnsi="Arial" w:cs="Arial"/>
          <w:bCs/>
          <w:sz w:val="22"/>
          <w:szCs w:val="22"/>
          <w:lang w:val="en-US"/>
        </w:rPr>
        <w:t>Zavodu</w:t>
      </w:r>
      <w:proofErr w:type="spellEnd"/>
      <w:r w:rsidRPr="00FF1184">
        <w:rPr>
          <w:rFonts w:ascii="Arial" w:hAnsi="Arial" w:cs="Arial"/>
          <w:bCs/>
          <w:sz w:val="22"/>
          <w:szCs w:val="22"/>
          <w:lang w:val="en-US"/>
        </w:rPr>
        <w:t xml:space="preserve"> </w:t>
      </w:r>
      <w:proofErr w:type="spellStart"/>
      <w:r w:rsidRPr="00FF1184">
        <w:rPr>
          <w:rFonts w:ascii="Arial" w:hAnsi="Arial" w:cs="Arial"/>
          <w:bCs/>
          <w:sz w:val="22"/>
          <w:szCs w:val="22"/>
          <w:lang w:val="en-US"/>
        </w:rPr>
        <w:t>za</w:t>
      </w:r>
      <w:proofErr w:type="spellEnd"/>
      <w:r w:rsidRPr="00FF1184">
        <w:rPr>
          <w:rFonts w:ascii="Arial" w:hAnsi="Arial" w:cs="Arial"/>
          <w:bCs/>
          <w:sz w:val="22"/>
          <w:szCs w:val="22"/>
          <w:lang w:val="en-US"/>
        </w:rPr>
        <w:t xml:space="preserve"> </w:t>
      </w:r>
      <w:proofErr w:type="spellStart"/>
      <w:r w:rsidRPr="00FF1184">
        <w:rPr>
          <w:rFonts w:ascii="Arial" w:hAnsi="Arial" w:cs="Arial"/>
          <w:bCs/>
          <w:sz w:val="22"/>
          <w:szCs w:val="22"/>
          <w:lang w:val="en-US"/>
        </w:rPr>
        <w:t>kliničku</w:t>
      </w:r>
      <w:proofErr w:type="spellEnd"/>
      <w:r w:rsidRPr="00FF1184">
        <w:rPr>
          <w:rFonts w:ascii="Arial" w:hAnsi="Arial" w:cs="Arial"/>
          <w:bCs/>
          <w:sz w:val="22"/>
          <w:szCs w:val="22"/>
          <w:lang w:val="en-US"/>
        </w:rPr>
        <w:t xml:space="preserve"> </w:t>
      </w:r>
      <w:proofErr w:type="spellStart"/>
      <w:r w:rsidRPr="00FF1184">
        <w:rPr>
          <w:rFonts w:ascii="Arial" w:hAnsi="Arial" w:cs="Arial"/>
          <w:bCs/>
          <w:sz w:val="22"/>
          <w:szCs w:val="22"/>
          <w:lang w:val="en-US"/>
        </w:rPr>
        <w:t>imunologiju</w:t>
      </w:r>
      <w:proofErr w:type="spellEnd"/>
      <w:r w:rsidRPr="00FF1184">
        <w:rPr>
          <w:rFonts w:ascii="Arial" w:hAnsi="Arial" w:cs="Arial"/>
          <w:bCs/>
          <w:sz w:val="22"/>
          <w:szCs w:val="22"/>
          <w:lang w:val="en-US"/>
        </w:rPr>
        <w:t xml:space="preserve">, </w:t>
      </w:r>
      <w:proofErr w:type="spellStart"/>
      <w:r w:rsidRPr="00FF1184">
        <w:rPr>
          <w:rFonts w:ascii="Arial" w:hAnsi="Arial" w:cs="Arial"/>
          <w:bCs/>
          <w:sz w:val="22"/>
          <w:szCs w:val="22"/>
          <w:lang w:val="en-US"/>
        </w:rPr>
        <w:t>reumatologiju</w:t>
      </w:r>
      <w:proofErr w:type="spellEnd"/>
      <w:r w:rsidRPr="00FF1184">
        <w:rPr>
          <w:rFonts w:ascii="Arial" w:hAnsi="Arial" w:cs="Arial"/>
          <w:bCs/>
          <w:sz w:val="22"/>
          <w:szCs w:val="22"/>
          <w:lang w:val="en-US"/>
        </w:rPr>
        <w:t xml:space="preserve"> i </w:t>
      </w:r>
      <w:proofErr w:type="spellStart"/>
      <w:r w:rsidRPr="00FF1184">
        <w:rPr>
          <w:rFonts w:ascii="Arial" w:hAnsi="Arial" w:cs="Arial"/>
          <w:bCs/>
          <w:sz w:val="22"/>
          <w:szCs w:val="22"/>
          <w:lang w:val="en-US"/>
        </w:rPr>
        <w:t>alergologiju</w:t>
      </w:r>
      <w:proofErr w:type="spellEnd"/>
      <w:r w:rsidRPr="00FF1184">
        <w:rPr>
          <w:rFonts w:ascii="Arial" w:hAnsi="Arial" w:cs="Arial"/>
          <w:bCs/>
          <w:sz w:val="22"/>
          <w:szCs w:val="22"/>
          <w:lang w:val="en-US"/>
        </w:rPr>
        <w:t xml:space="preserve"> </w:t>
      </w:r>
      <w:r w:rsidRPr="00FF1184">
        <w:rPr>
          <w:rFonts w:ascii="Arial" w:hAnsi="Arial" w:cs="Arial"/>
          <w:kern w:val="0"/>
          <w:sz w:val="22"/>
          <w:szCs w:val="22"/>
        </w:rPr>
        <w:t>Klinike za pedijatriju Kliničkog bolničkog centra Zagreb, Referentnom centru za pedijatrijsku i adolescentnu reumatologiju Republike Hrvatske provedeno je retrospektivno istraživanje u koje su uključeni bolesnici mlađi od 18 godina s postavljenom dijagnozom IgAV-a sukladno EULAR/PRINTO/PRES kriterijima (5). Istraživanje je odobrilo Etičko povjerenstvo Kliničkog bolničkog centra Zagreb i Medicinskog fakulteta Sveučilišta u Zagrebu. Demografski, klinički i laboratorijski podaci o bolesnicima prikupljeni su iz baze podataka temeljene na medicinskoj dokumentaciji. Demografski podaci uključivali su spol i dob pri dijagnozi IgAV, dok su klinički podaci uključivali trajanje hospitalizacije izražene u danima, vodeći početni simptom bolesti, postojanje i vrstu prodromalne infekcije, izolirane mikrobiološke uzročnike, rasprostranjenost purpuričnog osipa, zahvaćenost zglobova, gastrointestinalnog sustava, bubrega i urogenitalnog sustava, prisutnost teških kožnih promjena (ulceracije, nekroze, bule), vrijeme od početka bolesti do pojave nefritisa (u danima), vrijednosti sistoličkog krvnog tlaka, biopsiju kože, biopsiju bubrega, vrstu lijekova i broj relapsa. Purpurični je osip prema rasprostranjenosti kategoriziran u jednu od dvije skupine: 1. purpurični osip lokaliziran na donjim udovima i glutealno; 2. purpurični osip proširen iznad donjih udova na gornje udove, trup i lice (generalizirana purpura). Relaps bolesti definiran je kao ponovna pojava simptoma i znakova karakterističnih za IgAV nakon asimptomatskog razdoblja u trajanju od najmanje jednog mjeseca. Laboratorijski nalazi uključivali su upalne pokazatelje: sedimentaciju eritrocita (SE), C-reaktivni protein (CRP) i feritin; broj eritrocita, hemoglobin, hematokrit, broj leukocita, broj trombocita; biokemijske pretrage krvi: kreatinin, ureju, procijenjenu glomerularnu filtraciju (engl. estimated glomerular filtration rate, eGFR), ukupne proteine, serumske albumine; koagulacijske pretrage: protrombinsko vrijeme (PV), aktivirano parcijalno tromboplastinsko vrijeme (APTV), fibrinogen, D-dimere; pretrage urina: prisutnost eritrociturije (definirane kao &gt;5 eritrocita u sedimentu urina) i/ili proteinurije (definirane kao ≥2+ proteina u sedimentu urina), omjer albumin/kreatinin u urinu (vrijednosti &gt;3 mg/mmol smatrane su patološkom); analizu 24-satnog urina za kvantifikaciju proteinurije (definirane kao &gt;0.15 g/dU sveukupno izlučenih proteina); imunološke pretrage: razrede imunoglobulina (IgA, IgG, IgM, ukupni IgE), antinuklearna antitijela (ANA), C</w:t>
      </w:r>
      <w:r w:rsidRPr="00FF1184">
        <w:rPr>
          <w:rFonts w:ascii="Arial" w:hAnsi="Arial" w:cs="Arial"/>
          <w:kern w:val="0"/>
          <w:sz w:val="22"/>
          <w:szCs w:val="22"/>
          <w:vertAlign w:val="subscript"/>
        </w:rPr>
        <w:t>3</w:t>
      </w:r>
      <w:r w:rsidRPr="00FF1184">
        <w:rPr>
          <w:rFonts w:ascii="Arial" w:hAnsi="Arial" w:cs="Arial"/>
          <w:kern w:val="0"/>
          <w:sz w:val="22"/>
          <w:szCs w:val="22"/>
        </w:rPr>
        <w:t xml:space="preserve"> i C</w:t>
      </w:r>
      <w:r w:rsidRPr="00FF1184">
        <w:rPr>
          <w:rFonts w:ascii="Arial" w:hAnsi="Arial" w:cs="Arial"/>
          <w:kern w:val="0"/>
          <w:sz w:val="22"/>
          <w:szCs w:val="22"/>
          <w:vertAlign w:val="subscript"/>
        </w:rPr>
        <w:t>4</w:t>
      </w:r>
      <w:r w:rsidRPr="00FF1184">
        <w:rPr>
          <w:rFonts w:ascii="Arial" w:hAnsi="Arial" w:cs="Arial"/>
          <w:kern w:val="0"/>
          <w:sz w:val="22"/>
          <w:szCs w:val="22"/>
        </w:rPr>
        <w:t xml:space="preserve"> komponente komplementa, razinu ukupnog komplementa (CH</w:t>
      </w:r>
      <w:r w:rsidRPr="00FF1184">
        <w:rPr>
          <w:rFonts w:ascii="Arial" w:hAnsi="Arial" w:cs="Arial"/>
          <w:kern w:val="0"/>
          <w:sz w:val="22"/>
          <w:szCs w:val="22"/>
          <w:vertAlign w:val="subscript"/>
        </w:rPr>
        <w:t>50</w:t>
      </w:r>
      <w:r w:rsidRPr="00FF1184">
        <w:rPr>
          <w:rFonts w:ascii="Arial" w:hAnsi="Arial" w:cs="Arial"/>
          <w:kern w:val="0"/>
          <w:sz w:val="22"/>
          <w:szCs w:val="22"/>
        </w:rPr>
        <w:t xml:space="preserve">), antistreptolizinski O titar (ASTO) i analizu stolice na okultno krvarenje. Mikrobiološke pretrage u bolesnika s anamnezom infekcije uključivale su obrisak nosne sluznice i ždrijela. </w:t>
      </w:r>
    </w:p>
    <w:p w14:paraId="64C33315" w14:textId="77777777" w:rsidR="009D3E6E" w:rsidRDefault="00E87ED5" w:rsidP="00FF1184">
      <w:pPr>
        <w:spacing w:after="200" w:line="360" w:lineRule="auto"/>
        <w:jc w:val="both"/>
        <w:rPr>
          <w:rFonts w:ascii="Arial" w:hAnsi="Arial" w:cs="Arial"/>
          <w:sz w:val="22"/>
          <w:szCs w:val="22"/>
          <w:shd w:val="clear" w:color="auto" w:fill="FFFFFF"/>
        </w:rPr>
      </w:pPr>
      <w:r w:rsidRPr="00FF1184">
        <w:rPr>
          <w:rFonts w:ascii="Arial" w:hAnsi="Arial" w:cs="Arial"/>
          <w:kern w:val="0"/>
          <w:sz w:val="22"/>
          <w:szCs w:val="22"/>
          <w:shd w:val="clear" w:color="auto" w:fill="FFFFFF"/>
        </w:rPr>
        <w:t>Statistička obrada podataka izvršena je pomoću programa MedCalc za Windows operativni sustav, a podaci su prikazani tablično i grafički. Normalnost raspodjele podataka ispitivana je pomoću Shapiro-Wilkovljevog testa. Kontinuirane varijable za vrijednosti koje nemaju normalnu distribuciju prikazane su kao medijan i interkvartilni raspon (od 25 do 75 centile), a kategoričke varijable prikazane su u postocima. Razlike u kategorijskim varijablama između grupa pacijenata ispitivane su pomoću χ2 testa i Fisherovog egzaktnog testa, a u kvantitativnim pomoću Mann-Whitneyjevog U testa. Sve p-vrijednosti manje od 0</w:t>
      </w:r>
      <w:r w:rsidR="00A95740">
        <w:rPr>
          <w:rFonts w:ascii="Arial" w:hAnsi="Arial" w:cs="Arial"/>
          <w:kern w:val="0"/>
          <w:sz w:val="22"/>
          <w:szCs w:val="22"/>
          <w:shd w:val="clear" w:color="auto" w:fill="FFFFFF"/>
        </w:rPr>
        <w:t>,</w:t>
      </w:r>
      <w:r w:rsidRPr="00FF1184">
        <w:rPr>
          <w:rFonts w:ascii="Arial" w:hAnsi="Arial" w:cs="Arial"/>
          <w:kern w:val="0"/>
          <w:sz w:val="22"/>
          <w:szCs w:val="22"/>
          <w:shd w:val="clear" w:color="auto" w:fill="FFFFFF"/>
        </w:rPr>
        <w:t xml:space="preserve">05 smatrane su statistički značajnima. </w:t>
      </w:r>
    </w:p>
    <w:p w14:paraId="2F8B93F5" w14:textId="77777777" w:rsidR="009D3E6E" w:rsidRPr="00CA041A" w:rsidRDefault="009D3E6E" w:rsidP="004F1C7F">
      <w:pPr>
        <w:pStyle w:val="headingmoji"/>
        <w:rPr>
          <w:shd w:val="clear" w:color="auto" w:fill="FFFFFF"/>
        </w:rPr>
      </w:pPr>
      <w:r w:rsidRPr="00CA041A">
        <w:rPr>
          <w:shd w:val="clear" w:color="auto" w:fill="FFFFFF"/>
        </w:rPr>
        <w:t>REZULTATI</w:t>
      </w:r>
    </w:p>
    <w:p w14:paraId="18B7E3FD" w14:textId="77777777" w:rsidR="00CA041A" w:rsidRPr="00CA041A" w:rsidRDefault="00CA041A" w:rsidP="00CA041A">
      <w:pPr>
        <w:spacing w:after="200" w:line="360" w:lineRule="auto"/>
        <w:ind w:left="360"/>
        <w:jc w:val="both"/>
        <w:rPr>
          <w:rFonts w:ascii="Arial" w:hAnsi="Arial" w:cs="Arial"/>
          <w:b/>
          <w:sz w:val="22"/>
          <w:szCs w:val="22"/>
        </w:rPr>
      </w:pPr>
      <w:r w:rsidRPr="00CA041A">
        <w:rPr>
          <w:rFonts w:ascii="Arial" w:hAnsi="Arial" w:cs="Arial"/>
          <w:b/>
          <w:sz w:val="22"/>
          <w:szCs w:val="22"/>
        </w:rPr>
        <w:t>4.1</w:t>
      </w:r>
      <w:r w:rsidR="009F5A75">
        <w:rPr>
          <w:rFonts w:ascii="Arial" w:hAnsi="Arial" w:cs="Arial"/>
          <w:b/>
          <w:sz w:val="22"/>
          <w:szCs w:val="22"/>
        </w:rPr>
        <w:t>.</w:t>
      </w:r>
      <w:r w:rsidRPr="00CA041A">
        <w:rPr>
          <w:rFonts w:ascii="Arial" w:hAnsi="Arial" w:cs="Arial"/>
          <w:b/>
          <w:sz w:val="22"/>
          <w:szCs w:val="22"/>
        </w:rPr>
        <w:t xml:space="preserve"> Usporedba kliničkih i demografskih parametara bolesnika koji su imali kožne lezije samo po donjim ekstremitetima i bolesnika s kožnim lezijama proširenim iznad donjih ekstremiteta</w:t>
      </w:r>
    </w:p>
    <w:p w14:paraId="61B22D69" w14:textId="77777777" w:rsidR="00CB4B6C" w:rsidRDefault="00E87ED5" w:rsidP="00FF1184">
      <w:pPr>
        <w:spacing w:after="200" w:line="360" w:lineRule="auto"/>
        <w:jc w:val="both"/>
        <w:rPr>
          <w:rFonts w:ascii="Arial" w:hAnsi="Arial" w:cs="Arial"/>
          <w:sz w:val="22"/>
          <w:szCs w:val="22"/>
        </w:rPr>
      </w:pPr>
      <w:r w:rsidRPr="00FF1184">
        <w:rPr>
          <w:rFonts w:ascii="Arial" w:hAnsi="Arial" w:cs="Arial"/>
          <w:sz w:val="22"/>
          <w:szCs w:val="22"/>
        </w:rPr>
        <w:t>U razdoblju od 1. siječnja 2009. do zaključno 31. prosinca 2021. dijagnosticirano je 234 bolesnika s IgAV-om, među kojima je bilo 124 dječaka i 110 djevojčica, u omjeru 1,13:1 s medijanom dobi od 6,5 (4,5-8,2) godina u trenutku dijagnoze. U tablici 1 prikazane su demografske i kliničke karakteristike bolesnika s IgAV-om.</w:t>
      </w:r>
    </w:p>
    <w:p w14:paraId="0B850072" w14:textId="77777777" w:rsidR="00191237" w:rsidRPr="00191237" w:rsidRDefault="00396813" w:rsidP="00191237">
      <w:pPr>
        <w:jc w:val="center"/>
        <w:rPr>
          <w:rFonts w:ascii="Arial" w:hAnsi="Arial" w:cs="Arial"/>
          <w:sz w:val="22"/>
          <w:szCs w:val="22"/>
        </w:rPr>
      </w:pPr>
      <w:r>
        <w:rPr>
          <w:rFonts w:ascii="Arial" w:hAnsi="Arial" w:cs="Arial"/>
          <w:sz w:val="22"/>
          <w:szCs w:val="22"/>
        </w:rPr>
        <w:t>Tablica 1</w:t>
      </w:r>
      <w:r w:rsidR="00191237" w:rsidRPr="00191237">
        <w:rPr>
          <w:rFonts w:ascii="Arial" w:hAnsi="Arial" w:cs="Arial"/>
          <w:sz w:val="22"/>
          <w:szCs w:val="22"/>
        </w:rPr>
        <w:t xml:space="preserve"> Demografske i kliničke karakteristike bolesnika s IgAV-om, N = 234 (%)</w:t>
      </w:r>
    </w:p>
    <w:p w14:paraId="086ECD17" w14:textId="77777777" w:rsidR="00191237" w:rsidRDefault="00191237" w:rsidP="00191237">
      <w:pPr>
        <w:rPr>
          <w:rFonts w:ascii="Calibri" w:hAnsi="Calibri"/>
          <w:sz w:val="22"/>
          <w:szCs w:val="22"/>
        </w:rPr>
      </w:pPr>
    </w:p>
    <w:tbl>
      <w:tblPr>
        <w:tblStyle w:val="MediumGrid3-Accent5"/>
        <w:tblW w:w="9360" w:type="dxa"/>
        <w:tblLayout w:type="fixed"/>
        <w:tblLook w:val="04A0" w:firstRow="1" w:lastRow="0" w:firstColumn="1" w:lastColumn="0" w:noHBand="0" w:noVBand="1"/>
      </w:tblPr>
      <w:tblGrid>
        <w:gridCol w:w="2341"/>
        <w:gridCol w:w="2474"/>
        <w:gridCol w:w="2674"/>
        <w:gridCol w:w="1871"/>
      </w:tblGrid>
      <w:tr w:rsidR="00191237" w:rsidRPr="00CD3E6E" w14:paraId="4CCA02D8" w14:textId="77777777" w:rsidTr="00FC12C0">
        <w:trPr>
          <w:cnfStyle w:val="100000000000" w:firstRow="1" w:lastRow="0" w:firstColumn="0" w:lastColumn="0" w:oddVBand="0" w:evenVBand="0" w:oddHBand="0" w:evenHBand="0" w:firstRowFirstColumn="0" w:firstRowLastColumn="0" w:lastRowFirstColumn="0" w:lastRowLastColumn="0"/>
          <w:trHeight w:val="1429"/>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DBE9D43" w14:textId="77777777" w:rsidR="00191237" w:rsidRPr="00CA6B3B" w:rsidRDefault="00191237" w:rsidP="00FC12C0">
            <w:pPr>
              <w:pStyle w:val="TableContents"/>
              <w:jc w:val="center"/>
              <w:rPr>
                <w:rFonts w:ascii="Arial" w:hAnsi="Arial" w:cs="Arial"/>
                <w:b w:val="0"/>
                <w:bCs w:val="0"/>
                <w:sz w:val="22"/>
                <w:szCs w:val="22"/>
              </w:rPr>
            </w:pPr>
            <w:r w:rsidRPr="00CA6B3B">
              <w:rPr>
                <w:rFonts w:ascii="Arial" w:hAnsi="Arial" w:cs="Arial"/>
                <w:b w:val="0"/>
                <w:bCs w:val="0"/>
                <w:sz w:val="22"/>
                <w:szCs w:val="22"/>
              </w:rPr>
              <w:t>Parametri</w:t>
            </w:r>
          </w:p>
        </w:tc>
        <w:tc>
          <w:tcPr>
            <w:tcW w:w="2474" w:type="dxa"/>
            <w:vAlign w:val="center"/>
          </w:tcPr>
          <w:p w14:paraId="34A3C5C5" w14:textId="77777777" w:rsidR="00191237" w:rsidRPr="00CA6B3B" w:rsidRDefault="00191237" w:rsidP="00FC12C0">
            <w:pPr>
              <w:pStyle w:val="TableContent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A6B3B">
              <w:rPr>
                <w:rFonts w:ascii="Arial" w:hAnsi="Arial" w:cs="Arial"/>
                <w:b w:val="0"/>
                <w:bCs w:val="0"/>
                <w:sz w:val="22"/>
                <w:szCs w:val="22"/>
              </w:rPr>
              <w:t>IgAV bolesnici s kožnim lezijama samo po donjim ekstremitetima (N=131)</w:t>
            </w:r>
          </w:p>
        </w:tc>
        <w:tc>
          <w:tcPr>
            <w:tcW w:w="2674" w:type="dxa"/>
            <w:vAlign w:val="center"/>
          </w:tcPr>
          <w:p w14:paraId="09E6D369" w14:textId="77777777" w:rsidR="00191237" w:rsidRPr="00CA6B3B" w:rsidRDefault="00191237" w:rsidP="00FC12C0">
            <w:pPr>
              <w:pStyle w:val="TableContent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A6B3B">
              <w:rPr>
                <w:rFonts w:ascii="Arial" w:hAnsi="Arial" w:cs="Arial"/>
                <w:b w:val="0"/>
                <w:bCs w:val="0"/>
                <w:sz w:val="22"/>
                <w:szCs w:val="22"/>
              </w:rPr>
              <w:t>IgAV bolesnici s kožnim lezijama proširenim iznad donjih ekstremiteta (N=103)</w:t>
            </w:r>
          </w:p>
        </w:tc>
        <w:tc>
          <w:tcPr>
            <w:tcW w:w="1871" w:type="dxa"/>
            <w:vAlign w:val="center"/>
          </w:tcPr>
          <w:p w14:paraId="77492980" w14:textId="77777777" w:rsidR="00191237" w:rsidRPr="00CA6B3B" w:rsidRDefault="00191237" w:rsidP="00FC12C0">
            <w:pPr>
              <w:pStyle w:val="TableContent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A6B3B">
              <w:rPr>
                <w:rFonts w:ascii="Arial" w:hAnsi="Arial" w:cs="Arial"/>
                <w:b w:val="0"/>
                <w:bCs w:val="0"/>
                <w:sz w:val="22"/>
                <w:szCs w:val="22"/>
              </w:rPr>
              <w:t>p vrijednost</w:t>
            </w:r>
          </w:p>
        </w:tc>
      </w:tr>
      <w:tr w:rsidR="00191237" w:rsidRPr="00CD3E6E" w14:paraId="3B2E1737"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CDBEF4F" w14:textId="77777777" w:rsidR="00191237" w:rsidRPr="00CA6B3B" w:rsidRDefault="00191237" w:rsidP="00FC12C0">
            <w:pPr>
              <w:pStyle w:val="TableContents"/>
              <w:jc w:val="center"/>
              <w:rPr>
                <w:rFonts w:ascii="Arial" w:hAnsi="Arial" w:cs="Arial"/>
                <w:b w:val="0"/>
                <w:sz w:val="22"/>
                <w:szCs w:val="22"/>
              </w:rPr>
            </w:pPr>
            <w:r w:rsidRPr="00CA6B3B">
              <w:rPr>
                <w:rFonts w:ascii="Arial" w:hAnsi="Arial" w:cs="Arial"/>
                <w:b w:val="0"/>
                <w:sz w:val="22"/>
                <w:szCs w:val="22"/>
              </w:rPr>
              <w:t>Ž</w:t>
            </w:r>
          </w:p>
        </w:tc>
        <w:tc>
          <w:tcPr>
            <w:tcW w:w="2474" w:type="dxa"/>
            <w:vAlign w:val="center"/>
          </w:tcPr>
          <w:p w14:paraId="1C78978C"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63 (48,1%)</w:t>
            </w:r>
          </w:p>
        </w:tc>
        <w:tc>
          <w:tcPr>
            <w:tcW w:w="2674" w:type="dxa"/>
            <w:vAlign w:val="center"/>
          </w:tcPr>
          <w:p w14:paraId="595A946C" w14:textId="77777777" w:rsidR="00191237" w:rsidRPr="00CD3E6E" w:rsidRDefault="00191237" w:rsidP="00FC12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47 (45,6%)</w:t>
            </w:r>
          </w:p>
        </w:tc>
        <w:tc>
          <w:tcPr>
            <w:tcW w:w="1871" w:type="dxa"/>
            <w:vMerge w:val="restart"/>
            <w:vAlign w:val="center"/>
          </w:tcPr>
          <w:p w14:paraId="02FCE6C7" w14:textId="77777777" w:rsidR="00191237" w:rsidRPr="00CD3E6E" w:rsidRDefault="00191237" w:rsidP="00FC12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0,708</w:t>
            </w:r>
            <w:r w:rsidRPr="00CD3E6E">
              <w:rPr>
                <w:rFonts w:ascii="Arial" w:hAnsi="Arial" w:cs="Arial"/>
                <w:sz w:val="22"/>
                <w:szCs w:val="22"/>
                <w:vertAlign w:val="superscript"/>
              </w:rPr>
              <w:t>a</w:t>
            </w:r>
          </w:p>
        </w:tc>
      </w:tr>
      <w:tr w:rsidR="00191237" w:rsidRPr="00CD3E6E" w14:paraId="45DFF61C"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23D784A" w14:textId="77777777" w:rsidR="00191237" w:rsidRPr="00CA6B3B" w:rsidRDefault="00191237" w:rsidP="00FC12C0">
            <w:pPr>
              <w:jc w:val="center"/>
              <w:rPr>
                <w:rFonts w:ascii="Arial" w:hAnsi="Arial" w:cs="Arial"/>
                <w:b w:val="0"/>
              </w:rPr>
            </w:pPr>
            <w:r w:rsidRPr="00CA6B3B">
              <w:rPr>
                <w:rFonts w:ascii="Arial" w:hAnsi="Arial" w:cs="Arial"/>
                <w:b w:val="0"/>
              </w:rPr>
              <w:t>M</w:t>
            </w:r>
          </w:p>
        </w:tc>
        <w:tc>
          <w:tcPr>
            <w:tcW w:w="2474" w:type="dxa"/>
            <w:vAlign w:val="center"/>
          </w:tcPr>
          <w:p w14:paraId="3B3CA186"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68 (51,9%)</w:t>
            </w:r>
          </w:p>
        </w:tc>
        <w:tc>
          <w:tcPr>
            <w:tcW w:w="2674" w:type="dxa"/>
            <w:vAlign w:val="center"/>
          </w:tcPr>
          <w:p w14:paraId="200D6839" w14:textId="77777777" w:rsidR="00191237" w:rsidRPr="00CD3E6E" w:rsidRDefault="00191237" w:rsidP="00FC12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56 (54,4%)</w:t>
            </w:r>
          </w:p>
        </w:tc>
        <w:tc>
          <w:tcPr>
            <w:tcW w:w="1871" w:type="dxa"/>
            <w:vMerge/>
            <w:vAlign w:val="center"/>
          </w:tcPr>
          <w:p w14:paraId="3D6424AE" w14:textId="77777777" w:rsidR="00191237" w:rsidRPr="00CD3E6E" w:rsidRDefault="00191237" w:rsidP="00FC12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1237" w:rsidRPr="00CD3E6E" w14:paraId="480651B3"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BF17447" w14:textId="77777777" w:rsidR="00191237" w:rsidRPr="00CA6B3B" w:rsidRDefault="00191237" w:rsidP="00FC12C0">
            <w:pPr>
              <w:pStyle w:val="TableContents"/>
              <w:jc w:val="center"/>
              <w:rPr>
                <w:rFonts w:ascii="Arial" w:hAnsi="Arial" w:cs="Arial"/>
                <w:b w:val="0"/>
              </w:rPr>
            </w:pPr>
            <w:r w:rsidRPr="00CA6B3B">
              <w:rPr>
                <w:rFonts w:ascii="Arial" w:hAnsi="Arial" w:cs="Arial"/>
                <w:b w:val="0"/>
                <w:bCs w:val="0"/>
                <w:sz w:val="22"/>
                <w:szCs w:val="22"/>
              </w:rPr>
              <w:t>Dob</w:t>
            </w:r>
            <w:r w:rsidRPr="00CA6B3B">
              <w:rPr>
                <w:rFonts w:ascii="Arial" w:hAnsi="Arial" w:cs="Arial"/>
                <w:b w:val="0"/>
                <w:sz w:val="22"/>
                <w:szCs w:val="22"/>
              </w:rPr>
              <w:t xml:space="preserve"> (godine)</w:t>
            </w:r>
          </w:p>
        </w:tc>
        <w:tc>
          <w:tcPr>
            <w:tcW w:w="2474" w:type="dxa"/>
            <w:vAlign w:val="center"/>
          </w:tcPr>
          <w:p w14:paraId="3906950B"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6,5 (4,5-8,1)</w:t>
            </w:r>
          </w:p>
        </w:tc>
        <w:tc>
          <w:tcPr>
            <w:tcW w:w="2674" w:type="dxa"/>
            <w:vAlign w:val="center"/>
          </w:tcPr>
          <w:p w14:paraId="4C90AB40"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6,5 (4,5-8,3)</w:t>
            </w:r>
          </w:p>
        </w:tc>
        <w:tc>
          <w:tcPr>
            <w:tcW w:w="1871" w:type="dxa"/>
            <w:vAlign w:val="center"/>
          </w:tcPr>
          <w:p w14:paraId="65069170"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0,7</w:t>
            </w:r>
            <w:r w:rsidRPr="00CD3E6E">
              <w:rPr>
                <w:rFonts w:ascii="Arial" w:hAnsi="Arial" w:cs="Arial"/>
                <w:sz w:val="22"/>
                <w:szCs w:val="22"/>
                <w:vertAlign w:val="superscript"/>
              </w:rPr>
              <w:t>a</w:t>
            </w:r>
          </w:p>
        </w:tc>
      </w:tr>
      <w:tr w:rsidR="00191237" w:rsidRPr="00CD3E6E" w14:paraId="0232A7B4"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35791BF7" w14:textId="77777777" w:rsidR="00191237" w:rsidRPr="00CA6B3B" w:rsidRDefault="00191237" w:rsidP="00FC12C0">
            <w:pPr>
              <w:pStyle w:val="TableContents"/>
              <w:jc w:val="center"/>
              <w:rPr>
                <w:rFonts w:ascii="Arial" w:hAnsi="Arial" w:cs="Arial"/>
                <w:b w:val="0"/>
                <w:bCs w:val="0"/>
                <w:sz w:val="22"/>
                <w:szCs w:val="22"/>
              </w:rPr>
            </w:pPr>
            <w:r w:rsidRPr="00CA6B3B">
              <w:rPr>
                <w:rFonts w:ascii="Arial" w:hAnsi="Arial" w:cs="Arial"/>
                <w:b w:val="0"/>
                <w:bCs w:val="0"/>
                <w:sz w:val="22"/>
                <w:szCs w:val="22"/>
              </w:rPr>
              <w:t>Prvi simptom bolesti</w:t>
            </w:r>
          </w:p>
        </w:tc>
      </w:tr>
      <w:tr w:rsidR="00191237" w:rsidRPr="00CD3E6E" w14:paraId="44FD5993" w14:textId="77777777" w:rsidTr="00B7694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C58571D" w14:textId="77777777" w:rsidR="00191237" w:rsidRPr="00CA6B3B" w:rsidRDefault="00191237" w:rsidP="00FC12C0">
            <w:pPr>
              <w:jc w:val="center"/>
              <w:rPr>
                <w:rFonts w:ascii="Arial" w:hAnsi="Arial" w:cs="Arial"/>
                <w:b w:val="0"/>
              </w:rPr>
            </w:pPr>
            <w:r w:rsidRPr="00CA6B3B">
              <w:rPr>
                <w:rFonts w:ascii="Arial" w:hAnsi="Arial" w:cs="Arial"/>
                <w:b w:val="0"/>
              </w:rPr>
              <w:t>Kožni osip</w:t>
            </w:r>
          </w:p>
        </w:tc>
        <w:tc>
          <w:tcPr>
            <w:tcW w:w="2474" w:type="dxa"/>
            <w:vAlign w:val="center"/>
          </w:tcPr>
          <w:p w14:paraId="1412F29E" w14:textId="77777777" w:rsidR="00191237" w:rsidRPr="00CD3E6E" w:rsidRDefault="00191237" w:rsidP="00FC12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67 (51,1%)</w:t>
            </w:r>
          </w:p>
        </w:tc>
        <w:tc>
          <w:tcPr>
            <w:tcW w:w="2674" w:type="dxa"/>
            <w:vAlign w:val="center"/>
          </w:tcPr>
          <w:p w14:paraId="35F2645A"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60 (58,3%)</w:t>
            </w:r>
          </w:p>
        </w:tc>
        <w:tc>
          <w:tcPr>
            <w:tcW w:w="1871" w:type="dxa"/>
            <w:vMerge w:val="restart"/>
            <w:vAlign w:val="center"/>
          </w:tcPr>
          <w:p w14:paraId="2F009914" w14:textId="77777777" w:rsidR="00191237" w:rsidRPr="00CD3E6E" w:rsidRDefault="00191237" w:rsidP="00B7694D">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0,278</w:t>
            </w:r>
            <w:r w:rsidRPr="00CD3E6E">
              <w:rPr>
                <w:rFonts w:ascii="Arial" w:hAnsi="Arial" w:cs="Arial"/>
                <w:sz w:val="22"/>
                <w:szCs w:val="22"/>
                <w:vertAlign w:val="superscript"/>
              </w:rPr>
              <w:t>a</w:t>
            </w:r>
          </w:p>
        </w:tc>
      </w:tr>
      <w:tr w:rsidR="00191237" w:rsidRPr="00CD3E6E" w14:paraId="0CBD1BA4"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466236EA" w14:textId="77777777" w:rsidR="00191237" w:rsidRPr="00CA6B3B" w:rsidRDefault="00191237" w:rsidP="00FC12C0">
            <w:pPr>
              <w:jc w:val="center"/>
              <w:rPr>
                <w:rFonts w:ascii="Arial" w:hAnsi="Arial" w:cs="Arial"/>
                <w:b w:val="0"/>
              </w:rPr>
            </w:pPr>
            <w:r w:rsidRPr="00CA6B3B">
              <w:rPr>
                <w:rFonts w:ascii="Arial" w:hAnsi="Arial" w:cs="Arial"/>
                <w:b w:val="0"/>
              </w:rPr>
              <w:t>Artritis/artralgije</w:t>
            </w:r>
          </w:p>
        </w:tc>
        <w:tc>
          <w:tcPr>
            <w:tcW w:w="2474" w:type="dxa"/>
            <w:vAlign w:val="center"/>
          </w:tcPr>
          <w:p w14:paraId="40E19908" w14:textId="77777777" w:rsidR="00191237" w:rsidRPr="00CD3E6E" w:rsidRDefault="00191237" w:rsidP="00FC12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46 (35,1%)</w:t>
            </w:r>
          </w:p>
        </w:tc>
        <w:tc>
          <w:tcPr>
            <w:tcW w:w="2674" w:type="dxa"/>
            <w:vAlign w:val="center"/>
          </w:tcPr>
          <w:p w14:paraId="29B8A292"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26 (25,2%)</w:t>
            </w:r>
          </w:p>
        </w:tc>
        <w:tc>
          <w:tcPr>
            <w:tcW w:w="1871" w:type="dxa"/>
            <w:vMerge/>
            <w:vAlign w:val="center"/>
          </w:tcPr>
          <w:p w14:paraId="2B418CA3" w14:textId="77777777" w:rsidR="00191237" w:rsidRPr="00CD3E6E" w:rsidRDefault="00191237" w:rsidP="00FC12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1237" w:rsidRPr="00CD3E6E" w14:paraId="702BD13A"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4DDA0E8F" w14:textId="77777777" w:rsidR="00191237" w:rsidRPr="00CA6B3B" w:rsidRDefault="00191237" w:rsidP="00FC12C0">
            <w:pPr>
              <w:jc w:val="center"/>
              <w:rPr>
                <w:rFonts w:ascii="Arial" w:hAnsi="Arial" w:cs="Arial"/>
                <w:b w:val="0"/>
              </w:rPr>
            </w:pPr>
            <w:r w:rsidRPr="00CA6B3B">
              <w:rPr>
                <w:rFonts w:ascii="Arial" w:hAnsi="Arial" w:cs="Arial"/>
                <w:b w:val="0"/>
              </w:rPr>
              <w:t>Probavni sustav</w:t>
            </w:r>
          </w:p>
        </w:tc>
        <w:tc>
          <w:tcPr>
            <w:tcW w:w="2474" w:type="dxa"/>
            <w:vAlign w:val="center"/>
          </w:tcPr>
          <w:p w14:paraId="416D75B1" w14:textId="77777777" w:rsidR="00191237" w:rsidRPr="00CD3E6E" w:rsidRDefault="00191237" w:rsidP="00FC12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18 (13,8%)</w:t>
            </w:r>
          </w:p>
        </w:tc>
        <w:tc>
          <w:tcPr>
            <w:tcW w:w="2674" w:type="dxa"/>
            <w:vAlign w:val="center"/>
          </w:tcPr>
          <w:p w14:paraId="1F48D6CD"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17 (16,5%)</w:t>
            </w:r>
          </w:p>
        </w:tc>
        <w:tc>
          <w:tcPr>
            <w:tcW w:w="1871" w:type="dxa"/>
            <w:vMerge/>
            <w:vAlign w:val="center"/>
          </w:tcPr>
          <w:p w14:paraId="48654599" w14:textId="77777777" w:rsidR="00191237" w:rsidRPr="00CD3E6E" w:rsidRDefault="00191237" w:rsidP="00FC12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91237" w:rsidRPr="00CD3E6E" w14:paraId="4E8A35FD"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C068552" w14:textId="77777777" w:rsidR="00191237" w:rsidRPr="00CA6B3B" w:rsidRDefault="00191237" w:rsidP="00FC12C0">
            <w:pPr>
              <w:pStyle w:val="TableContents"/>
              <w:jc w:val="center"/>
              <w:rPr>
                <w:rFonts w:ascii="Arial" w:hAnsi="Arial" w:cs="Arial"/>
                <w:b w:val="0"/>
              </w:rPr>
            </w:pPr>
            <w:r>
              <w:rPr>
                <w:rFonts w:ascii="Arial" w:hAnsi="Arial" w:cs="Arial"/>
                <w:b w:val="0"/>
                <w:bCs w:val="0"/>
                <w:sz w:val="22"/>
                <w:szCs w:val="22"/>
              </w:rPr>
              <w:t>Hospitalizacija</w:t>
            </w:r>
            <w:r w:rsidRPr="00CA6B3B">
              <w:rPr>
                <w:rFonts w:ascii="Arial" w:hAnsi="Arial" w:cs="Arial"/>
                <w:b w:val="0"/>
                <w:sz w:val="22"/>
                <w:szCs w:val="22"/>
              </w:rPr>
              <w:t xml:space="preserve"> (dani)</w:t>
            </w:r>
          </w:p>
        </w:tc>
        <w:tc>
          <w:tcPr>
            <w:tcW w:w="2474" w:type="dxa"/>
            <w:vAlign w:val="center"/>
          </w:tcPr>
          <w:p w14:paraId="01358052"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10 (5-13)</w:t>
            </w:r>
          </w:p>
        </w:tc>
        <w:tc>
          <w:tcPr>
            <w:tcW w:w="2674" w:type="dxa"/>
            <w:vAlign w:val="center"/>
          </w:tcPr>
          <w:p w14:paraId="7C8881FB"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12 (8-18)</w:t>
            </w:r>
          </w:p>
        </w:tc>
        <w:tc>
          <w:tcPr>
            <w:tcW w:w="1871" w:type="dxa"/>
            <w:vAlign w:val="center"/>
          </w:tcPr>
          <w:p w14:paraId="1BEF833B"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D3E6E">
              <w:rPr>
                <w:rFonts w:ascii="Arial" w:hAnsi="Arial" w:cs="Arial"/>
                <w:b/>
                <w:bCs/>
                <w:sz w:val="22"/>
                <w:szCs w:val="22"/>
              </w:rPr>
              <w:t>0,006</w:t>
            </w:r>
            <w:r w:rsidRPr="00CD3E6E">
              <w:rPr>
                <w:rFonts w:ascii="Arial" w:hAnsi="Arial" w:cs="Arial"/>
                <w:b/>
                <w:bCs/>
                <w:sz w:val="22"/>
                <w:szCs w:val="22"/>
                <w:vertAlign w:val="superscript"/>
              </w:rPr>
              <w:t>a</w:t>
            </w:r>
          </w:p>
        </w:tc>
      </w:tr>
      <w:tr w:rsidR="00191237" w:rsidRPr="00CD3E6E" w14:paraId="049080A4"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274616A9" w14:textId="77777777" w:rsidR="00191237" w:rsidRPr="00CA6B3B" w:rsidRDefault="00191237" w:rsidP="00FC12C0">
            <w:pPr>
              <w:pStyle w:val="TableContents"/>
              <w:jc w:val="center"/>
              <w:rPr>
                <w:rFonts w:ascii="Arial" w:hAnsi="Arial" w:cs="Arial"/>
                <w:b w:val="0"/>
                <w:bCs w:val="0"/>
                <w:sz w:val="22"/>
                <w:szCs w:val="22"/>
              </w:rPr>
            </w:pPr>
            <w:r>
              <w:rPr>
                <w:rFonts w:ascii="Arial" w:hAnsi="Arial" w:cs="Arial"/>
                <w:b w:val="0"/>
                <w:bCs w:val="0"/>
                <w:sz w:val="22"/>
                <w:szCs w:val="22"/>
              </w:rPr>
              <w:t>Infekcija</w:t>
            </w:r>
          </w:p>
        </w:tc>
        <w:tc>
          <w:tcPr>
            <w:tcW w:w="2474" w:type="dxa"/>
            <w:vAlign w:val="center"/>
          </w:tcPr>
          <w:p w14:paraId="46E00C83"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90 (68,7%)</w:t>
            </w:r>
          </w:p>
        </w:tc>
        <w:tc>
          <w:tcPr>
            <w:tcW w:w="2674" w:type="dxa"/>
            <w:vAlign w:val="center"/>
          </w:tcPr>
          <w:p w14:paraId="1C4CE37F"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67 (65%)</w:t>
            </w:r>
          </w:p>
        </w:tc>
        <w:tc>
          <w:tcPr>
            <w:tcW w:w="1871" w:type="dxa"/>
            <w:vAlign w:val="center"/>
          </w:tcPr>
          <w:p w14:paraId="4CC033D0"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0,554</w:t>
            </w:r>
            <w:r w:rsidRPr="00CD3E6E">
              <w:rPr>
                <w:rFonts w:ascii="Arial" w:hAnsi="Arial" w:cs="Arial"/>
                <w:sz w:val="22"/>
                <w:szCs w:val="22"/>
                <w:vertAlign w:val="superscript"/>
              </w:rPr>
              <w:t>a</w:t>
            </w:r>
          </w:p>
        </w:tc>
      </w:tr>
      <w:tr w:rsidR="00191237" w:rsidRPr="00CD3E6E" w14:paraId="45A4E3E9"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36A3D165" w14:textId="77777777" w:rsidR="00191237" w:rsidRPr="00CA6B3B" w:rsidRDefault="00191237" w:rsidP="00FC12C0">
            <w:pPr>
              <w:pStyle w:val="TableContents"/>
              <w:jc w:val="center"/>
              <w:rPr>
                <w:rFonts w:ascii="Arial" w:hAnsi="Arial" w:cs="Arial"/>
                <w:b w:val="0"/>
                <w:bCs w:val="0"/>
                <w:sz w:val="22"/>
                <w:szCs w:val="22"/>
              </w:rPr>
            </w:pPr>
            <w:r w:rsidRPr="00CA6B3B">
              <w:rPr>
                <w:rFonts w:ascii="Arial" w:hAnsi="Arial" w:cs="Arial"/>
                <w:b w:val="0"/>
                <w:bCs w:val="0"/>
                <w:sz w:val="22"/>
                <w:szCs w:val="22"/>
              </w:rPr>
              <w:t>Klinička slika</w:t>
            </w:r>
          </w:p>
        </w:tc>
      </w:tr>
      <w:tr w:rsidR="00191237" w:rsidRPr="00CD3E6E" w14:paraId="7F026DED"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1C841C7"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S</w:t>
            </w:r>
            <w:r w:rsidRPr="00CA6B3B">
              <w:rPr>
                <w:rFonts w:ascii="Arial" w:hAnsi="Arial" w:cs="Arial"/>
                <w:b w:val="0"/>
                <w:sz w:val="22"/>
                <w:szCs w:val="22"/>
              </w:rPr>
              <w:t>ubkutani edem</w:t>
            </w:r>
          </w:p>
        </w:tc>
        <w:tc>
          <w:tcPr>
            <w:tcW w:w="2474" w:type="dxa"/>
            <w:vAlign w:val="center"/>
          </w:tcPr>
          <w:p w14:paraId="5A904ADB"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25 (19,1%)</w:t>
            </w:r>
          </w:p>
        </w:tc>
        <w:tc>
          <w:tcPr>
            <w:tcW w:w="2674" w:type="dxa"/>
            <w:vAlign w:val="center"/>
          </w:tcPr>
          <w:p w14:paraId="6C948C0C"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18 (17,5%)</w:t>
            </w:r>
          </w:p>
        </w:tc>
        <w:tc>
          <w:tcPr>
            <w:tcW w:w="1871" w:type="dxa"/>
            <w:vAlign w:val="center"/>
          </w:tcPr>
          <w:p w14:paraId="19CD960F"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0,753</w:t>
            </w:r>
            <w:r w:rsidRPr="00CD3E6E">
              <w:rPr>
                <w:rFonts w:ascii="Arial" w:hAnsi="Arial" w:cs="Arial"/>
                <w:sz w:val="22"/>
                <w:szCs w:val="22"/>
                <w:vertAlign w:val="superscript"/>
              </w:rPr>
              <w:t>a</w:t>
            </w:r>
          </w:p>
        </w:tc>
      </w:tr>
      <w:tr w:rsidR="00191237" w:rsidRPr="00CD3E6E" w14:paraId="6240CF90"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B400AF2"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R</w:t>
            </w:r>
            <w:r w:rsidRPr="00CA6B3B">
              <w:rPr>
                <w:rFonts w:ascii="Arial" w:hAnsi="Arial" w:cs="Arial"/>
                <w:b w:val="0"/>
                <w:sz w:val="22"/>
                <w:szCs w:val="22"/>
              </w:rPr>
              <w:t>ecidivirajući osip</w:t>
            </w:r>
          </w:p>
        </w:tc>
        <w:tc>
          <w:tcPr>
            <w:tcW w:w="2474" w:type="dxa"/>
            <w:vAlign w:val="center"/>
          </w:tcPr>
          <w:p w14:paraId="02F0A47C"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25 (19,1%)</w:t>
            </w:r>
          </w:p>
        </w:tc>
        <w:tc>
          <w:tcPr>
            <w:tcW w:w="2674" w:type="dxa"/>
            <w:vAlign w:val="center"/>
          </w:tcPr>
          <w:p w14:paraId="64E2CFDC"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22 (21,4%)</w:t>
            </w:r>
          </w:p>
        </w:tc>
        <w:tc>
          <w:tcPr>
            <w:tcW w:w="1871" w:type="dxa"/>
            <w:vAlign w:val="center"/>
          </w:tcPr>
          <w:p w14:paraId="6C4D0835"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3E6E">
              <w:rPr>
                <w:rFonts w:ascii="Arial" w:hAnsi="Arial" w:cs="Arial"/>
                <w:sz w:val="22"/>
                <w:szCs w:val="22"/>
              </w:rPr>
              <w:t>0,666</w:t>
            </w:r>
            <w:r w:rsidRPr="00CD3E6E">
              <w:rPr>
                <w:rFonts w:ascii="Arial" w:hAnsi="Arial" w:cs="Arial"/>
                <w:sz w:val="22"/>
                <w:szCs w:val="22"/>
                <w:vertAlign w:val="superscript"/>
              </w:rPr>
              <w:t>a</w:t>
            </w:r>
          </w:p>
        </w:tc>
      </w:tr>
      <w:tr w:rsidR="00191237" w:rsidRPr="00CD3E6E" w14:paraId="04105DD3" w14:textId="77777777" w:rsidTr="00FC12C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B67C052" w14:textId="77777777" w:rsidR="00191237" w:rsidRPr="00CA6B3B" w:rsidRDefault="00191237" w:rsidP="00FC12C0">
            <w:pPr>
              <w:pStyle w:val="TableContents"/>
              <w:jc w:val="center"/>
              <w:rPr>
                <w:rFonts w:ascii="Arial" w:hAnsi="Arial" w:cs="Arial"/>
                <w:b w:val="0"/>
              </w:rPr>
            </w:pPr>
            <w:r>
              <w:rPr>
                <w:rFonts w:ascii="Arial" w:hAnsi="Arial" w:cs="Arial"/>
                <w:b w:val="0"/>
                <w:sz w:val="22"/>
                <w:szCs w:val="22"/>
              </w:rPr>
              <w:t>T</w:t>
            </w:r>
            <w:r w:rsidRPr="00CA6B3B">
              <w:rPr>
                <w:rFonts w:ascii="Arial" w:hAnsi="Arial" w:cs="Arial"/>
                <w:b w:val="0"/>
                <w:sz w:val="22"/>
                <w:szCs w:val="22"/>
              </w:rPr>
              <w:t>eške kožne promjene         (ulceracije, nekroze)</w:t>
            </w:r>
          </w:p>
        </w:tc>
        <w:tc>
          <w:tcPr>
            <w:tcW w:w="2474" w:type="dxa"/>
            <w:vAlign w:val="center"/>
          </w:tcPr>
          <w:p w14:paraId="0649F10B"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 (6,2%)</w:t>
            </w:r>
          </w:p>
        </w:tc>
        <w:tc>
          <w:tcPr>
            <w:tcW w:w="2674" w:type="dxa"/>
            <w:vAlign w:val="center"/>
          </w:tcPr>
          <w:p w14:paraId="5DB0F229"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5 (4,8%)</w:t>
            </w:r>
          </w:p>
        </w:tc>
        <w:tc>
          <w:tcPr>
            <w:tcW w:w="1871" w:type="dxa"/>
            <w:vAlign w:val="center"/>
          </w:tcPr>
          <w:p w14:paraId="6846ED74"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0,922</w:t>
            </w:r>
            <w:r w:rsidRPr="00CD3E6E">
              <w:rPr>
                <w:rFonts w:ascii="Arial" w:hAnsi="Arial" w:cs="Arial"/>
                <w:sz w:val="22"/>
                <w:szCs w:val="22"/>
                <w:vertAlign w:val="superscript"/>
              </w:rPr>
              <w:t>b</w:t>
            </w:r>
          </w:p>
        </w:tc>
      </w:tr>
      <w:tr w:rsidR="00191237" w:rsidRPr="00CD3E6E" w14:paraId="7F1244A1"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02EC2399"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B</w:t>
            </w:r>
            <w:r w:rsidRPr="00CA6B3B">
              <w:rPr>
                <w:rFonts w:ascii="Arial" w:hAnsi="Arial" w:cs="Arial"/>
                <w:b w:val="0"/>
                <w:sz w:val="22"/>
                <w:szCs w:val="22"/>
              </w:rPr>
              <w:t>iopsija kože</w:t>
            </w:r>
          </w:p>
        </w:tc>
        <w:tc>
          <w:tcPr>
            <w:tcW w:w="2474" w:type="dxa"/>
            <w:vAlign w:val="center"/>
          </w:tcPr>
          <w:p w14:paraId="381E640C"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0 (0%)</w:t>
            </w:r>
          </w:p>
        </w:tc>
        <w:tc>
          <w:tcPr>
            <w:tcW w:w="2674" w:type="dxa"/>
            <w:vAlign w:val="center"/>
          </w:tcPr>
          <w:p w14:paraId="00F0F46F"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1 (0,97%)</w:t>
            </w:r>
          </w:p>
        </w:tc>
        <w:tc>
          <w:tcPr>
            <w:tcW w:w="1871" w:type="dxa"/>
            <w:vAlign w:val="center"/>
          </w:tcPr>
          <w:p w14:paraId="36DE0929"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0,258</w:t>
            </w:r>
            <w:r w:rsidRPr="00CD3E6E">
              <w:rPr>
                <w:rFonts w:ascii="Arial" w:hAnsi="Arial" w:cs="Arial"/>
                <w:sz w:val="22"/>
                <w:szCs w:val="22"/>
                <w:vertAlign w:val="superscript"/>
              </w:rPr>
              <w:t>b</w:t>
            </w:r>
          </w:p>
        </w:tc>
      </w:tr>
      <w:tr w:rsidR="00191237" w:rsidRPr="00CD3E6E" w14:paraId="7D4C2E59"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ADFDEE1"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A</w:t>
            </w:r>
            <w:r w:rsidRPr="00CA6B3B">
              <w:rPr>
                <w:rFonts w:ascii="Arial" w:hAnsi="Arial" w:cs="Arial"/>
                <w:b w:val="0"/>
                <w:sz w:val="22"/>
                <w:szCs w:val="22"/>
              </w:rPr>
              <w:t>rtritis/artralgije</w:t>
            </w:r>
          </w:p>
        </w:tc>
        <w:tc>
          <w:tcPr>
            <w:tcW w:w="2474" w:type="dxa"/>
            <w:vAlign w:val="center"/>
          </w:tcPr>
          <w:p w14:paraId="79764A75"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102 (77,8%)</w:t>
            </w:r>
          </w:p>
        </w:tc>
        <w:tc>
          <w:tcPr>
            <w:tcW w:w="2674" w:type="dxa"/>
            <w:vAlign w:val="center"/>
          </w:tcPr>
          <w:p w14:paraId="4A1359EC"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69 (67%)</w:t>
            </w:r>
          </w:p>
        </w:tc>
        <w:tc>
          <w:tcPr>
            <w:tcW w:w="1871" w:type="dxa"/>
            <w:vAlign w:val="center"/>
          </w:tcPr>
          <w:p w14:paraId="636D9078"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0,063</w:t>
            </w:r>
            <w:r w:rsidRPr="00CD3E6E">
              <w:rPr>
                <w:rFonts w:ascii="Arial" w:hAnsi="Arial" w:cs="Arial"/>
                <w:sz w:val="22"/>
                <w:szCs w:val="22"/>
                <w:vertAlign w:val="superscript"/>
              </w:rPr>
              <w:t>a</w:t>
            </w:r>
          </w:p>
        </w:tc>
      </w:tr>
      <w:tr w:rsidR="00191237" w:rsidRPr="00CD3E6E" w14:paraId="01E5F4BB"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E9AF59B"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Z</w:t>
            </w:r>
            <w:r w:rsidRPr="00CA6B3B">
              <w:rPr>
                <w:rFonts w:ascii="Arial" w:hAnsi="Arial" w:cs="Arial"/>
                <w:b w:val="0"/>
                <w:sz w:val="22"/>
                <w:szCs w:val="22"/>
              </w:rPr>
              <w:t>ahvaćanje GI sustava</w:t>
            </w:r>
          </w:p>
        </w:tc>
        <w:tc>
          <w:tcPr>
            <w:tcW w:w="2474" w:type="dxa"/>
            <w:vAlign w:val="center"/>
          </w:tcPr>
          <w:p w14:paraId="49CD1D17"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48 (36,6%)</w:t>
            </w:r>
          </w:p>
        </w:tc>
        <w:tc>
          <w:tcPr>
            <w:tcW w:w="2674" w:type="dxa"/>
            <w:vAlign w:val="center"/>
          </w:tcPr>
          <w:p w14:paraId="5CE1D6D7"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52 (50,5%)</w:t>
            </w:r>
          </w:p>
        </w:tc>
        <w:tc>
          <w:tcPr>
            <w:tcW w:w="1871" w:type="dxa"/>
            <w:vAlign w:val="center"/>
          </w:tcPr>
          <w:p w14:paraId="5EFBEDFD"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D3E6E">
              <w:rPr>
                <w:rFonts w:ascii="Arial" w:hAnsi="Arial" w:cs="Arial"/>
                <w:b/>
                <w:bCs/>
                <w:sz w:val="22"/>
                <w:szCs w:val="22"/>
              </w:rPr>
              <w:t>0,033</w:t>
            </w:r>
            <w:r w:rsidRPr="00CD3E6E">
              <w:rPr>
                <w:rFonts w:ascii="Arial" w:hAnsi="Arial" w:cs="Arial"/>
                <w:b/>
                <w:bCs/>
                <w:sz w:val="22"/>
                <w:szCs w:val="22"/>
                <w:vertAlign w:val="superscript"/>
              </w:rPr>
              <w:t>a</w:t>
            </w:r>
          </w:p>
        </w:tc>
      </w:tr>
      <w:tr w:rsidR="00191237" w:rsidRPr="00CD3E6E" w14:paraId="760AF13F" w14:textId="77777777" w:rsidTr="00FC12C0">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DEA5A09"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T</w:t>
            </w:r>
            <w:r w:rsidRPr="00CA6B3B">
              <w:rPr>
                <w:rFonts w:ascii="Arial" w:hAnsi="Arial" w:cs="Arial"/>
                <w:b w:val="0"/>
                <w:sz w:val="22"/>
                <w:szCs w:val="22"/>
              </w:rPr>
              <w:t>eške GI komplikacije (krvarenje iz probavnog sustava, intususcepcija, invaginacija crijeva)</w:t>
            </w:r>
          </w:p>
        </w:tc>
        <w:tc>
          <w:tcPr>
            <w:tcW w:w="2474" w:type="dxa"/>
            <w:vAlign w:val="center"/>
          </w:tcPr>
          <w:p w14:paraId="528CFCA3"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9 (6,9%)</w:t>
            </w:r>
          </w:p>
        </w:tc>
        <w:tc>
          <w:tcPr>
            <w:tcW w:w="2674" w:type="dxa"/>
            <w:vAlign w:val="center"/>
          </w:tcPr>
          <w:p w14:paraId="05C4E33E"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11 (10,7%)</w:t>
            </w:r>
          </w:p>
        </w:tc>
        <w:tc>
          <w:tcPr>
            <w:tcW w:w="1871" w:type="dxa"/>
            <w:vAlign w:val="center"/>
          </w:tcPr>
          <w:p w14:paraId="6D4E75D2"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0,301</w:t>
            </w:r>
            <w:r w:rsidRPr="00CD3E6E">
              <w:rPr>
                <w:rFonts w:ascii="Arial" w:hAnsi="Arial" w:cs="Arial"/>
                <w:sz w:val="22"/>
                <w:szCs w:val="22"/>
                <w:vertAlign w:val="superscript"/>
              </w:rPr>
              <w:t>a</w:t>
            </w:r>
          </w:p>
        </w:tc>
      </w:tr>
      <w:tr w:rsidR="00191237" w:rsidRPr="00CD3E6E" w14:paraId="345DDE84"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CD5F6C0" w14:textId="77777777" w:rsidR="00191237" w:rsidRPr="00CA6B3B" w:rsidRDefault="00191237" w:rsidP="00FC12C0">
            <w:pPr>
              <w:pStyle w:val="TableContents"/>
              <w:jc w:val="center"/>
              <w:rPr>
                <w:rFonts w:ascii="Arial" w:hAnsi="Arial" w:cs="Arial"/>
                <w:b w:val="0"/>
                <w:sz w:val="22"/>
                <w:szCs w:val="22"/>
              </w:rPr>
            </w:pPr>
            <w:r w:rsidRPr="00CA6B3B">
              <w:rPr>
                <w:rFonts w:ascii="Arial" w:hAnsi="Arial" w:cs="Arial"/>
                <w:b w:val="0"/>
                <w:sz w:val="22"/>
                <w:szCs w:val="22"/>
              </w:rPr>
              <w:t>IgAVN</w:t>
            </w:r>
          </w:p>
        </w:tc>
        <w:tc>
          <w:tcPr>
            <w:tcW w:w="2474" w:type="dxa"/>
            <w:vAlign w:val="center"/>
          </w:tcPr>
          <w:p w14:paraId="5767D6C6"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26 (19,8%)</w:t>
            </w:r>
          </w:p>
        </w:tc>
        <w:tc>
          <w:tcPr>
            <w:tcW w:w="2674" w:type="dxa"/>
            <w:vAlign w:val="center"/>
          </w:tcPr>
          <w:p w14:paraId="45A75E85"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32 (31,1%)</w:t>
            </w:r>
          </w:p>
        </w:tc>
        <w:tc>
          <w:tcPr>
            <w:tcW w:w="1871" w:type="dxa"/>
            <w:vAlign w:val="center"/>
          </w:tcPr>
          <w:p w14:paraId="40E1E012"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D3E6E">
              <w:rPr>
                <w:rFonts w:ascii="Arial" w:hAnsi="Arial" w:cs="Arial"/>
                <w:b/>
                <w:bCs/>
                <w:sz w:val="22"/>
                <w:szCs w:val="22"/>
              </w:rPr>
              <w:t>0,048</w:t>
            </w:r>
            <w:r w:rsidRPr="00CD3E6E">
              <w:rPr>
                <w:rFonts w:ascii="Arial" w:hAnsi="Arial" w:cs="Arial"/>
                <w:b/>
                <w:bCs/>
                <w:sz w:val="22"/>
                <w:szCs w:val="22"/>
                <w:vertAlign w:val="superscript"/>
              </w:rPr>
              <w:t>a</w:t>
            </w:r>
          </w:p>
        </w:tc>
      </w:tr>
      <w:tr w:rsidR="00191237" w:rsidRPr="00CD3E6E" w14:paraId="41741125" w14:textId="77777777" w:rsidTr="00FC12C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02E4ED7"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V</w:t>
            </w:r>
            <w:r w:rsidRPr="00CA6B3B">
              <w:rPr>
                <w:rFonts w:ascii="Arial" w:hAnsi="Arial" w:cs="Arial"/>
                <w:b w:val="0"/>
                <w:sz w:val="22"/>
                <w:szCs w:val="22"/>
              </w:rPr>
              <w:t>rijeme od dijagnoze do pojave IgAVN-a:</w:t>
            </w:r>
          </w:p>
          <w:p w14:paraId="5B933C43" w14:textId="77777777" w:rsidR="00191237" w:rsidRPr="00CA6B3B" w:rsidRDefault="00191237" w:rsidP="00FC12C0">
            <w:pPr>
              <w:pStyle w:val="TableContents"/>
              <w:jc w:val="center"/>
              <w:rPr>
                <w:rFonts w:ascii="Arial" w:hAnsi="Arial" w:cs="Arial"/>
                <w:b w:val="0"/>
                <w:kern w:val="0"/>
                <w:sz w:val="22"/>
                <w:szCs w:val="22"/>
                <w:lang w:bidi="ar-SA"/>
              </w:rPr>
            </w:pPr>
            <w:r w:rsidRPr="00CA6B3B">
              <w:rPr>
                <w:rFonts w:ascii="Arial" w:hAnsi="Arial" w:cs="Arial"/>
                <w:b w:val="0"/>
                <w:kern w:val="0"/>
                <w:sz w:val="22"/>
                <w:szCs w:val="22"/>
                <w:lang w:bidi="ar-SA"/>
              </w:rPr>
              <w:t>medijan (IR)</w:t>
            </w:r>
          </w:p>
        </w:tc>
        <w:tc>
          <w:tcPr>
            <w:tcW w:w="2474" w:type="dxa"/>
            <w:vAlign w:val="center"/>
          </w:tcPr>
          <w:p w14:paraId="3A7BABFC"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2,5 (0-5,25)</w:t>
            </w:r>
          </w:p>
        </w:tc>
        <w:tc>
          <w:tcPr>
            <w:tcW w:w="2674" w:type="dxa"/>
            <w:vAlign w:val="center"/>
          </w:tcPr>
          <w:p w14:paraId="3581ADA0"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7,5 (3,25-24)</w:t>
            </w:r>
          </w:p>
        </w:tc>
        <w:tc>
          <w:tcPr>
            <w:tcW w:w="1871" w:type="dxa"/>
            <w:vAlign w:val="center"/>
          </w:tcPr>
          <w:p w14:paraId="4AEEAD1D"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D3E6E">
              <w:rPr>
                <w:rFonts w:ascii="Arial" w:hAnsi="Arial" w:cs="Arial"/>
                <w:b/>
                <w:bCs/>
                <w:sz w:val="22"/>
                <w:szCs w:val="22"/>
              </w:rPr>
              <w:t>0,007</w:t>
            </w:r>
            <w:r w:rsidRPr="00CD3E6E">
              <w:rPr>
                <w:rFonts w:ascii="Arial" w:hAnsi="Arial" w:cs="Arial"/>
                <w:b/>
                <w:bCs/>
                <w:sz w:val="22"/>
                <w:szCs w:val="22"/>
                <w:vertAlign w:val="superscript"/>
              </w:rPr>
              <w:t>c</w:t>
            </w:r>
          </w:p>
        </w:tc>
      </w:tr>
      <w:tr w:rsidR="00191237" w:rsidRPr="00CD3E6E" w14:paraId="1029FC8D"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CC28997"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B</w:t>
            </w:r>
            <w:r w:rsidRPr="00CA6B3B">
              <w:rPr>
                <w:rFonts w:ascii="Arial" w:hAnsi="Arial" w:cs="Arial"/>
                <w:b w:val="0"/>
                <w:sz w:val="22"/>
                <w:szCs w:val="22"/>
              </w:rPr>
              <w:t>iopsija bubrega</w:t>
            </w:r>
          </w:p>
        </w:tc>
        <w:tc>
          <w:tcPr>
            <w:tcW w:w="2474" w:type="dxa"/>
            <w:vAlign w:val="center"/>
          </w:tcPr>
          <w:p w14:paraId="6E2534D4"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9 (6,8%)</w:t>
            </w:r>
          </w:p>
        </w:tc>
        <w:tc>
          <w:tcPr>
            <w:tcW w:w="2674" w:type="dxa"/>
            <w:vAlign w:val="center"/>
          </w:tcPr>
          <w:p w14:paraId="24689417"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16 (15,5%)</w:t>
            </w:r>
          </w:p>
        </w:tc>
        <w:tc>
          <w:tcPr>
            <w:tcW w:w="1871" w:type="dxa"/>
            <w:vAlign w:val="center"/>
          </w:tcPr>
          <w:p w14:paraId="5B05FF8F"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D3E6E">
              <w:rPr>
                <w:rFonts w:ascii="Arial" w:hAnsi="Arial" w:cs="Arial"/>
                <w:b/>
                <w:bCs/>
                <w:sz w:val="22"/>
                <w:szCs w:val="22"/>
              </w:rPr>
              <w:t>0,033</w:t>
            </w:r>
            <w:r w:rsidRPr="00CD3E6E">
              <w:rPr>
                <w:rFonts w:ascii="Arial" w:hAnsi="Arial" w:cs="Arial"/>
                <w:b/>
                <w:bCs/>
                <w:sz w:val="22"/>
                <w:szCs w:val="22"/>
                <w:vertAlign w:val="superscript"/>
              </w:rPr>
              <w:t>a</w:t>
            </w:r>
          </w:p>
        </w:tc>
      </w:tr>
      <w:tr w:rsidR="00191237" w:rsidRPr="00CD3E6E" w14:paraId="028E9AD8" w14:textId="77777777" w:rsidTr="00FC12C0">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5CA5A68"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Z</w:t>
            </w:r>
            <w:r w:rsidRPr="00CA6B3B">
              <w:rPr>
                <w:rFonts w:ascii="Arial" w:hAnsi="Arial" w:cs="Arial"/>
                <w:b w:val="0"/>
                <w:sz w:val="22"/>
                <w:szCs w:val="22"/>
              </w:rPr>
              <w:t>ahvaćenost skrotuma i urogenitalnog sustava  (N= broj dječaka)</w:t>
            </w:r>
          </w:p>
        </w:tc>
        <w:tc>
          <w:tcPr>
            <w:tcW w:w="2474" w:type="dxa"/>
            <w:vAlign w:val="center"/>
          </w:tcPr>
          <w:p w14:paraId="2EFB0F90"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9 (13,2%)</w:t>
            </w:r>
          </w:p>
        </w:tc>
        <w:tc>
          <w:tcPr>
            <w:tcW w:w="2674" w:type="dxa"/>
            <w:vAlign w:val="center"/>
          </w:tcPr>
          <w:p w14:paraId="7090E199"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5 (9%)</w:t>
            </w:r>
          </w:p>
        </w:tc>
        <w:tc>
          <w:tcPr>
            <w:tcW w:w="1871" w:type="dxa"/>
            <w:vAlign w:val="center"/>
          </w:tcPr>
          <w:p w14:paraId="012BA611"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0,573</w:t>
            </w:r>
            <w:r w:rsidRPr="00CD3E6E">
              <w:rPr>
                <w:rFonts w:ascii="Arial" w:hAnsi="Arial" w:cs="Arial"/>
                <w:sz w:val="22"/>
                <w:szCs w:val="22"/>
                <w:vertAlign w:val="superscript"/>
              </w:rPr>
              <w:t>b</w:t>
            </w:r>
          </w:p>
        </w:tc>
      </w:tr>
      <w:tr w:rsidR="00191237" w:rsidRPr="00CD3E6E" w14:paraId="5957E840"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33D6FA95" w14:textId="77777777" w:rsidR="00191237" w:rsidRPr="00CA6B3B" w:rsidRDefault="00B7694D" w:rsidP="00FC12C0">
            <w:pPr>
              <w:pStyle w:val="TableContents"/>
              <w:jc w:val="center"/>
              <w:rPr>
                <w:rFonts w:ascii="Arial" w:hAnsi="Arial" w:cs="Arial"/>
                <w:b w:val="0"/>
                <w:bCs w:val="0"/>
                <w:sz w:val="22"/>
                <w:szCs w:val="22"/>
              </w:rPr>
            </w:pPr>
            <w:r>
              <w:rPr>
                <w:rFonts w:ascii="Arial" w:hAnsi="Arial" w:cs="Arial"/>
                <w:b w:val="0"/>
                <w:bCs w:val="0"/>
                <w:sz w:val="22"/>
                <w:szCs w:val="22"/>
              </w:rPr>
              <w:t>Terapija</w:t>
            </w:r>
          </w:p>
        </w:tc>
      </w:tr>
      <w:tr w:rsidR="00191237" w:rsidRPr="00CD3E6E" w14:paraId="72B71766"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C75C0B2" w14:textId="77777777" w:rsidR="00191237" w:rsidRPr="00CA6B3B" w:rsidRDefault="00191237" w:rsidP="00FC12C0">
            <w:pPr>
              <w:pStyle w:val="TableContents"/>
              <w:jc w:val="center"/>
              <w:rPr>
                <w:rFonts w:ascii="Arial" w:hAnsi="Arial" w:cs="Arial"/>
                <w:b w:val="0"/>
                <w:sz w:val="22"/>
                <w:szCs w:val="22"/>
              </w:rPr>
            </w:pPr>
            <w:r w:rsidRPr="00CA6B3B">
              <w:rPr>
                <w:rFonts w:ascii="Arial" w:hAnsi="Arial" w:cs="Arial"/>
                <w:b w:val="0"/>
                <w:sz w:val="22"/>
                <w:szCs w:val="22"/>
              </w:rPr>
              <w:t>NSAID</w:t>
            </w:r>
          </w:p>
        </w:tc>
        <w:tc>
          <w:tcPr>
            <w:tcW w:w="2474" w:type="dxa"/>
            <w:vAlign w:val="center"/>
          </w:tcPr>
          <w:p w14:paraId="6C6E3BF0"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79 (60,3%)</w:t>
            </w:r>
          </w:p>
        </w:tc>
        <w:tc>
          <w:tcPr>
            <w:tcW w:w="2674" w:type="dxa"/>
            <w:vAlign w:val="center"/>
          </w:tcPr>
          <w:p w14:paraId="5BFE46C5"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56 (54,4%)</w:t>
            </w:r>
          </w:p>
        </w:tc>
        <w:tc>
          <w:tcPr>
            <w:tcW w:w="1871" w:type="dxa"/>
            <w:vAlign w:val="center"/>
          </w:tcPr>
          <w:p w14:paraId="44EDD2A7"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0,361</w:t>
            </w:r>
            <w:r w:rsidRPr="00CD3E6E">
              <w:rPr>
                <w:rFonts w:ascii="Arial" w:hAnsi="Arial" w:cs="Arial"/>
                <w:sz w:val="22"/>
                <w:szCs w:val="22"/>
                <w:vertAlign w:val="superscript"/>
              </w:rPr>
              <w:t>a</w:t>
            </w:r>
          </w:p>
        </w:tc>
      </w:tr>
      <w:tr w:rsidR="00191237" w:rsidRPr="00CD3E6E" w14:paraId="4E37DC4F"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5098FE0"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G</w:t>
            </w:r>
            <w:r w:rsidRPr="00CA6B3B">
              <w:rPr>
                <w:rFonts w:ascii="Arial" w:hAnsi="Arial" w:cs="Arial"/>
                <w:b w:val="0"/>
                <w:sz w:val="22"/>
                <w:szCs w:val="22"/>
              </w:rPr>
              <w:t>lukokortikoidi</w:t>
            </w:r>
          </w:p>
        </w:tc>
        <w:tc>
          <w:tcPr>
            <w:tcW w:w="2474" w:type="dxa"/>
            <w:vAlign w:val="center"/>
          </w:tcPr>
          <w:p w14:paraId="0AE16CE7"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69 (52,7%)</w:t>
            </w:r>
          </w:p>
        </w:tc>
        <w:tc>
          <w:tcPr>
            <w:tcW w:w="2674" w:type="dxa"/>
            <w:vAlign w:val="center"/>
          </w:tcPr>
          <w:p w14:paraId="051B9C62"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70 (68%)</w:t>
            </w:r>
          </w:p>
        </w:tc>
        <w:tc>
          <w:tcPr>
            <w:tcW w:w="1871" w:type="dxa"/>
            <w:vAlign w:val="center"/>
          </w:tcPr>
          <w:p w14:paraId="0F4B1380"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D3E6E">
              <w:rPr>
                <w:rFonts w:ascii="Arial" w:hAnsi="Arial" w:cs="Arial"/>
                <w:b/>
                <w:bCs/>
                <w:sz w:val="22"/>
                <w:szCs w:val="22"/>
              </w:rPr>
              <w:t>0,018</w:t>
            </w:r>
            <w:r w:rsidRPr="00CD3E6E">
              <w:rPr>
                <w:rFonts w:ascii="Arial" w:hAnsi="Arial" w:cs="Arial"/>
                <w:b/>
                <w:bCs/>
                <w:sz w:val="22"/>
                <w:szCs w:val="22"/>
                <w:vertAlign w:val="superscript"/>
              </w:rPr>
              <w:t>a</w:t>
            </w:r>
          </w:p>
        </w:tc>
      </w:tr>
      <w:tr w:rsidR="00191237" w:rsidRPr="00CD3E6E" w14:paraId="49940A50"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00B8F20" w14:textId="77777777" w:rsidR="00191237" w:rsidRPr="00CA6B3B" w:rsidRDefault="00191237" w:rsidP="00FC12C0">
            <w:pPr>
              <w:pStyle w:val="TableContents"/>
              <w:jc w:val="center"/>
              <w:rPr>
                <w:rFonts w:ascii="Arial" w:hAnsi="Arial" w:cs="Arial"/>
                <w:b w:val="0"/>
                <w:sz w:val="22"/>
                <w:szCs w:val="22"/>
              </w:rPr>
            </w:pPr>
            <w:r w:rsidRPr="00CA6B3B">
              <w:rPr>
                <w:rFonts w:ascii="Arial" w:hAnsi="Arial" w:cs="Arial"/>
                <w:b w:val="0"/>
                <w:sz w:val="22"/>
                <w:szCs w:val="22"/>
              </w:rPr>
              <w:t>ACE inhibitori</w:t>
            </w:r>
          </w:p>
        </w:tc>
        <w:tc>
          <w:tcPr>
            <w:tcW w:w="2474" w:type="dxa"/>
            <w:vAlign w:val="center"/>
          </w:tcPr>
          <w:p w14:paraId="667EA2F4"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7 (5,3%)</w:t>
            </w:r>
          </w:p>
        </w:tc>
        <w:tc>
          <w:tcPr>
            <w:tcW w:w="2674" w:type="dxa"/>
            <w:vAlign w:val="center"/>
          </w:tcPr>
          <w:p w14:paraId="233E4CCC"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15 (14,5%)</w:t>
            </w:r>
          </w:p>
        </w:tc>
        <w:tc>
          <w:tcPr>
            <w:tcW w:w="1871" w:type="dxa"/>
            <w:vAlign w:val="center"/>
          </w:tcPr>
          <w:p w14:paraId="28150601"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D3E6E">
              <w:rPr>
                <w:rFonts w:ascii="Arial" w:hAnsi="Arial" w:cs="Arial"/>
                <w:b/>
                <w:bCs/>
                <w:sz w:val="22"/>
                <w:szCs w:val="22"/>
              </w:rPr>
              <w:t>0,016</w:t>
            </w:r>
            <w:r w:rsidRPr="00CD3E6E">
              <w:rPr>
                <w:rFonts w:ascii="Arial" w:hAnsi="Arial" w:cs="Arial"/>
                <w:b/>
                <w:bCs/>
                <w:sz w:val="22"/>
                <w:szCs w:val="22"/>
                <w:vertAlign w:val="superscript"/>
              </w:rPr>
              <w:t>a</w:t>
            </w:r>
          </w:p>
        </w:tc>
      </w:tr>
      <w:tr w:rsidR="00191237" w:rsidRPr="00CD3E6E" w14:paraId="7179BAF5"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4F5C7082" w14:textId="77777777" w:rsidR="00191237" w:rsidRPr="00CA6B3B" w:rsidRDefault="00191237" w:rsidP="00FC12C0">
            <w:pPr>
              <w:pStyle w:val="TableContents"/>
              <w:jc w:val="center"/>
              <w:rPr>
                <w:rFonts w:ascii="Arial" w:hAnsi="Arial" w:cs="Arial"/>
                <w:b w:val="0"/>
                <w:sz w:val="22"/>
                <w:szCs w:val="22"/>
              </w:rPr>
            </w:pPr>
            <w:r>
              <w:rPr>
                <w:rFonts w:ascii="Arial" w:hAnsi="Arial" w:cs="Arial"/>
                <w:b w:val="0"/>
                <w:sz w:val="22"/>
                <w:szCs w:val="22"/>
              </w:rPr>
              <w:t>I</w:t>
            </w:r>
            <w:r w:rsidRPr="00CA6B3B">
              <w:rPr>
                <w:rFonts w:ascii="Arial" w:hAnsi="Arial" w:cs="Arial"/>
                <w:b w:val="0"/>
                <w:sz w:val="22"/>
                <w:szCs w:val="22"/>
              </w:rPr>
              <w:t>munosupresivi</w:t>
            </w:r>
          </w:p>
        </w:tc>
        <w:tc>
          <w:tcPr>
            <w:tcW w:w="2474" w:type="dxa"/>
            <w:vAlign w:val="center"/>
          </w:tcPr>
          <w:p w14:paraId="28551613"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4 (3%)</w:t>
            </w:r>
          </w:p>
        </w:tc>
        <w:tc>
          <w:tcPr>
            <w:tcW w:w="2674" w:type="dxa"/>
            <w:vAlign w:val="center"/>
          </w:tcPr>
          <w:p w14:paraId="633CB17D"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D3E6E">
              <w:rPr>
                <w:rFonts w:ascii="Arial" w:hAnsi="Arial" w:cs="Arial"/>
                <w:sz w:val="22"/>
                <w:szCs w:val="22"/>
              </w:rPr>
              <w:t>8 (7,8%)</w:t>
            </w:r>
          </w:p>
        </w:tc>
        <w:tc>
          <w:tcPr>
            <w:tcW w:w="1871" w:type="dxa"/>
            <w:vAlign w:val="center"/>
          </w:tcPr>
          <w:p w14:paraId="2A71F967" w14:textId="77777777" w:rsidR="00191237" w:rsidRPr="00CD3E6E" w:rsidRDefault="00191237"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3E6E">
              <w:rPr>
                <w:rFonts w:ascii="Arial" w:hAnsi="Arial" w:cs="Arial"/>
                <w:sz w:val="22"/>
                <w:szCs w:val="22"/>
              </w:rPr>
              <w:t>0,137</w:t>
            </w:r>
            <w:r w:rsidRPr="00CD3E6E">
              <w:rPr>
                <w:rFonts w:ascii="Arial" w:hAnsi="Arial" w:cs="Arial"/>
                <w:sz w:val="22"/>
                <w:szCs w:val="22"/>
                <w:vertAlign w:val="superscript"/>
              </w:rPr>
              <w:t>b</w:t>
            </w:r>
          </w:p>
        </w:tc>
      </w:tr>
      <w:tr w:rsidR="00191237" w:rsidRPr="00CD3E6E" w14:paraId="7AAAB0A0"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6064156" w14:textId="77777777" w:rsidR="00191237" w:rsidRPr="00CA6B3B" w:rsidRDefault="00191237" w:rsidP="00FC12C0">
            <w:pPr>
              <w:pStyle w:val="TableContents"/>
              <w:jc w:val="center"/>
              <w:rPr>
                <w:rFonts w:ascii="Arial" w:hAnsi="Arial" w:cs="Arial"/>
                <w:b w:val="0"/>
                <w:bCs w:val="0"/>
                <w:sz w:val="22"/>
                <w:szCs w:val="22"/>
              </w:rPr>
            </w:pPr>
            <w:r w:rsidRPr="00CA6B3B">
              <w:rPr>
                <w:rFonts w:ascii="Arial" w:hAnsi="Arial" w:cs="Arial"/>
                <w:b w:val="0"/>
                <w:bCs w:val="0"/>
                <w:sz w:val="22"/>
                <w:szCs w:val="22"/>
              </w:rPr>
              <w:t>RELAPS</w:t>
            </w:r>
          </w:p>
        </w:tc>
        <w:tc>
          <w:tcPr>
            <w:tcW w:w="2474" w:type="dxa"/>
            <w:vAlign w:val="center"/>
          </w:tcPr>
          <w:p w14:paraId="190575A8"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25 (19,1%)</w:t>
            </w:r>
          </w:p>
        </w:tc>
        <w:tc>
          <w:tcPr>
            <w:tcW w:w="2674" w:type="dxa"/>
            <w:vAlign w:val="center"/>
          </w:tcPr>
          <w:p w14:paraId="017F79B7"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D3E6E">
              <w:rPr>
                <w:rFonts w:ascii="Arial" w:hAnsi="Arial" w:cs="Arial"/>
                <w:sz w:val="22"/>
                <w:szCs w:val="22"/>
              </w:rPr>
              <w:t>25 (24,3%)</w:t>
            </w:r>
          </w:p>
        </w:tc>
        <w:tc>
          <w:tcPr>
            <w:tcW w:w="1871" w:type="dxa"/>
            <w:vAlign w:val="center"/>
          </w:tcPr>
          <w:p w14:paraId="126D0021" w14:textId="77777777" w:rsidR="00191237" w:rsidRPr="00CD3E6E" w:rsidRDefault="00191237"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3E6E">
              <w:rPr>
                <w:rFonts w:ascii="Arial" w:hAnsi="Arial" w:cs="Arial"/>
                <w:sz w:val="22"/>
                <w:szCs w:val="22"/>
              </w:rPr>
              <w:t>0,336</w:t>
            </w:r>
            <w:r w:rsidRPr="00CD3E6E">
              <w:rPr>
                <w:rFonts w:ascii="Arial" w:hAnsi="Arial" w:cs="Arial"/>
                <w:sz w:val="22"/>
                <w:szCs w:val="22"/>
                <w:vertAlign w:val="superscript"/>
              </w:rPr>
              <w:t>a</w:t>
            </w:r>
          </w:p>
        </w:tc>
      </w:tr>
    </w:tbl>
    <w:p w14:paraId="0146F023" w14:textId="77777777" w:rsidR="00191237" w:rsidRPr="00191237" w:rsidRDefault="00191237" w:rsidP="00191237">
      <w:pPr>
        <w:spacing w:after="200" w:line="276" w:lineRule="auto"/>
        <w:rPr>
          <w:rFonts w:ascii="Arial" w:hAnsi="Arial" w:cs="Arial"/>
          <w:sz w:val="20"/>
          <w:szCs w:val="20"/>
          <w:lang w:val="en-US"/>
        </w:rPr>
      </w:pPr>
      <w:r>
        <w:rPr>
          <w:rFonts w:ascii="Arial" w:hAnsi="Arial" w:cs="Arial"/>
          <w:sz w:val="20"/>
          <w:szCs w:val="20"/>
          <w:lang w:val="en-US"/>
        </w:rPr>
        <w:t xml:space="preserve">Ž: </w:t>
      </w:r>
      <w:proofErr w:type="spellStart"/>
      <w:r w:rsidRPr="00CA6B3B">
        <w:rPr>
          <w:rFonts w:ascii="Arial" w:hAnsi="Arial" w:cs="Arial"/>
          <w:sz w:val="20"/>
          <w:szCs w:val="20"/>
          <w:lang w:val="en-US"/>
        </w:rPr>
        <w:t>ženski</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spol</w:t>
      </w:r>
      <w:proofErr w:type="spellEnd"/>
      <w:r w:rsidRPr="00CA6B3B">
        <w:rPr>
          <w:rFonts w:ascii="Arial" w:hAnsi="Arial" w:cs="Arial"/>
          <w:sz w:val="20"/>
          <w:szCs w:val="20"/>
          <w:lang w:val="en-US"/>
        </w:rPr>
        <w:t xml:space="preserve">; M: </w:t>
      </w:r>
      <w:proofErr w:type="spellStart"/>
      <w:r w:rsidRPr="00CA6B3B">
        <w:rPr>
          <w:rFonts w:ascii="Arial" w:hAnsi="Arial" w:cs="Arial"/>
          <w:sz w:val="20"/>
          <w:szCs w:val="20"/>
          <w:lang w:val="en-US"/>
        </w:rPr>
        <w:t>muški</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spol</w:t>
      </w:r>
      <w:proofErr w:type="spellEnd"/>
      <w:r w:rsidRPr="00CA6B3B">
        <w:rPr>
          <w:rFonts w:ascii="Arial" w:hAnsi="Arial" w:cs="Arial"/>
          <w:sz w:val="20"/>
          <w:szCs w:val="20"/>
          <w:lang w:val="en-US"/>
        </w:rPr>
        <w:t>;</w:t>
      </w:r>
      <w:r>
        <w:rPr>
          <w:rFonts w:ascii="Arial" w:hAnsi="Arial" w:cs="Arial"/>
          <w:sz w:val="20"/>
          <w:szCs w:val="20"/>
          <w:lang w:val="en-US"/>
        </w:rPr>
        <w:t xml:space="preserve"> GI: </w:t>
      </w:r>
      <w:proofErr w:type="spellStart"/>
      <w:r>
        <w:rPr>
          <w:rFonts w:ascii="Arial" w:hAnsi="Arial" w:cs="Arial"/>
          <w:sz w:val="20"/>
          <w:szCs w:val="20"/>
          <w:lang w:val="en-US"/>
        </w:rPr>
        <w:t>gastrointestinalni</w:t>
      </w:r>
      <w:proofErr w:type="spellEnd"/>
      <w:r>
        <w:rPr>
          <w:rFonts w:ascii="Arial" w:hAnsi="Arial" w:cs="Arial"/>
          <w:sz w:val="20"/>
          <w:szCs w:val="20"/>
          <w:lang w:val="en-US"/>
        </w:rPr>
        <w:t xml:space="preserve">; IR: </w:t>
      </w:r>
      <w:proofErr w:type="spellStart"/>
      <w:r>
        <w:rPr>
          <w:rFonts w:ascii="Arial" w:hAnsi="Arial" w:cs="Arial"/>
          <w:sz w:val="20"/>
          <w:szCs w:val="20"/>
          <w:lang w:val="en-US"/>
        </w:rPr>
        <w:t>interkvartilni</w:t>
      </w:r>
      <w:proofErr w:type="spellEnd"/>
      <w:r>
        <w:rPr>
          <w:rFonts w:ascii="Arial" w:hAnsi="Arial" w:cs="Arial"/>
          <w:sz w:val="20"/>
          <w:szCs w:val="20"/>
          <w:lang w:val="en-US"/>
        </w:rPr>
        <w:t xml:space="preserve"> </w:t>
      </w:r>
      <w:proofErr w:type="spellStart"/>
      <w:r>
        <w:rPr>
          <w:rFonts w:ascii="Arial" w:hAnsi="Arial" w:cs="Arial"/>
          <w:sz w:val="20"/>
          <w:szCs w:val="20"/>
          <w:lang w:val="en-US"/>
        </w:rPr>
        <w:t>raspon</w:t>
      </w:r>
      <w:proofErr w:type="spellEnd"/>
      <w:r>
        <w:rPr>
          <w:rFonts w:ascii="Arial" w:hAnsi="Arial" w:cs="Arial"/>
          <w:sz w:val="20"/>
          <w:szCs w:val="20"/>
          <w:lang w:val="en-US"/>
        </w:rPr>
        <w:t xml:space="preserve">; </w:t>
      </w:r>
      <w:r>
        <w:rPr>
          <w:rFonts w:ascii="Arial" w:hAnsi="Arial" w:cs="Arial"/>
          <w:sz w:val="20"/>
          <w:szCs w:val="20"/>
          <w:lang w:val="en-US"/>
        </w:rPr>
        <w:br/>
      </w:r>
      <w:proofErr w:type="spellStart"/>
      <w:r w:rsidRPr="00CA6B3B">
        <w:rPr>
          <w:rFonts w:ascii="Arial" w:hAnsi="Arial" w:cs="Arial"/>
          <w:sz w:val="20"/>
          <w:szCs w:val="20"/>
          <w:lang w:val="en-US"/>
        </w:rPr>
        <w:t>Podaci</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su</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prikazani</w:t>
      </w:r>
      <w:proofErr w:type="spellEnd"/>
      <w:r w:rsidRPr="00CA6B3B">
        <w:rPr>
          <w:rFonts w:ascii="Arial" w:hAnsi="Arial" w:cs="Arial"/>
          <w:sz w:val="20"/>
          <w:szCs w:val="20"/>
          <w:lang w:val="en-US"/>
        </w:rPr>
        <w:t xml:space="preserve"> u </w:t>
      </w:r>
      <w:proofErr w:type="spellStart"/>
      <w:r w:rsidRPr="00CA6B3B">
        <w:rPr>
          <w:rFonts w:ascii="Arial" w:hAnsi="Arial" w:cs="Arial"/>
          <w:sz w:val="20"/>
          <w:szCs w:val="20"/>
          <w:lang w:val="en-US"/>
        </w:rPr>
        <w:t>postocima</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statistička</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značajnost</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postavljena</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na</w:t>
      </w:r>
      <w:proofErr w:type="spellEnd"/>
      <w:r w:rsidRPr="00CA6B3B">
        <w:rPr>
          <w:rFonts w:ascii="Arial" w:hAnsi="Arial" w:cs="Arial"/>
          <w:sz w:val="20"/>
          <w:szCs w:val="20"/>
          <w:lang w:val="en-US"/>
        </w:rPr>
        <w:t xml:space="preserve"> *p</w:t>
      </w:r>
      <w:r w:rsidR="00A95740">
        <w:rPr>
          <w:rFonts w:ascii="Arial" w:hAnsi="Arial" w:cs="Arial"/>
          <w:sz w:val="20"/>
          <w:szCs w:val="20"/>
          <w:lang w:val="en-US"/>
        </w:rPr>
        <w:t>&lt;0,</w:t>
      </w:r>
      <w:r w:rsidRPr="00CA6B3B">
        <w:rPr>
          <w:rFonts w:ascii="Arial" w:hAnsi="Arial" w:cs="Arial"/>
          <w:sz w:val="20"/>
          <w:szCs w:val="20"/>
          <w:lang w:val="en-US"/>
        </w:rPr>
        <w:t xml:space="preserve">05 </w:t>
      </w:r>
      <w:r>
        <w:rPr>
          <w:rFonts w:ascii="Arial" w:hAnsi="Arial" w:cs="Arial"/>
          <w:sz w:val="20"/>
          <w:szCs w:val="20"/>
          <w:lang w:val="en-US"/>
        </w:rPr>
        <w:br/>
      </w:r>
      <w:r w:rsidRPr="00CA6B3B">
        <w:rPr>
          <w:rFonts w:ascii="Arial" w:hAnsi="Arial" w:cs="Arial"/>
          <w:sz w:val="20"/>
          <w:szCs w:val="20"/>
          <w:vertAlign w:val="superscript"/>
          <w:lang w:val="en-US"/>
        </w:rPr>
        <w:t>a</w:t>
      </w:r>
      <w:r w:rsidRPr="00CA6B3B">
        <w:rPr>
          <w:rFonts w:ascii="Arial" w:hAnsi="Arial" w:cs="Arial"/>
          <w:sz w:val="20"/>
          <w:szCs w:val="20"/>
          <w:lang w:val="en-US"/>
        </w:rPr>
        <w:t>X</w:t>
      </w:r>
      <w:r w:rsidRPr="00CA6B3B">
        <w:rPr>
          <w:rFonts w:ascii="Arial" w:hAnsi="Arial" w:cs="Arial"/>
          <w:sz w:val="20"/>
          <w:szCs w:val="20"/>
          <w:vertAlign w:val="superscript"/>
          <w:lang w:val="en-US"/>
        </w:rPr>
        <w:t>2</w:t>
      </w:r>
      <w:r w:rsidRPr="00CA6B3B">
        <w:rPr>
          <w:rFonts w:ascii="Arial" w:hAnsi="Arial" w:cs="Arial"/>
          <w:sz w:val="20"/>
          <w:szCs w:val="20"/>
          <w:lang w:val="en-US"/>
        </w:rPr>
        <w:t xml:space="preserve"> test, </w:t>
      </w:r>
      <w:proofErr w:type="spellStart"/>
      <w:r w:rsidRPr="00CA6B3B">
        <w:rPr>
          <w:rFonts w:ascii="Arial" w:hAnsi="Arial" w:cs="Arial"/>
          <w:sz w:val="20"/>
          <w:szCs w:val="20"/>
          <w:vertAlign w:val="superscript"/>
          <w:lang w:val="en-US"/>
        </w:rPr>
        <w:t>b</w:t>
      </w:r>
      <w:r w:rsidRPr="00CA6B3B">
        <w:rPr>
          <w:rFonts w:ascii="Arial" w:hAnsi="Arial" w:cs="Arial"/>
          <w:sz w:val="20"/>
          <w:szCs w:val="20"/>
          <w:lang w:val="en-US"/>
        </w:rPr>
        <w:t>Fisherov</w:t>
      </w:r>
      <w:proofErr w:type="spellEnd"/>
      <w:r w:rsidRPr="00CA6B3B">
        <w:rPr>
          <w:rFonts w:ascii="Arial" w:hAnsi="Arial" w:cs="Arial"/>
          <w:sz w:val="20"/>
          <w:szCs w:val="20"/>
          <w:lang w:val="en-US"/>
        </w:rPr>
        <w:t xml:space="preserve"> </w:t>
      </w:r>
      <w:proofErr w:type="spellStart"/>
      <w:r w:rsidRPr="00CA6B3B">
        <w:rPr>
          <w:rFonts w:ascii="Arial" w:hAnsi="Arial" w:cs="Arial"/>
          <w:sz w:val="20"/>
          <w:szCs w:val="20"/>
          <w:lang w:val="en-US"/>
        </w:rPr>
        <w:t>egzaktni</w:t>
      </w:r>
      <w:proofErr w:type="spellEnd"/>
      <w:r w:rsidRPr="00CA6B3B">
        <w:rPr>
          <w:rFonts w:ascii="Arial" w:hAnsi="Arial" w:cs="Arial"/>
          <w:sz w:val="20"/>
          <w:szCs w:val="20"/>
          <w:lang w:val="en-US"/>
        </w:rPr>
        <w:t xml:space="preserve"> test, </w:t>
      </w:r>
      <w:proofErr w:type="spellStart"/>
      <w:r w:rsidRPr="00CA6B3B">
        <w:rPr>
          <w:rFonts w:ascii="Arial" w:hAnsi="Arial" w:cs="Arial"/>
          <w:sz w:val="20"/>
          <w:szCs w:val="20"/>
          <w:vertAlign w:val="superscript"/>
          <w:lang w:val="en-US"/>
        </w:rPr>
        <w:t>c</w:t>
      </w:r>
      <w:r w:rsidRPr="00CA6B3B">
        <w:rPr>
          <w:rFonts w:ascii="Arial" w:hAnsi="Arial" w:cs="Arial"/>
          <w:sz w:val="20"/>
          <w:szCs w:val="20"/>
          <w:lang w:val="en-US"/>
        </w:rPr>
        <w:t>Mann-Whitneyjev</w:t>
      </w:r>
      <w:proofErr w:type="spellEnd"/>
      <w:r w:rsidRPr="00CA6B3B">
        <w:rPr>
          <w:rFonts w:ascii="Arial" w:hAnsi="Arial" w:cs="Arial"/>
          <w:sz w:val="20"/>
          <w:szCs w:val="20"/>
          <w:lang w:val="en-US"/>
        </w:rPr>
        <w:t xml:space="preserve"> U test    </w:t>
      </w:r>
    </w:p>
    <w:p w14:paraId="19773048" w14:textId="77777777" w:rsidR="00CB4B6C" w:rsidRDefault="00E87ED5" w:rsidP="00FF1184">
      <w:pPr>
        <w:spacing w:after="200" w:line="360" w:lineRule="auto"/>
        <w:jc w:val="both"/>
        <w:rPr>
          <w:rFonts w:ascii="Arial" w:hAnsi="Arial" w:cs="Arial"/>
          <w:kern w:val="0"/>
          <w:sz w:val="22"/>
          <w:szCs w:val="22"/>
          <w:shd w:val="clear" w:color="auto" w:fill="FFFFFF"/>
        </w:rPr>
      </w:pPr>
      <w:r w:rsidRPr="00FF1184">
        <w:rPr>
          <w:rFonts w:ascii="Arial" w:hAnsi="Arial" w:cs="Arial"/>
          <w:sz w:val="22"/>
          <w:szCs w:val="22"/>
        </w:rPr>
        <w:t xml:space="preserve">Najčešće kožne eflorescencije u navedenoj kohorti bolesnika bile su papule u kombinaciji s purpuričnim promjenama, koje su bile prisutne u 122 bolesnika (52,2%). Sljedeće su po učestalosti bile izolirane petehije, koje je imalo 82 bolesnika (35%) dok je najrjeđe bila zastupljena kombinacija purpuričnih i makuloznih promjena (u 15 bolesnika odnosno njih 6,4%). Purpurične promjene uz hematome bile su prisutne u 4 bolesnika (1,7%). </w:t>
      </w:r>
      <w:r w:rsidRPr="00FF1184">
        <w:rPr>
          <w:rFonts w:ascii="Arial" w:hAnsi="Arial" w:cs="Arial"/>
          <w:kern w:val="0"/>
          <w:sz w:val="22"/>
          <w:szCs w:val="22"/>
          <w:shd w:val="clear" w:color="auto" w:fill="FFFFFF"/>
        </w:rPr>
        <w:t>Teške kožne promjene, ulceracije i nekroze, imalo je 11 bolesnika (4,7%) (</w:t>
      </w:r>
      <w:r w:rsidR="00CB4B6C">
        <w:rPr>
          <w:rFonts w:ascii="Arial" w:hAnsi="Arial" w:cs="Arial"/>
          <w:kern w:val="0"/>
          <w:sz w:val="22"/>
          <w:szCs w:val="22"/>
          <w:shd w:val="clear" w:color="auto" w:fill="FFFFFF"/>
        </w:rPr>
        <w:t>slika 1</w:t>
      </w:r>
      <w:r w:rsidR="003F7C01">
        <w:rPr>
          <w:rFonts w:ascii="Arial" w:hAnsi="Arial" w:cs="Arial"/>
          <w:kern w:val="0"/>
          <w:sz w:val="22"/>
          <w:szCs w:val="22"/>
          <w:shd w:val="clear" w:color="auto" w:fill="FFFFFF"/>
        </w:rPr>
        <w:t>.</w:t>
      </w:r>
      <w:r w:rsidRPr="00FF1184">
        <w:rPr>
          <w:rFonts w:ascii="Arial" w:hAnsi="Arial" w:cs="Arial"/>
          <w:kern w:val="0"/>
          <w:sz w:val="22"/>
          <w:szCs w:val="22"/>
          <w:shd w:val="clear" w:color="auto" w:fill="FFFFFF"/>
        </w:rPr>
        <w:t xml:space="preserve">). </w:t>
      </w:r>
    </w:p>
    <w:p w14:paraId="0C83EB2A" w14:textId="77777777" w:rsidR="003F7C01" w:rsidRPr="00CB4B6C" w:rsidRDefault="003F7C01" w:rsidP="003F7C01">
      <w:pPr>
        <w:spacing w:after="200" w:line="360" w:lineRule="auto"/>
        <w:jc w:val="center"/>
        <w:rPr>
          <w:rFonts w:ascii="Arial" w:hAnsi="Arial" w:cs="Arial"/>
          <w:kern w:val="0"/>
          <w:sz w:val="22"/>
          <w:szCs w:val="22"/>
          <w:u w:val="single"/>
          <w:shd w:val="clear" w:color="auto" w:fill="FFFFFF"/>
        </w:rPr>
      </w:pPr>
      <w:r>
        <w:rPr>
          <w:noProof/>
          <w:lang w:bidi="ar-SA"/>
        </w:rPr>
        <w:drawing>
          <wp:inline distT="0" distB="0" distL="0" distR="0" wp14:anchorId="590ABF77" wp14:editId="0C601A77">
            <wp:extent cx="4795283" cy="2583712"/>
            <wp:effectExtent l="0" t="0" r="24765"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E1614B" w14:textId="77777777" w:rsidR="003F7C01" w:rsidRDefault="003F7C01" w:rsidP="003F7C01">
      <w:pPr>
        <w:spacing w:after="200" w:line="360" w:lineRule="auto"/>
        <w:jc w:val="center"/>
        <w:rPr>
          <w:rFonts w:ascii="Arial" w:hAnsi="Arial" w:cs="Arial"/>
          <w:kern w:val="0"/>
          <w:sz w:val="22"/>
          <w:szCs w:val="22"/>
          <w:shd w:val="clear" w:color="auto" w:fill="FFFFFF"/>
        </w:rPr>
      </w:pPr>
      <w:r>
        <w:rPr>
          <w:rFonts w:ascii="Arial" w:hAnsi="Arial" w:cs="Arial"/>
          <w:kern w:val="0"/>
          <w:sz w:val="22"/>
          <w:szCs w:val="22"/>
          <w:shd w:val="clear" w:color="auto" w:fill="FFFFFF"/>
        </w:rPr>
        <w:t>Slika 1. Grafički prikaz učestalosti kožnih oblika u bolesnika s IgAV-om</w:t>
      </w:r>
    </w:p>
    <w:p w14:paraId="505E50D3" w14:textId="77777777" w:rsidR="00104A30" w:rsidRDefault="00E87ED5" w:rsidP="00FF1184">
      <w:pPr>
        <w:spacing w:after="200" w:line="360" w:lineRule="auto"/>
        <w:jc w:val="both"/>
        <w:rPr>
          <w:rFonts w:ascii="Arial" w:hAnsi="Arial" w:cs="Arial"/>
          <w:kern w:val="0"/>
          <w:sz w:val="22"/>
          <w:szCs w:val="22"/>
          <w:shd w:val="clear" w:color="auto" w:fill="FFFFFF"/>
        </w:rPr>
      </w:pPr>
      <w:r w:rsidRPr="00FF1184">
        <w:rPr>
          <w:rFonts w:ascii="Arial" w:hAnsi="Arial" w:cs="Arial"/>
          <w:kern w:val="0"/>
          <w:sz w:val="22"/>
          <w:szCs w:val="22"/>
          <w:shd w:val="clear" w:color="auto" w:fill="FFFFFF"/>
        </w:rPr>
        <w:t xml:space="preserve">U 47 bolesnika (20,1%) kožne promjene imale su barem jedan recidiv. Kožni osip lokaliziran po nogama i glutealno imao je 131 bolesnik (56%), u 50 bolesnika je osip osim donjih udova zahvatio i ruke (21,4%) dok je 53 bolesnika imalo zahvaćenu kožu nogu, ruku, trupa i lica (22,6%). </w:t>
      </w:r>
    </w:p>
    <w:p w14:paraId="4D4F9740" w14:textId="77777777" w:rsidR="005021C1" w:rsidRPr="009D3E6E" w:rsidRDefault="00E87ED5" w:rsidP="00FF1184">
      <w:pPr>
        <w:spacing w:after="200" w:line="360" w:lineRule="auto"/>
        <w:jc w:val="both"/>
        <w:rPr>
          <w:rFonts w:ascii="Arial" w:hAnsi="Arial" w:cs="Arial"/>
          <w:sz w:val="22"/>
          <w:szCs w:val="22"/>
          <w:shd w:val="clear" w:color="auto" w:fill="FFFFFF"/>
        </w:rPr>
      </w:pPr>
      <w:r w:rsidRPr="00FF1184">
        <w:rPr>
          <w:rFonts w:ascii="Arial" w:hAnsi="Arial" w:cs="Arial"/>
          <w:kern w:val="0"/>
          <w:sz w:val="22"/>
          <w:szCs w:val="22"/>
          <w:shd w:val="clear" w:color="auto" w:fill="FFFFFF"/>
        </w:rPr>
        <w:t xml:space="preserve">Biopsija kože učinjena je u samo jednog bolesnika </w:t>
      </w:r>
      <w:bookmarkStart w:id="0" w:name="_Hlk102464142"/>
      <w:r w:rsidRPr="00FF1184">
        <w:rPr>
          <w:rFonts w:ascii="Arial" w:hAnsi="Arial" w:cs="Arial"/>
          <w:kern w:val="0"/>
          <w:sz w:val="22"/>
          <w:szCs w:val="22"/>
          <w:shd w:val="clear" w:color="auto" w:fill="FFFFFF"/>
        </w:rPr>
        <w:t xml:space="preserve">koji je po koži ruku i nogu imao gust purpuričan osip s eflorescencijama promjera 1 cm i centralnim nekrozama te papule po koži lica. </w:t>
      </w:r>
      <w:bookmarkEnd w:id="0"/>
      <w:r w:rsidRPr="00FF1184">
        <w:rPr>
          <w:rFonts w:ascii="Arial" w:hAnsi="Arial" w:cs="Arial"/>
          <w:kern w:val="0"/>
          <w:sz w:val="22"/>
          <w:szCs w:val="22"/>
          <w:shd w:val="clear" w:color="auto" w:fill="FFFFFF"/>
        </w:rPr>
        <w:t xml:space="preserve">Bioptat kože ukazivao je na leukocitoklastični vaskulitis s neutrofilnom infiltracijom </w:t>
      </w:r>
      <w:r w:rsidRPr="00FF1184">
        <w:rPr>
          <w:rFonts w:ascii="Arial" w:hAnsi="Arial" w:cs="Arial"/>
          <w:color w:val="000000"/>
          <w:kern w:val="0"/>
          <w:sz w:val="22"/>
          <w:szCs w:val="22"/>
          <w:shd w:val="clear" w:color="auto" w:fill="FFFFFF"/>
        </w:rPr>
        <w:t>posebn</w:t>
      </w:r>
      <w:r w:rsidRPr="00FF1184">
        <w:rPr>
          <w:rFonts w:ascii="Arial" w:hAnsi="Arial" w:cs="Arial"/>
          <w:kern w:val="0"/>
          <w:sz w:val="22"/>
          <w:szCs w:val="22"/>
          <w:shd w:val="clear" w:color="auto" w:fill="FFFFFF"/>
        </w:rPr>
        <w:t xml:space="preserve">o u malim krvnim žilama dermisa i depozitima IgA i C3 te je time patohistološki nalaz s kliničkom slikom bolesnika </w:t>
      </w:r>
      <w:r w:rsidRPr="00FF1184">
        <w:rPr>
          <w:rFonts w:ascii="Arial" w:hAnsi="Arial" w:cs="Arial"/>
          <w:color w:val="000000"/>
          <w:kern w:val="0"/>
          <w:sz w:val="22"/>
          <w:szCs w:val="22"/>
          <w:shd w:val="clear" w:color="auto" w:fill="FFFFFF"/>
        </w:rPr>
        <w:t>uklopljen u</w:t>
      </w:r>
      <w:r w:rsidRPr="00FF1184">
        <w:rPr>
          <w:rFonts w:ascii="Arial" w:hAnsi="Arial" w:cs="Arial"/>
          <w:kern w:val="0"/>
          <w:sz w:val="22"/>
          <w:szCs w:val="22"/>
          <w:shd w:val="clear" w:color="auto" w:fill="FFFFFF"/>
        </w:rPr>
        <w:t xml:space="preserve"> dijagnozu IgAV-a.</w:t>
      </w:r>
    </w:p>
    <w:p w14:paraId="016A61F9" w14:textId="77777777" w:rsidR="00104A30" w:rsidRDefault="00E87ED5" w:rsidP="00FF1184">
      <w:pPr>
        <w:spacing w:after="200" w:line="360" w:lineRule="auto"/>
        <w:jc w:val="both"/>
        <w:rPr>
          <w:rFonts w:ascii="Arial" w:hAnsi="Arial" w:cs="Arial"/>
          <w:kern w:val="0"/>
          <w:sz w:val="22"/>
          <w:szCs w:val="22"/>
          <w:shd w:val="clear" w:color="auto" w:fill="FFFFFF"/>
        </w:rPr>
      </w:pPr>
      <w:r w:rsidRPr="00FF1184">
        <w:rPr>
          <w:rFonts w:ascii="Arial" w:hAnsi="Arial" w:cs="Arial"/>
          <w:kern w:val="0"/>
          <w:sz w:val="22"/>
          <w:szCs w:val="22"/>
          <w:shd w:val="clear" w:color="auto" w:fill="FFFFFF"/>
        </w:rPr>
        <w:t xml:space="preserve">Statistički značajno veći udio bolesnika s kožnim osipom proširenim iznad donjih udova imao je zahvaćen gastrointestinalni sustav (50,5% u odnosu na 36,6%, p=0,033), razvio je IgAVN (31,1% u odnosu na 19,8%, p=0,048), imao proteinuriju u nalazu urina (24,3% u odnosu na 12,2%, p=0,016) te bio podvrgnut biopsiji bubrega (15,5% u odnosu na 6,8%, p=0,033) u odnosu na bolesnike s kožnim osipom ograničenim samo na donje udove. </w:t>
      </w:r>
    </w:p>
    <w:p w14:paraId="693D3A43" w14:textId="77777777" w:rsidR="00CA041A" w:rsidRDefault="00E87ED5" w:rsidP="00FF1184">
      <w:pPr>
        <w:spacing w:after="200" w:line="360" w:lineRule="auto"/>
        <w:jc w:val="both"/>
        <w:rPr>
          <w:rFonts w:ascii="Arial" w:hAnsi="Arial" w:cs="Arial"/>
          <w:kern w:val="0"/>
          <w:sz w:val="22"/>
          <w:szCs w:val="22"/>
          <w:shd w:val="clear" w:color="auto" w:fill="FFFFFF"/>
        </w:rPr>
      </w:pPr>
      <w:r w:rsidRPr="00FF1184">
        <w:rPr>
          <w:rFonts w:ascii="Arial" w:hAnsi="Arial" w:cs="Arial"/>
          <w:kern w:val="0"/>
          <w:sz w:val="22"/>
          <w:szCs w:val="22"/>
          <w:shd w:val="clear" w:color="auto" w:fill="FFFFFF"/>
        </w:rPr>
        <w:t xml:space="preserve">Bolesnici s kožnim osipom proširenim iznad donjih udova češće su liječeni glukokortikoidima (68% u odnosu na 52,7%, p=0,018) i antihipertenzivima iz skupine inhibitora angiotenzin konvertaze (14,5% u odnosu na 5,3%, p=0,016) uz dulje trajanje hospitalizacije (p=0,006), a vrijeme do nastupa IgAVN-a također je bilo dulje (p=0,007). </w:t>
      </w:r>
    </w:p>
    <w:p w14:paraId="6CF10E01" w14:textId="77777777" w:rsidR="00CA041A" w:rsidRPr="00CA041A" w:rsidRDefault="00CA041A" w:rsidP="00CA041A">
      <w:pPr>
        <w:spacing w:after="200" w:line="360" w:lineRule="auto"/>
        <w:ind w:left="360"/>
        <w:jc w:val="both"/>
        <w:rPr>
          <w:rFonts w:ascii="Arial" w:hAnsi="Arial" w:cs="Arial"/>
          <w:b/>
          <w:sz w:val="22"/>
          <w:szCs w:val="22"/>
        </w:rPr>
      </w:pPr>
      <w:r>
        <w:rPr>
          <w:rFonts w:ascii="Arial" w:hAnsi="Arial" w:cs="Arial"/>
          <w:b/>
          <w:sz w:val="22"/>
          <w:szCs w:val="22"/>
        </w:rPr>
        <w:t>4.2</w:t>
      </w:r>
      <w:r w:rsidR="009F5A75">
        <w:rPr>
          <w:rFonts w:ascii="Arial" w:hAnsi="Arial" w:cs="Arial"/>
          <w:b/>
          <w:sz w:val="22"/>
          <w:szCs w:val="22"/>
        </w:rPr>
        <w:t>.</w:t>
      </w:r>
      <w:r w:rsidRPr="00CA041A">
        <w:rPr>
          <w:rFonts w:ascii="Arial" w:hAnsi="Arial" w:cs="Arial"/>
          <w:b/>
          <w:sz w:val="22"/>
          <w:szCs w:val="22"/>
        </w:rPr>
        <w:t xml:space="preserve"> Usporedba </w:t>
      </w:r>
      <w:r>
        <w:rPr>
          <w:rFonts w:ascii="Arial" w:hAnsi="Arial" w:cs="Arial"/>
          <w:b/>
          <w:sz w:val="22"/>
          <w:szCs w:val="22"/>
        </w:rPr>
        <w:t>laboratorijskih</w:t>
      </w:r>
      <w:r w:rsidRPr="00CA041A">
        <w:rPr>
          <w:rFonts w:ascii="Arial" w:hAnsi="Arial" w:cs="Arial"/>
          <w:b/>
          <w:sz w:val="22"/>
          <w:szCs w:val="22"/>
        </w:rPr>
        <w:t xml:space="preserve"> parametara bolesnika koji su imali kožne lezije samo po donjim ekstremitetima i bolesnika s kožnim lezijama proširenim iznad donjih ekstremiteta</w:t>
      </w:r>
    </w:p>
    <w:p w14:paraId="76B336B8" w14:textId="77777777" w:rsidR="00CA041A" w:rsidRDefault="00CA041A" w:rsidP="00FF1184">
      <w:pPr>
        <w:spacing w:after="200" w:line="360" w:lineRule="auto"/>
        <w:jc w:val="both"/>
        <w:rPr>
          <w:rFonts w:ascii="Arial" w:hAnsi="Arial" w:cs="Arial"/>
          <w:kern w:val="0"/>
          <w:sz w:val="22"/>
          <w:szCs w:val="22"/>
          <w:shd w:val="clear" w:color="auto" w:fill="FFFFFF"/>
        </w:rPr>
      </w:pPr>
      <w:r>
        <w:rPr>
          <w:rFonts w:ascii="Arial" w:hAnsi="Arial" w:cs="Arial"/>
          <w:kern w:val="0"/>
          <w:sz w:val="22"/>
          <w:szCs w:val="22"/>
          <w:shd w:val="clear" w:color="auto" w:fill="FFFFFF"/>
        </w:rPr>
        <w:t>Analizom laboratorijskih nalaza</w:t>
      </w:r>
      <w:r w:rsidR="00E87ED5" w:rsidRPr="00FF1184">
        <w:rPr>
          <w:rFonts w:ascii="Arial" w:hAnsi="Arial" w:cs="Arial"/>
          <w:kern w:val="0"/>
          <w:sz w:val="22"/>
          <w:szCs w:val="22"/>
          <w:shd w:val="clear" w:color="auto" w:fill="FFFFFF"/>
        </w:rPr>
        <w:t xml:space="preserve"> nisu uočene statistički značajne ra</w:t>
      </w:r>
      <w:r>
        <w:rPr>
          <w:rFonts w:ascii="Arial" w:hAnsi="Arial" w:cs="Arial"/>
          <w:kern w:val="0"/>
          <w:sz w:val="22"/>
          <w:szCs w:val="22"/>
          <w:shd w:val="clear" w:color="auto" w:fill="FFFFFF"/>
        </w:rPr>
        <w:t>zlike izmeđ</w:t>
      </w:r>
      <w:r w:rsidR="0016621E">
        <w:rPr>
          <w:rFonts w:ascii="Arial" w:hAnsi="Arial" w:cs="Arial"/>
          <w:kern w:val="0"/>
          <w:sz w:val="22"/>
          <w:szCs w:val="22"/>
          <w:shd w:val="clear" w:color="auto" w:fill="FFFFFF"/>
        </w:rPr>
        <w:t>u skupina u većini parametara (t</w:t>
      </w:r>
      <w:r>
        <w:rPr>
          <w:rFonts w:ascii="Arial" w:hAnsi="Arial" w:cs="Arial"/>
          <w:kern w:val="0"/>
          <w:sz w:val="22"/>
          <w:szCs w:val="22"/>
          <w:shd w:val="clear" w:color="auto" w:fill="FFFFFF"/>
        </w:rPr>
        <w:t>ablica 2</w:t>
      </w:r>
      <w:r w:rsidR="00E87ED5" w:rsidRPr="00FF1184">
        <w:rPr>
          <w:rFonts w:ascii="Arial" w:hAnsi="Arial" w:cs="Arial"/>
          <w:kern w:val="0"/>
          <w:sz w:val="22"/>
          <w:szCs w:val="22"/>
          <w:shd w:val="clear" w:color="auto" w:fill="FFFFFF"/>
        </w:rPr>
        <w:t xml:space="preserve">). </w:t>
      </w:r>
      <w:r>
        <w:rPr>
          <w:rFonts w:ascii="Arial" w:hAnsi="Arial" w:cs="Arial"/>
          <w:kern w:val="0"/>
          <w:sz w:val="22"/>
          <w:szCs w:val="22"/>
          <w:shd w:val="clear" w:color="auto" w:fill="FFFFFF"/>
        </w:rPr>
        <w:t xml:space="preserve">Trombociti su statistički značajno bili niži kod bolesnika s kožnim osipom proširenim iznad donjih udova (347 u odnosu na 369, p=0,044). Također, ista skupina pacijenata imala je veću proteinuriju (25 u odnosu na 16, p=0,016). </w:t>
      </w:r>
    </w:p>
    <w:p w14:paraId="54472282" w14:textId="77777777" w:rsidR="00396813" w:rsidRDefault="00396813" w:rsidP="00FF1184">
      <w:pPr>
        <w:spacing w:after="200" w:line="360" w:lineRule="auto"/>
        <w:jc w:val="both"/>
        <w:rPr>
          <w:rFonts w:ascii="Arial" w:hAnsi="Arial" w:cs="Arial"/>
          <w:kern w:val="0"/>
          <w:sz w:val="22"/>
          <w:szCs w:val="22"/>
          <w:shd w:val="clear" w:color="auto" w:fill="FFFFFF"/>
        </w:rPr>
      </w:pPr>
    </w:p>
    <w:p w14:paraId="4803C432" w14:textId="77777777" w:rsidR="00396813" w:rsidRDefault="00396813" w:rsidP="00FF1184">
      <w:pPr>
        <w:spacing w:after="200" w:line="360" w:lineRule="auto"/>
        <w:jc w:val="both"/>
        <w:rPr>
          <w:rFonts w:ascii="Arial" w:hAnsi="Arial" w:cs="Arial"/>
          <w:kern w:val="0"/>
          <w:sz w:val="22"/>
          <w:szCs w:val="22"/>
          <w:shd w:val="clear" w:color="auto" w:fill="FFFFFF"/>
        </w:rPr>
      </w:pPr>
    </w:p>
    <w:p w14:paraId="538A8C60" w14:textId="77777777" w:rsidR="00396813" w:rsidRDefault="00396813" w:rsidP="00FF1184">
      <w:pPr>
        <w:spacing w:after="200" w:line="360" w:lineRule="auto"/>
        <w:jc w:val="both"/>
        <w:rPr>
          <w:rFonts w:ascii="Arial" w:hAnsi="Arial" w:cs="Arial"/>
          <w:kern w:val="0"/>
          <w:sz w:val="22"/>
          <w:szCs w:val="22"/>
          <w:shd w:val="clear" w:color="auto" w:fill="FFFFFF"/>
        </w:rPr>
      </w:pPr>
    </w:p>
    <w:p w14:paraId="05383364" w14:textId="77777777" w:rsidR="00396813" w:rsidRDefault="00396813" w:rsidP="00FF1184">
      <w:pPr>
        <w:spacing w:after="200" w:line="360" w:lineRule="auto"/>
        <w:jc w:val="both"/>
        <w:rPr>
          <w:rFonts w:ascii="Arial" w:hAnsi="Arial" w:cs="Arial"/>
          <w:kern w:val="0"/>
          <w:sz w:val="22"/>
          <w:szCs w:val="22"/>
          <w:shd w:val="clear" w:color="auto" w:fill="FFFFFF"/>
        </w:rPr>
      </w:pPr>
    </w:p>
    <w:p w14:paraId="5818481C" w14:textId="77777777" w:rsidR="0016621E" w:rsidRPr="00191237" w:rsidRDefault="00396813" w:rsidP="0016621E">
      <w:pPr>
        <w:jc w:val="center"/>
        <w:rPr>
          <w:rFonts w:ascii="Arial" w:hAnsi="Arial" w:cs="Arial"/>
          <w:sz w:val="22"/>
          <w:szCs w:val="22"/>
        </w:rPr>
      </w:pPr>
      <w:r>
        <w:rPr>
          <w:rFonts w:ascii="Arial" w:hAnsi="Arial" w:cs="Arial"/>
          <w:sz w:val="22"/>
          <w:szCs w:val="22"/>
        </w:rPr>
        <w:t>Tablica 2</w:t>
      </w:r>
      <w:r w:rsidR="0016621E" w:rsidRPr="00191237">
        <w:rPr>
          <w:rFonts w:ascii="Arial" w:hAnsi="Arial" w:cs="Arial"/>
          <w:sz w:val="22"/>
          <w:szCs w:val="22"/>
        </w:rPr>
        <w:t xml:space="preserve"> Laboratorijski nalazi bolesnika s IgAV-om, N = 234 (%)</w:t>
      </w:r>
    </w:p>
    <w:p w14:paraId="369350A2" w14:textId="77777777" w:rsidR="0016621E" w:rsidRDefault="0016621E" w:rsidP="0016621E">
      <w:pPr>
        <w:rPr>
          <w:rFonts w:ascii="Calibri" w:hAnsi="Calibri"/>
          <w:sz w:val="22"/>
          <w:szCs w:val="22"/>
        </w:rPr>
      </w:pPr>
    </w:p>
    <w:tbl>
      <w:tblPr>
        <w:tblStyle w:val="MediumGrid3-Accent5"/>
        <w:tblW w:w="9360" w:type="dxa"/>
        <w:tblLayout w:type="fixed"/>
        <w:tblLook w:val="04A0" w:firstRow="1" w:lastRow="0" w:firstColumn="1" w:lastColumn="0" w:noHBand="0" w:noVBand="1"/>
      </w:tblPr>
      <w:tblGrid>
        <w:gridCol w:w="2341"/>
        <w:gridCol w:w="2473"/>
        <w:gridCol w:w="2675"/>
        <w:gridCol w:w="1871"/>
      </w:tblGrid>
      <w:tr w:rsidR="0016621E" w:rsidRPr="0016621E" w14:paraId="2377260B" w14:textId="77777777" w:rsidTr="00FC12C0">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4C89375C" w14:textId="77777777" w:rsidR="0016621E" w:rsidRPr="0016621E" w:rsidRDefault="0016621E" w:rsidP="00FC12C0">
            <w:pPr>
              <w:pStyle w:val="TableContents"/>
              <w:jc w:val="center"/>
              <w:rPr>
                <w:rFonts w:ascii="Arial" w:hAnsi="Arial" w:cs="Arial"/>
                <w:b w:val="0"/>
                <w:bCs w:val="0"/>
                <w:sz w:val="22"/>
                <w:szCs w:val="22"/>
              </w:rPr>
            </w:pPr>
            <w:r w:rsidRPr="0016621E">
              <w:rPr>
                <w:rFonts w:ascii="Arial" w:hAnsi="Arial" w:cs="Arial"/>
                <w:b w:val="0"/>
                <w:bCs w:val="0"/>
                <w:sz w:val="22"/>
                <w:szCs w:val="22"/>
              </w:rPr>
              <w:t>Karakteristike</w:t>
            </w:r>
          </w:p>
        </w:tc>
        <w:tc>
          <w:tcPr>
            <w:tcW w:w="2473" w:type="dxa"/>
            <w:vAlign w:val="center"/>
          </w:tcPr>
          <w:p w14:paraId="471D9C76" w14:textId="77777777" w:rsidR="0016621E" w:rsidRPr="0016621E" w:rsidRDefault="0016621E" w:rsidP="00FC12C0">
            <w:pPr>
              <w:pStyle w:val="TableContent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16621E">
              <w:rPr>
                <w:rFonts w:ascii="Arial" w:hAnsi="Arial" w:cs="Arial"/>
                <w:b w:val="0"/>
                <w:bCs w:val="0"/>
                <w:sz w:val="22"/>
                <w:szCs w:val="22"/>
              </w:rPr>
              <w:t>IgAV bolesnici s kožnim lezijama samo po donjim ekstremitetima (N=131)</w:t>
            </w:r>
          </w:p>
        </w:tc>
        <w:tc>
          <w:tcPr>
            <w:tcW w:w="2675" w:type="dxa"/>
            <w:vAlign w:val="center"/>
          </w:tcPr>
          <w:p w14:paraId="5608451D" w14:textId="77777777" w:rsidR="0016621E" w:rsidRPr="0016621E" w:rsidRDefault="0016621E" w:rsidP="00FC12C0">
            <w:pPr>
              <w:pStyle w:val="TableContent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16621E">
              <w:rPr>
                <w:rFonts w:ascii="Arial" w:hAnsi="Arial" w:cs="Arial"/>
                <w:b w:val="0"/>
                <w:bCs w:val="0"/>
                <w:sz w:val="22"/>
                <w:szCs w:val="22"/>
              </w:rPr>
              <w:t>IgAV bolesnici s kožnim lezijama proširenim iznad donjih ekstremiteta (N=103)</w:t>
            </w:r>
          </w:p>
        </w:tc>
        <w:tc>
          <w:tcPr>
            <w:tcW w:w="1871" w:type="dxa"/>
            <w:vAlign w:val="center"/>
          </w:tcPr>
          <w:p w14:paraId="1650591B" w14:textId="77777777" w:rsidR="0016621E" w:rsidRPr="0016621E" w:rsidRDefault="0016621E" w:rsidP="00FC12C0">
            <w:pPr>
              <w:pStyle w:val="TableContent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16621E">
              <w:rPr>
                <w:rFonts w:ascii="Arial" w:hAnsi="Arial" w:cs="Arial"/>
                <w:b w:val="0"/>
                <w:bCs w:val="0"/>
                <w:sz w:val="22"/>
                <w:szCs w:val="22"/>
              </w:rPr>
              <w:t>p vrijednost</w:t>
            </w:r>
          </w:p>
        </w:tc>
      </w:tr>
      <w:tr w:rsidR="0016621E" w:rsidRPr="0016621E" w14:paraId="7EC94969"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2CFB478B"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SE (mm/h): </w:t>
            </w:r>
            <w:r w:rsidRPr="0016621E">
              <w:rPr>
                <w:rFonts w:ascii="Arial" w:hAnsi="Arial" w:cs="Arial"/>
                <w:b w:val="0"/>
                <w:kern w:val="0"/>
                <w:sz w:val="22"/>
                <w:szCs w:val="22"/>
                <w:lang w:bidi="ar-SA"/>
              </w:rPr>
              <w:t>medijan (IR)</w:t>
            </w:r>
          </w:p>
        </w:tc>
        <w:tc>
          <w:tcPr>
            <w:tcW w:w="2473" w:type="dxa"/>
            <w:vAlign w:val="center"/>
          </w:tcPr>
          <w:p w14:paraId="3EF46747"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17 (11-32)</w:t>
            </w:r>
          </w:p>
        </w:tc>
        <w:tc>
          <w:tcPr>
            <w:tcW w:w="2675" w:type="dxa"/>
            <w:vAlign w:val="center"/>
          </w:tcPr>
          <w:p w14:paraId="412AE915"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17 (10,4-26,5)</w:t>
            </w:r>
          </w:p>
        </w:tc>
        <w:tc>
          <w:tcPr>
            <w:tcW w:w="1871" w:type="dxa"/>
            <w:vAlign w:val="center"/>
          </w:tcPr>
          <w:p w14:paraId="263C9FC0"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0,685</w:t>
            </w:r>
            <w:r w:rsidRPr="0016621E">
              <w:rPr>
                <w:rFonts w:ascii="Arial" w:hAnsi="Arial" w:cs="Arial"/>
                <w:sz w:val="22"/>
                <w:szCs w:val="22"/>
                <w:vertAlign w:val="superscript"/>
              </w:rPr>
              <w:t>c</w:t>
            </w:r>
          </w:p>
        </w:tc>
      </w:tr>
      <w:tr w:rsidR="0016621E" w:rsidRPr="0016621E" w14:paraId="7C35EEA3"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0B1237FC"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CRP (mg/L): </w:t>
            </w:r>
            <w:r w:rsidRPr="0016621E">
              <w:rPr>
                <w:rFonts w:ascii="Arial" w:hAnsi="Arial" w:cs="Arial"/>
                <w:b w:val="0"/>
                <w:kern w:val="0"/>
                <w:sz w:val="22"/>
                <w:szCs w:val="22"/>
                <w:lang w:bidi="ar-SA"/>
              </w:rPr>
              <w:t>medijan (IR)</w:t>
            </w:r>
          </w:p>
        </w:tc>
        <w:tc>
          <w:tcPr>
            <w:tcW w:w="2473" w:type="dxa"/>
            <w:vAlign w:val="center"/>
          </w:tcPr>
          <w:p w14:paraId="54FA7552"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6,2 (1,9-13,9)</w:t>
            </w:r>
          </w:p>
        </w:tc>
        <w:tc>
          <w:tcPr>
            <w:tcW w:w="2675" w:type="dxa"/>
            <w:vAlign w:val="center"/>
          </w:tcPr>
          <w:p w14:paraId="27739C2A"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7,5 (2,4-16,8)</w:t>
            </w:r>
          </w:p>
        </w:tc>
        <w:tc>
          <w:tcPr>
            <w:tcW w:w="1871" w:type="dxa"/>
            <w:vAlign w:val="center"/>
          </w:tcPr>
          <w:p w14:paraId="193AB4C7"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0,423</w:t>
            </w:r>
            <w:r w:rsidRPr="0016621E">
              <w:rPr>
                <w:rFonts w:ascii="Arial" w:hAnsi="Arial" w:cs="Arial"/>
                <w:sz w:val="22"/>
                <w:szCs w:val="22"/>
                <w:vertAlign w:val="superscript"/>
              </w:rPr>
              <w:t>c</w:t>
            </w:r>
          </w:p>
        </w:tc>
      </w:tr>
      <w:tr w:rsidR="0016621E" w:rsidRPr="0016621E" w14:paraId="4121193F"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C10D3D5"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Eritrociti (10</w:t>
            </w:r>
            <w:r w:rsidRPr="0016621E">
              <w:rPr>
                <w:rFonts w:ascii="Arial" w:hAnsi="Arial" w:cs="Arial"/>
                <w:b w:val="0"/>
                <w:bCs w:val="0"/>
                <w:kern w:val="0"/>
                <w:sz w:val="22"/>
                <w:szCs w:val="22"/>
                <w:vertAlign w:val="superscript"/>
                <w:lang w:bidi="ar-SA"/>
              </w:rPr>
              <w:t>12</w:t>
            </w:r>
            <w:r w:rsidRPr="0016621E">
              <w:rPr>
                <w:rFonts w:ascii="Arial" w:hAnsi="Arial" w:cs="Arial"/>
                <w:b w:val="0"/>
                <w:bCs w:val="0"/>
                <w:kern w:val="0"/>
                <w:sz w:val="22"/>
                <w:szCs w:val="22"/>
                <w:lang w:bidi="ar-SA"/>
              </w:rPr>
              <w:t xml:space="preserve">/L): </w:t>
            </w:r>
            <w:r w:rsidRPr="0016621E">
              <w:rPr>
                <w:rFonts w:ascii="Arial" w:hAnsi="Arial" w:cs="Arial"/>
                <w:b w:val="0"/>
                <w:kern w:val="0"/>
                <w:sz w:val="22"/>
                <w:szCs w:val="22"/>
                <w:lang w:bidi="ar-SA"/>
              </w:rPr>
              <w:t>medijan (IR)</w:t>
            </w:r>
          </w:p>
        </w:tc>
        <w:tc>
          <w:tcPr>
            <w:tcW w:w="2473" w:type="dxa"/>
            <w:vAlign w:val="center"/>
          </w:tcPr>
          <w:p w14:paraId="6C9B6C84"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4,65 (4,41-5)</w:t>
            </w:r>
          </w:p>
        </w:tc>
        <w:tc>
          <w:tcPr>
            <w:tcW w:w="2675" w:type="dxa"/>
            <w:vAlign w:val="center"/>
          </w:tcPr>
          <w:p w14:paraId="219EF180"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4,65 (4,43-5)</w:t>
            </w:r>
          </w:p>
        </w:tc>
        <w:tc>
          <w:tcPr>
            <w:tcW w:w="1871" w:type="dxa"/>
            <w:vAlign w:val="center"/>
          </w:tcPr>
          <w:p w14:paraId="69A3848E"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0,704</w:t>
            </w:r>
            <w:r w:rsidRPr="0016621E">
              <w:rPr>
                <w:rFonts w:ascii="Arial" w:hAnsi="Arial" w:cs="Arial"/>
                <w:sz w:val="22"/>
                <w:szCs w:val="22"/>
                <w:vertAlign w:val="superscript"/>
              </w:rPr>
              <w:t>c</w:t>
            </w:r>
          </w:p>
        </w:tc>
      </w:tr>
      <w:tr w:rsidR="0016621E" w:rsidRPr="0016621E" w14:paraId="1E310B04"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2DD261AD"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Hemoglobin (g/L): </w:t>
            </w:r>
            <w:r w:rsidRPr="0016621E">
              <w:rPr>
                <w:rFonts w:ascii="Arial" w:hAnsi="Arial" w:cs="Arial"/>
                <w:b w:val="0"/>
                <w:kern w:val="0"/>
                <w:sz w:val="22"/>
                <w:szCs w:val="22"/>
                <w:lang w:bidi="ar-SA"/>
              </w:rPr>
              <w:t>medijan (IR)</w:t>
            </w:r>
          </w:p>
        </w:tc>
        <w:tc>
          <w:tcPr>
            <w:tcW w:w="2473" w:type="dxa"/>
            <w:vAlign w:val="center"/>
          </w:tcPr>
          <w:p w14:paraId="7AF9F0E0"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126 (118-133)</w:t>
            </w:r>
          </w:p>
        </w:tc>
        <w:tc>
          <w:tcPr>
            <w:tcW w:w="2675" w:type="dxa"/>
            <w:vAlign w:val="center"/>
          </w:tcPr>
          <w:p w14:paraId="619AC912"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127,5 (118-133)</w:t>
            </w:r>
          </w:p>
        </w:tc>
        <w:tc>
          <w:tcPr>
            <w:tcW w:w="1871" w:type="dxa"/>
            <w:vAlign w:val="center"/>
          </w:tcPr>
          <w:p w14:paraId="0A208F95"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0,354</w:t>
            </w:r>
            <w:r w:rsidRPr="0016621E">
              <w:rPr>
                <w:rFonts w:ascii="Arial" w:hAnsi="Arial" w:cs="Arial"/>
                <w:sz w:val="22"/>
                <w:szCs w:val="22"/>
                <w:vertAlign w:val="superscript"/>
              </w:rPr>
              <w:t>c</w:t>
            </w:r>
          </w:p>
        </w:tc>
      </w:tr>
      <w:tr w:rsidR="0016621E" w:rsidRPr="0016621E" w14:paraId="68930702"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A8061A8" w14:textId="77777777" w:rsidR="0016621E" w:rsidRPr="0016621E" w:rsidRDefault="0016621E" w:rsidP="00FC12C0">
            <w:pPr>
              <w:pStyle w:val="TableContents"/>
              <w:jc w:val="center"/>
              <w:rPr>
                <w:rFonts w:ascii="Arial" w:hAnsi="Arial" w:cs="Arial"/>
                <w:b w:val="0"/>
              </w:rPr>
            </w:pPr>
            <w:r w:rsidRPr="0016621E">
              <w:rPr>
                <w:rFonts w:ascii="Arial" w:hAnsi="Arial" w:cs="Arial"/>
                <w:b w:val="0"/>
                <w:bCs w:val="0"/>
                <w:sz w:val="22"/>
                <w:szCs w:val="22"/>
              </w:rPr>
              <w:t xml:space="preserve">Hematokrit: </w:t>
            </w:r>
            <w:r w:rsidRPr="0016621E">
              <w:rPr>
                <w:rFonts w:ascii="Arial" w:hAnsi="Arial" w:cs="Arial"/>
                <w:b w:val="0"/>
                <w:kern w:val="0"/>
                <w:sz w:val="22"/>
                <w:szCs w:val="22"/>
                <w:lang w:bidi="ar-SA"/>
              </w:rPr>
              <w:t>medijan (IR)</w:t>
            </w:r>
          </w:p>
        </w:tc>
        <w:tc>
          <w:tcPr>
            <w:tcW w:w="2473" w:type="dxa"/>
            <w:vAlign w:val="center"/>
          </w:tcPr>
          <w:p w14:paraId="0A2F55A2"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0,36 (0,34-0,39)</w:t>
            </w:r>
          </w:p>
        </w:tc>
        <w:tc>
          <w:tcPr>
            <w:tcW w:w="2675" w:type="dxa"/>
            <w:vAlign w:val="center"/>
          </w:tcPr>
          <w:p w14:paraId="54F4D50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0,37 (0,35-0,39)</w:t>
            </w:r>
          </w:p>
        </w:tc>
        <w:tc>
          <w:tcPr>
            <w:tcW w:w="1871" w:type="dxa"/>
            <w:vAlign w:val="center"/>
          </w:tcPr>
          <w:p w14:paraId="4F9D820D"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0,629</w:t>
            </w:r>
            <w:r w:rsidRPr="0016621E">
              <w:rPr>
                <w:rFonts w:ascii="Arial" w:hAnsi="Arial" w:cs="Arial"/>
                <w:sz w:val="22"/>
                <w:szCs w:val="22"/>
                <w:vertAlign w:val="superscript"/>
              </w:rPr>
              <w:t>c</w:t>
            </w:r>
          </w:p>
        </w:tc>
      </w:tr>
      <w:tr w:rsidR="0016621E" w:rsidRPr="0016621E" w14:paraId="4CD6C3CC"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B80D335"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Leukociti (10</w:t>
            </w:r>
            <w:r w:rsidRPr="0016621E">
              <w:rPr>
                <w:rFonts w:ascii="Arial" w:hAnsi="Arial" w:cs="Arial"/>
                <w:b w:val="0"/>
                <w:bCs w:val="0"/>
                <w:kern w:val="0"/>
                <w:sz w:val="22"/>
                <w:szCs w:val="22"/>
                <w:vertAlign w:val="superscript"/>
                <w:lang w:bidi="ar-SA"/>
              </w:rPr>
              <w:t>9</w:t>
            </w:r>
            <w:r w:rsidRPr="0016621E">
              <w:rPr>
                <w:rFonts w:ascii="Arial" w:hAnsi="Arial" w:cs="Arial"/>
                <w:b w:val="0"/>
                <w:bCs w:val="0"/>
                <w:kern w:val="0"/>
                <w:sz w:val="22"/>
                <w:szCs w:val="22"/>
                <w:lang w:bidi="ar-SA"/>
              </w:rPr>
              <w:t xml:space="preserve">/L): </w:t>
            </w:r>
            <w:r w:rsidRPr="0016621E">
              <w:rPr>
                <w:rFonts w:ascii="Arial" w:hAnsi="Arial" w:cs="Arial"/>
                <w:b w:val="0"/>
                <w:kern w:val="0"/>
                <w:sz w:val="22"/>
                <w:szCs w:val="22"/>
                <w:lang w:bidi="ar-SA"/>
              </w:rPr>
              <w:t>medijan (IR)</w:t>
            </w:r>
          </w:p>
        </w:tc>
        <w:tc>
          <w:tcPr>
            <w:tcW w:w="2473" w:type="dxa"/>
            <w:vAlign w:val="center"/>
          </w:tcPr>
          <w:p w14:paraId="48337F4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10,1 (7,9-12,5)</w:t>
            </w:r>
          </w:p>
        </w:tc>
        <w:tc>
          <w:tcPr>
            <w:tcW w:w="2675" w:type="dxa"/>
            <w:vAlign w:val="center"/>
          </w:tcPr>
          <w:p w14:paraId="7AA6BDB3"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10,8 (8,2-13,2)</w:t>
            </w:r>
          </w:p>
        </w:tc>
        <w:tc>
          <w:tcPr>
            <w:tcW w:w="1871" w:type="dxa"/>
            <w:vAlign w:val="center"/>
          </w:tcPr>
          <w:p w14:paraId="69C8865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0,442</w:t>
            </w:r>
            <w:r w:rsidRPr="0016621E">
              <w:rPr>
                <w:rFonts w:ascii="Arial" w:hAnsi="Arial" w:cs="Arial"/>
                <w:sz w:val="22"/>
                <w:szCs w:val="22"/>
                <w:vertAlign w:val="superscript"/>
              </w:rPr>
              <w:t>c</w:t>
            </w:r>
          </w:p>
        </w:tc>
      </w:tr>
      <w:tr w:rsidR="0016621E" w:rsidRPr="0016621E" w14:paraId="6CBBF4AB"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6223D2D"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Trombociti (10</w:t>
            </w:r>
            <w:r w:rsidRPr="0016621E">
              <w:rPr>
                <w:rFonts w:ascii="Arial" w:hAnsi="Arial" w:cs="Arial"/>
                <w:b w:val="0"/>
                <w:bCs w:val="0"/>
                <w:kern w:val="0"/>
                <w:sz w:val="22"/>
                <w:szCs w:val="22"/>
                <w:vertAlign w:val="superscript"/>
                <w:lang w:bidi="ar-SA"/>
              </w:rPr>
              <w:t>9</w:t>
            </w:r>
            <w:r w:rsidRPr="0016621E">
              <w:rPr>
                <w:rFonts w:ascii="Arial" w:hAnsi="Arial" w:cs="Arial"/>
                <w:b w:val="0"/>
                <w:bCs w:val="0"/>
                <w:kern w:val="0"/>
                <w:sz w:val="22"/>
                <w:szCs w:val="22"/>
                <w:lang w:bidi="ar-SA"/>
              </w:rPr>
              <w:t xml:space="preserve">/L): </w:t>
            </w:r>
            <w:r w:rsidRPr="0016621E">
              <w:rPr>
                <w:rFonts w:ascii="Arial" w:hAnsi="Arial" w:cs="Arial"/>
                <w:b w:val="0"/>
                <w:kern w:val="0"/>
                <w:sz w:val="22"/>
                <w:szCs w:val="22"/>
                <w:lang w:bidi="ar-SA"/>
              </w:rPr>
              <w:t>medijan (IR)</w:t>
            </w:r>
          </w:p>
        </w:tc>
        <w:tc>
          <w:tcPr>
            <w:tcW w:w="2473" w:type="dxa"/>
            <w:vAlign w:val="center"/>
          </w:tcPr>
          <w:p w14:paraId="4A91DFE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369 (307-439)</w:t>
            </w:r>
          </w:p>
        </w:tc>
        <w:tc>
          <w:tcPr>
            <w:tcW w:w="2675" w:type="dxa"/>
            <w:vAlign w:val="center"/>
          </w:tcPr>
          <w:p w14:paraId="5947AB16"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347 (279-384,5)</w:t>
            </w:r>
          </w:p>
        </w:tc>
        <w:tc>
          <w:tcPr>
            <w:tcW w:w="1871" w:type="dxa"/>
            <w:vAlign w:val="center"/>
          </w:tcPr>
          <w:p w14:paraId="2D7B42BC"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b/>
                <w:bCs/>
                <w:sz w:val="22"/>
                <w:szCs w:val="22"/>
              </w:rPr>
              <w:t>0,044</w:t>
            </w:r>
            <w:r w:rsidRPr="0016621E">
              <w:rPr>
                <w:rFonts w:ascii="Arial" w:hAnsi="Arial" w:cs="Arial"/>
                <w:sz w:val="22"/>
                <w:szCs w:val="22"/>
                <w:vertAlign w:val="superscript"/>
              </w:rPr>
              <w:t>c</w:t>
            </w:r>
          </w:p>
        </w:tc>
      </w:tr>
      <w:tr w:rsidR="0016621E" w:rsidRPr="0016621E" w14:paraId="5231E923" w14:textId="77777777" w:rsidTr="00FC12C0">
        <w:trPr>
          <w:trHeight w:val="686"/>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01A6442D"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Kreatinin (µmol/L): </w:t>
            </w:r>
            <w:r w:rsidRPr="0016621E">
              <w:rPr>
                <w:rFonts w:ascii="Arial" w:hAnsi="Arial" w:cs="Arial"/>
                <w:b w:val="0"/>
                <w:kern w:val="0"/>
                <w:sz w:val="22"/>
                <w:szCs w:val="22"/>
                <w:lang w:bidi="ar-SA"/>
              </w:rPr>
              <w:t>medijan (IR)</w:t>
            </w:r>
          </w:p>
        </w:tc>
        <w:tc>
          <w:tcPr>
            <w:tcW w:w="2473" w:type="dxa"/>
            <w:vAlign w:val="center"/>
          </w:tcPr>
          <w:p w14:paraId="6292362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42 (31-54)</w:t>
            </w:r>
          </w:p>
        </w:tc>
        <w:tc>
          <w:tcPr>
            <w:tcW w:w="2675" w:type="dxa"/>
            <w:vAlign w:val="center"/>
          </w:tcPr>
          <w:p w14:paraId="1E348522"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41 (32-59,5)</w:t>
            </w:r>
          </w:p>
        </w:tc>
        <w:tc>
          <w:tcPr>
            <w:tcW w:w="1871" w:type="dxa"/>
            <w:vAlign w:val="center"/>
          </w:tcPr>
          <w:p w14:paraId="5FE43E2B"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0,859</w:t>
            </w:r>
            <w:r w:rsidRPr="0016621E">
              <w:rPr>
                <w:rFonts w:ascii="Arial" w:hAnsi="Arial" w:cs="Arial"/>
                <w:sz w:val="22"/>
                <w:szCs w:val="22"/>
                <w:vertAlign w:val="superscript"/>
              </w:rPr>
              <w:t>c</w:t>
            </w:r>
          </w:p>
        </w:tc>
      </w:tr>
      <w:tr w:rsidR="0016621E" w:rsidRPr="0016621E" w14:paraId="3DBC1DAF"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FC9C4AC"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Ureja (mmol/L): </w:t>
            </w:r>
            <w:r w:rsidRPr="0016621E">
              <w:rPr>
                <w:rFonts w:ascii="Arial" w:hAnsi="Arial" w:cs="Arial"/>
                <w:b w:val="0"/>
                <w:kern w:val="0"/>
                <w:sz w:val="22"/>
                <w:szCs w:val="22"/>
                <w:lang w:bidi="ar-SA"/>
              </w:rPr>
              <w:t>medijan (IR)</w:t>
            </w:r>
          </w:p>
        </w:tc>
        <w:tc>
          <w:tcPr>
            <w:tcW w:w="2473" w:type="dxa"/>
            <w:vAlign w:val="center"/>
          </w:tcPr>
          <w:p w14:paraId="5A8AD5F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4,1 (3,3-4,7)</w:t>
            </w:r>
          </w:p>
        </w:tc>
        <w:tc>
          <w:tcPr>
            <w:tcW w:w="2675" w:type="dxa"/>
            <w:vAlign w:val="center"/>
          </w:tcPr>
          <w:p w14:paraId="1B3F82FB"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4 (3,4-4,8)</w:t>
            </w:r>
          </w:p>
        </w:tc>
        <w:tc>
          <w:tcPr>
            <w:tcW w:w="1871" w:type="dxa"/>
            <w:vAlign w:val="center"/>
          </w:tcPr>
          <w:p w14:paraId="6E90A2A2"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0,227</w:t>
            </w:r>
            <w:r w:rsidRPr="0016621E">
              <w:rPr>
                <w:rFonts w:ascii="Arial" w:hAnsi="Arial" w:cs="Arial"/>
                <w:sz w:val="22"/>
                <w:szCs w:val="22"/>
                <w:vertAlign w:val="superscript"/>
              </w:rPr>
              <w:t>c</w:t>
            </w:r>
          </w:p>
        </w:tc>
      </w:tr>
      <w:tr w:rsidR="0016621E" w:rsidRPr="0016621E" w14:paraId="622596B1"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4CB8DB9" w14:textId="77777777" w:rsidR="0016621E" w:rsidRPr="0016621E" w:rsidRDefault="0016621E" w:rsidP="00FC12C0">
            <w:pPr>
              <w:jc w:val="center"/>
              <w:rPr>
                <w:rFonts w:ascii="Arial" w:hAnsi="Arial" w:cs="Arial"/>
                <w:b w:val="0"/>
              </w:rPr>
            </w:pPr>
            <w:r w:rsidRPr="0016621E">
              <w:rPr>
                <w:rFonts w:ascii="Arial" w:hAnsi="Arial" w:cs="Arial"/>
                <w:b w:val="0"/>
                <w:bCs w:val="0"/>
                <w:sz w:val="22"/>
                <w:szCs w:val="22"/>
              </w:rPr>
              <w:t xml:space="preserve">eGFR: </w:t>
            </w:r>
            <w:r w:rsidRPr="0016621E">
              <w:rPr>
                <w:rFonts w:ascii="Arial" w:hAnsi="Arial" w:cs="Arial"/>
                <w:b w:val="0"/>
                <w:sz w:val="22"/>
                <w:szCs w:val="22"/>
              </w:rPr>
              <w:t>medijan (IR)</w:t>
            </w:r>
          </w:p>
        </w:tc>
        <w:tc>
          <w:tcPr>
            <w:tcW w:w="2473" w:type="dxa"/>
            <w:vAlign w:val="center"/>
          </w:tcPr>
          <w:p w14:paraId="4008F987"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128,5 (115,3-147)</w:t>
            </w:r>
          </w:p>
        </w:tc>
        <w:tc>
          <w:tcPr>
            <w:tcW w:w="2675" w:type="dxa"/>
            <w:vAlign w:val="center"/>
          </w:tcPr>
          <w:p w14:paraId="33598BAE"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129 (116,5-150)</w:t>
            </w:r>
          </w:p>
        </w:tc>
        <w:tc>
          <w:tcPr>
            <w:tcW w:w="1871" w:type="dxa"/>
            <w:vAlign w:val="center"/>
          </w:tcPr>
          <w:p w14:paraId="0D5071AC"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0,979</w:t>
            </w:r>
            <w:r w:rsidRPr="0016621E">
              <w:rPr>
                <w:rFonts w:ascii="Arial" w:hAnsi="Arial" w:cs="Arial"/>
                <w:sz w:val="22"/>
                <w:szCs w:val="22"/>
                <w:vertAlign w:val="superscript"/>
              </w:rPr>
              <w:t>c</w:t>
            </w:r>
          </w:p>
        </w:tc>
      </w:tr>
      <w:tr w:rsidR="0016621E" w:rsidRPr="0016621E" w14:paraId="5E4D7119"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71301E1"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Feritin (ng/mL): </w:t>
            </w:r>
            <w:r w:rsidRPr="0016621E">
              <w:rPr>
                <w:rFonts w:ascii="Arial" w:hAnsi="Arial" w:cs="Arial"/>
                <w:b w:val="0"/>
                <w:kern w:val="0"/>
                <w:sz w:val="22"/>
                <w:szCs w:val="22"/>
                <w:lang w:bidi="ar-SA"/>
              </w:rPr>
              <w:t>medijan (IR)</w:t>
            </w:r>
          </w:p>
        </w:tc>
        <w:tc>
          <w:tcPr>
            <w:tcW w:w="2473" w:type="dxa"/>
            <w:vAlign w:val="center"/>
          </w:tcPr>
          <w:p w14:paraId="0F3BFF11"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65,3 (43,9-102,8)</w:t>
            </w:r>
          </w:p>
        </w:tc>
        <w:tc>
          <w:tcPr>
            <w:tcW w:w="2675" w:type="dxa"/>
            <w:vAlign w:val="center"/>
          </w:tcPr>
          <w:p w14:paraId="0BB4D8FD"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70,5 (50,9-97,9)</w:t>
            </w:r>
          </w:p>
        </w:tc>
        <w:tc>
          <w:tcPr>
            <w:tcW w:w="1871" w:type="dxa"/>
            <w:vAlign w:val="center"/>
          </w:tcPr>
          <w:p w14:paraId="33F52306"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0,895</w:t>
            </w:r>
            <w:r w:rsidRPr="0016621E">
              <w:rPr>
                <w:rFonts w:ascii="Arial" w:hAnsi="Arial" w:cs="Arial"/>
                <w:sz w:val="22"/>
                <w:szCs w:val="22"/>
                <w:vertAlign w:val="superscript"/>
              </w:rPr>
              <w:t>c</w:t>
            </w:r>
          </w:p>
        </w:tc>
      </w:tr>
      <w:tr w:rsidR="0016621E" w:rsidRPr="0016621E" w14:paraId="61550AE5"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BF8B6B4"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PV: </w:t>
            </w:r>
            <w:r w:rsidRPr="0016621E">
              <w:rPr>
                <w:rFonts w:ascii="Arial" w:hAnsi="Arial" w:cs="Arial"/>
                <w:b w:val="0"/>
                <w:kern w:val="0"/>
                <w:sz w:val="22"/>
                <w:szCs w:val="22"/>
                <w:lang w:bidi="ar-SA"/>
              </w:rPr>
              <w:t>medijan (IR)</w:t>
            </w:r>
          </w:p>
        </w:tc>
        <w:tc>
          <w:tcPr>
            <w:tcW w:w="2473" w:type="dxa"/>
            <w:vAlign w:val="center"/>
          </w:tcPr>
          <w:p w14:paraId="6F86036F"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1,0 (0,9-1,1)</w:t>
            </w:r>
          </w:p>
        </w:tc>
        <w:tc>
          <w:tcPr>
            <w:tcW w:w="2675" w:type="dxa"/>
            <w:vAlign w:val="center"/>
          </w:tcPr>
          <w:p w14:paraId="033EB6AF"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0,9 (0,8-1,1)</w:t>
            </w:r>
          </w:p>
        </w:tc>
        <w:tc>
          <w:tcPr>
            <w:tcW w:w="1871" w:type="dxa"/>
            <w:vAlign w:val="center"/>
          </w:tcPr>
          <w:p w14:paraId="17F306B5"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0,179</w:t>
            </w:r>
            <w:r w:rsidRPr="0016621E">
              <w:rPr>
                <w:rFonts w:ascii="Arial" w:hAnsi="Arial" w:cs="Arial"/>
                <w:sz w:val="22"/>
                <w:szCs w:val="22"/>
                <w:vertAlign w:val="superscript"/>
              </w:rPr>
              <w:t>c</w:t>
            </w:r>
          </w:p>
        </w:tc>
      </w:tr>
      <w:tr w:rsidR="0016621E" w:rsidRPr="0016621E" w14:paraId="257969D7"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68FEC6E"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APTV (s): </w:t>
            </w:r>
            <w:r w:rsidRPr="0016621E">
              <w:rPr>
                <w:rFonts w:ascii="Arial" w:hAnsi="Arial" w:cs="Arial"/>
                <w:b w:val="0"/>
                <w:kern w:val="0"/>
                <w:sz w:val="22"/>
                <w:szCs w:val="22"/>
                <w:lang w:bidi="ar-SA"/>
              </w:rPr>
              <w:t>medijan (IR)</w:t>
            </w:r>
          </w:p>
        </w:tc>
        <w:tc>
          <w:tcPr>
            <w:tcW w:w="2473" w:type="dxa"/>
            <w:vAlign w:val="center"/>
          </w:tcPr>
          <w:p w14:paraId="2A6DE764"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25,8 (23,8-27,7)</w:t>
            </w:r>
          </w:p>
        </w:tc>
        <w:tc>
          <w:tcPr>
            <w:tcW w:w="2675" w:type="dxa"/>
            <w:vAlign w:val="center"/>
          </w:tcPr>
          <w:p w14:paraId="5552C05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25,2 (23,4-26,6)</w:t>
            </w:r>
          </w:p>
        </w:tc>
        <w:tc>
          <w:tcPr>
            <w:tcW w:w="1871" w:type="dxa"/>
            <w:vAlign w:val="center"/>
          </w:tcPr>
          <w:p w14:paraId="62A9C1B7"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0,545</w:t>
            </w:r>
            <w:r w:rsidRPr="0016621E">
              <w:rPr>
                <w:rFonts w:ascii="Arial" w:hAnsi="Arial" w:cs="Arial"/>
                <w:sz w:val="22"/>
                <w:szCs w:val="22"/>
                <w:vertAlign w:val="superscript"/>
              </w:rPr>
              <w:t>c</w:t>
            </w:r>
          </w:p>
        </w:tc>
      </w:tr>
      <w:tr w:rsidR="0016621E" w:rsidRPr="0016621E" w14:paraId="2229DCC8"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DDE2736"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Fibrinogen (g/L): </w:t>
            </w:r>
            <w:r w:rsidRPr="0016621E">
              <w:rPr>
                <w:rFonts w:ascii="Arial" w:hAnsi="Arial" w:cs="Arial"/>
                <w:b w:val="0"/>
                <w:kern w:val="0"/>
                <w:sz w:val="22"/>
                <w:szCs w:val="22"/>
                <w:lang w:bidi="ar-SA"/>
              </w:rPr>
              <w:t>medijan (IR)</w:t>
            </w:r>
          </w:p>
        </w:tc>
        <w:tc>
          <w:tcPr>
            <w:tcW w:w="2473" w:type="dxa"/>
            <w:vAlign w:val="center"/>
          </w:tcPr>
          <w:p w14:paraId="0E930EBF"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3,4 (2,9-4)</w:t>
            </w:r>
          </w:p>
        </w:tc>
        <w:tc>
          <w:tcPr>
            <w:tcW w:w="2675" w:type="dxa"/>
            <w:vAlign w:val="center"/>
          </w:tcPr>
          <w:p w14:paraId="3AA97DD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3,3 (2,7-4,1)</w:t>
            </w:r>
          </w:p>
        </w:tc>
        <w:tc>
          <w:tcPr>
            <w:tcW w:w="1871" w:type="dxa"/>
            <w:vAlign w:val="center"/>
          </w:tcPr>
          <w:p w14:paraId="134D93C0"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0,606</w:t>
            </w:r>
            <w:r w:rsidRPr="0016621E">
              <w:rPr>
                <w:rFonts w:ascii="Arial" w:hAnsi="Arial" w:cs="Arial"/>
                <w:sz w:val="22"/>
                <w:szCs w:val="22"/>
                <w:vertAlign w:val="superscript"/>
              </w:rPr>
              <w:t>c</w:t>
            </w:r>
          </w:p>
        </w:tc>
      </w:tr>
      <w:tr w:rsidR="0016621E" w:rsidRPr="0016621E" w14:paraId="5DD71D01"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B07A8B1"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D-dimeri (µg/L): </w:t>
            </w:r>
            <w:r w:rsidRPr="0016621E">
              <w:rPr>
                <w:rFonts w:ascii="Arial" w:hAnsi="Arial" w:cs="Arial"/>
                <w:b w:val="0"/>
                <w:kern w:val="0"/>
                <w:sz w:val="22"/>
                <w:szCs w:val="22"/>
                <w:lang w:bidi="ar-SA"/>
              </w:rPr>
              <w:t>medijan (IR)</w:t>
            </w:r>
          </w:p>
        </w:tc>
        <w:tc>
          <w:tcPr>
            <w:tcW w:w="2473" w:type="dxa"/>
            <w:vAlign w:val="center"/>
          </w:tcPr>
          <w:p w14:paraId="2FDF6572"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2,1 (0,9-4,2)</w:t>
            </w:r>
          </w:p>
        </w:tc>
        <w:tc>
          <w:tcPr>
            <w:tcW w:w="2675" w:type="dxa"/>
            <w:vAlign w:val="center"/>
          </w:tcPr>
          <w:p w14:paraId="2843836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2,5 (0,7-5,1)</w:t>
            </w:r>
          </w:p>
        </w:tc>
        <w:tc>
          <w:tcPr>
            <w:tcW w:w="1871" w:type="dxa"/>
            <w:vAlign w:val="center"/>
          </w:tcPr>
          <w:p w14:paraId="41150113"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0,413</w:t>
            </w:r>
            <w:r w:rsidRPr="0016621E">
              <w:rPr>
                <w:rFonts w:ascii="Arial" w:hAnsi="Arial" w:cs="Arial"/>
                <w:sz w:val="22"/>
                <w:szCs w:val="22"/>
                <w:vertAlign w:val="superscript"/>
              </w:rPr>
              <w:t>c</w:t>
            </w:r>
          </w:p>
        </w:tc>
      </w:tr>
      <w:tr w:rsidR="0016621E" w:rsidRPr="0016621E" w14:paraId="2CE03237"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208086CF" w14:textId="77777777" w:rsidR="0016621E" w:rsidRPr="0016621E" w:rsidRDefault="0016621E" w:rsidP="00FC12C0">
            <w:pPr>
              <w:pStyle w:val="TableContents"/>
              <w:jc w:val="center"/>
              <w:rPr>
                <w:rFonts w:ascii="Arial" w:hAnsi="Arial" w:cs="Arial"/>
                <w:b w:val="0"/>
              </w:rPr>
            </w:pPr>
            <w:r w:rsidRPr="0016621E">
              <w:rPr>
                <w:rFonts w:ascii="Arial" w:hAnsi="Arial" w:cs="Arial"/>
                <w:b w:val="0"/>
                <w:bCs w:val="0"/>
                <w:sz w:val="22"/>
                <w:szCs w:val="22"/>
              </w:rPr>
              <w:t xml:space="preserve">Eritrociturija: </w:t>
            </w:r>
            <w:r w:rsidRPr="0016621E">
              <w:rPr>
                <w:rFonts w:ascii="Arial" w:hAnsi="Arial" w:cs="Arial"/>
                <w:b w:val="0"/>
                <w:kern w:val="0"/>
                <w:sz w:val="22"/>
                <w:szCs w:val="22"/>
                <w:lang w:bidi="ar-SA"/>
              </w:rPr>
              <w:t>n(broj)</w:t>
            </w:r>
          </w:p>
        </w:tc>
        <w:tc>
          <w:tcPr>
            <w:tcW w:w="2473" w:type="dxa"/>
            <w:vAlign w:val="center"/>
          </w:tcPr>
          <w:p w14:paraId="7DC065B3"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22 (16,8%)</w:t>
            </w:r>
          </w:p>
        </w:tc>
        <w:tc>
          <w:tcPr>
            <w:tcW w:w="2675" w:type="dxa"/>
            <w:vAlign w:val="center"/>
          </w:tcPr>
          <w:p w14:paraId="590A6E33"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22 (21,4%)</w:t>
            </w:r>
          </w:p>
        </w:tc>
        <w:tc>
          <w:tcPr>
            <w:tcW w:w="1871" w:type="dxa"/>
            <w:vAlign w:val="center"/>
          </w:tcPr>
          <w:p w14:paraId="00328335"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0,375</w:t>
            </w:r>
            <w:r w:rsidRPr="0016621E">
              <w:rPr>
                <w:rFonts w:ascii="Arial" w:hAnsi="Arial" w:cs="Arial"/>
                <w:sz w:val="22"/>
                <w:szCs w:val="22"/>
                <w:vertAlign w:val="superscript"/>
              </w:rPr>
              <w:t>a</w:t>
            </w:r>
          </w:p>
        </w:tc>
      </w:tr>
      <w:tr w:rsidR="0016621E" w:rsidRPr="0016621E" w14:paraId="376B8AF1"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2FF33708" w14:textId="77777777" w:rsidR="0016621E" w:rsidRPr="0016621E" w:rsidRDefault="0016621E" w:rsidP="00FC12C0">
            <w:pPr>
              <w:pStyle w:val="TableContents"/>
              <w:jc w:val="center"/>
              <w:rPr>
                <w:rFonts w:ascii="Arial" w:hAnsi="Arial" w:cs="Arial"/>
                <w:b w:val="0"/>
              </w:rPr>
            </w:pPr>
            <w:r w:rsidRPr="0016621E">
              <w:rPr>
                <w:rFonts w:ascii="Arial" w:hAnsi="Arial" w:cs="Arial"/>
                <w:b w:val="0"/>
                <w:bCs w:val="0"/>
                <w:sz w:val="22"/>
                <w:szCs w:val="22"/>
              </w:rPr>
              <w:t xml:space="preserve">Proteinurija: </w:t>
            </w:r>
            <w:r w:rsidRPr="0016621E">
              <w:rPr>
                <w:rFonts w:ascii="Arial" w:hAnsi="Arial" w:cs="Arial"/>
                <w:b w:val="0"/>
                <w:kern w:val="0"/>
                <w:sz w:val="22"/>
                <w:szCs w:val="22"/>
                <w:lang w:bidi="ar-SA"/>
              </w:rPr>
              <w:t>n(broj)</w:t>
            </w:r>
          </w:p>
        </w:tc>
        <w:tc>
          <w:tcPr>
            <w:tcW w:w="2473" w:type="dxa"/>
            <w:vAlign w:val="center"/>
          </w:tcPr>
          <w:p w14:paraId="209307F9"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16 (12,2%)</w:t>
            </w:r>
          </w:p>
        </w:tc>
        <w:tc>
          <w:tcPr>
            <w:tcW w:w="2675" w:type="dxa"/>
            <w:vAlign w:val="center"/>
          </w:tcPr>
          <w:p w14:paraId="43A59BAC"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25 (24,3%)</w:t>
            </w:r>
          </w:p>
        </w:tc>
        <w:tc>
          <w:tcPr>
            <w:tcW w:w="1871" w:type="dxa"/>
            <w:vAlign w:val="center"/>
          </w:tcPr>
          <w:p w14:paraId="4351E283"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6621E">
              <w:rPr>
                <w:rFonts w:ascii="Arial" w:hAnsi="Arial" w:cs="Arial"/>
                <w:b/>
                <w:bCs/>
                <w:sz w:val="22"/>
                <w:szCs w:val="22"/>
              </w:rPr>
              <w:t>0,016</w:t>
            </w:r>
            <w:r w:rsidRPr="0016621E">
              <w:rPr>
                <w:rFonts w:ascii="Arial" w:hAnsi="Arial" w:cs="Arial"/>
                <w:b/>
                <w:bCs/>
                <w:sz w:val="22"/>
                <w:szCs w:val="22"/>
                <w:vertAlign w:val="superscript"/>
              </w:rPr>
              <w:t>a</w:t>
            </w:r>
          </w:p>
        </w:tc>
      </w:tr>
      <w:tr w:rsidR="0016621E" w:rsidRPr="0016621E" w14:paraId="14897D04" w14:textId="77777777" w:rsidTr="00FC12C0">
        <w:trPr>
          <w:trHeight w:val="85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3BE00BD" w14:textId="77777777" w:rsidR="0016621E" w:rsidRPr="0016621E" w:rsidRDefault="0016621E" w:rsidP="00FC12C0">
            <w:pPr>
              <w:pStyle w:val="TableContents"/>
              <w:jc w:val="center"/>
              <w:rPr>
                <w:rFonts w:ascii="Arial" w:hAnsi="Arial" w:cs="Arial"/>
                <w:b w:val="0"/>
                <w:sz w:val="22"/>
                <w:szCs w:val="22"/>
              </w:rPr>
            </w:pPr>
            <w:r w:rsidRPr="0016621E">
              <w:rPr>
                <w:rFonts w:ascii="Arial" w:hAnsi="Arial" w:cs="Arial"/>
                <w:b w:val="0"/>
                <w:sz w:val="22"/>
                <w:szCs w:val="22"/>
              </w:rPr>
              <w:t>Omjer albumin/kreatinin u urinu: medijan (IR)</w:t>
            </w:r>
          </w:p>
        </w:tc>
        <w:tc>
          <w:tcPr>
            <w:tcW w:w="2473" w:type="dxa"/>
            <w:vAlign w:val="center"/>
          </w:tcPr>
          <w:p w14:paraId="1B2F2D8D"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6,2 (1,4-22,3)</w:t>
            </w:r>
          </w:p>
        </w:tc>
        <w:tc>
          <w:tcPr>
            <w:tcW w:w="2675" w:type="dxa"/>
            <w:vAlign w:val="center"/>
          </w:tcPr>
          <w:p w14:paraId="7BF33A5C"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15,7 (3,2-52,6)</w:t>
            </w:r>
          </w:p>
        </w:tc>
        <w:tc>
          <w:tcPr>
            <w:tcW w:w="1871" w:type="dxa"/>
            <w:vAlign w:val="center"/>
          </w:tcPr>
          <w:p w14:paraId="3D12C7D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0,327</w:t>
            </w:r>
            <w:r w:rsidRPr="0016621E">
              <w:rPr>
                <w:rFonts w:ascii="Arial" w:hAnsi="Arial" w:cs="Arial"/>
                <w:sz w:val="22"/>
                <w:szCs w:val="22"/>
                <w:vertAlign w:val="superscript"/>
              </w:rPr>
              <w:t>c</w:t>
            </w:r>
          </w:p>
        </w:tc>
      </w:tr>
      <w:tr w:rsidR="0016621E" w:rsidRPr="0016621E" w14:paraId="5882FEE4"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98DCA3B"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24-satna proteinurija (g/dU): </w:t>
            </w:r>
            <w:r w:rsidRPr="0016621E">
              <w:rPr>
                <w:rFonts w:ascii="Arial" w:hAnsi="Arial" w:cs="Arial"/>
                <w:b w:val="0"/>
                <w:kern w:val="0"/>
                <w:sz w:val="22"/>
                <w:szCs w:val="22"/>
                <w:lang w:bidi="ar-SA"/>
              </w:rPr>
              <w:t>medijan (IR)</w:t>
            </w:r>
          </w:p>
        </w:tc>
        <w:tc>
          <w:tcPr>
            <w:tcW w:w="2473" w:type="dxa"/>
            <w:vAlign w:val="center"/>
          </w:tcPr>
          <w:p w14:paraId="4F943A16"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0,09 (0,06-0,14)</w:t>
            </w:r>
          </w:p>
        </w:tc>
        <w:tc>
          <w:tcPr>
            <w:tcW w:w="2675" w:type="dxa"/>
            <w:vAlign w:val="center"/>
          </w:tcPr>
          <w:p w14:paraId="04853331"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0,13 (0,07-0,27)</w:t>
            </w:r>
          </w:p>
        </w:tc>
        <w:tc>
          <w:tcPr>
            <w:tcW w:w="1871" w:type="dxa"/>
            <w:vAlign w:val="center"/>
          </w:tcPr>
          <w:p w14:paraId="05098013"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0,836</w:t>
            </w:r>
            <w:r w:rsidRPr="0016621E">
              <w:rPr>
                <w:rFonts w:ascii="Arial" w:hAnsi="Arial" w:cs="Arial"/>
                <w:sz w:val="22"/>
                <w:szCs w:val="22"/>
                <w:vertAlign w:val="superscript"/>
              </w:rPr>
              <w:t>c</w:t>
            </w:r>
          </w:p>
        </w:tc>
      </w:tr>
      <w:tr w:rsidR="0016621E" w:rsidRPr="0016621E" w14:paraId="2ECC9BA6"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4794E31"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Ukupni proteini (g/L): </w:t>
            </w:r>
            <w:r w:rsidRPr="0016621E">
              <w:rPr>
                <w:rFonts w:ascii="Arial" w:hAnsi="Arial" w:cs="Arial"/>
                <w:b w:val="0"/>
                <w:kern w:val="0"/>
                <w:sz w:val="22"/>
                <w:szCs w:val="22"/>
                <w:lang w:bidi="ar-SA"/>
              </w:rPr>
              <w:t>medijan (IR)</w:t>
            </w:r>
          </w:p>
        </w:tc>
        <w:tc>
          <w:tcPr>
            <w:tcW w:w="2473" w:type="dxa"/>
            <w:vAlign w:val="center"/>
          </w:tcPr>
          <w:p w14:paraId="2CB96DB7"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70 (67-74)</w:t>
            </w:r>
          </w:p>
        </w:tc>
        <w:tc>
          <w:tcPr>
            <w:tcW w:w="2675" w:type="dxa"/>
            <w:vAlign w:val="center"/>
          </w:tcPr>
          <w:p w14:paraId="60B2DCFF"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69,5 (65-73)</w:t>
            </w:r>
          </w:p>
        </w:tc>
        <w:tc>
          <w:tcPr>
            <w:tcW w:w="1871" w:type="dxa"/>
            <w:vAlign w:val="center"/>
          </w:tcPr>
          <w:p w14:paraId="48D5027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0,243</w:t>
            </w:r>
            <w:r w:rsidRPr="0016621E">
              <w:rPr>
                <w:rFonts w:ascii="Arial" w:hAnsi="Arial" w:cs="Arial"/>
                <w:sz w:val="22"/>
                <w:szCs w:val="22"/>
                <w:vertAlign w:val="superscript"/>
              </w:rPr>
              <w:t>c</w:t>
            </w:r>
          </w:p>
        </w:tc>
      </w:tr>
      <w:tr w:rsidR="0016621E" w:rsidRPr="0016621E" w14:paraId="2FA3BC63"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A7BF1EA"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Albumini (g/L): </w:t>
            </w:r>
            <w:r w:rsidRPr="0016621E">
              <w:rPr>
                <w:rFonts w:ascii="Arial" w:hAnsi="Arial" w:cs="Arial"/>
                <w:b w:val="0"/>
                <w:kern w:val="0"/>
                <w:sz w:val="22"/>
                <w:szCs w:val="22"/>
                <w:lang w:bidi="ar-SA"/>
              </w:rPr>
              <w:t>medijan (IR)</w:t>
            </w:r>
          </w:p>
        </w:tc>
        <w:tc>
          <w:tcPr>
            <w:tcW w:w="2473" w:type="dxa"/>
            <w:vAlign w:val="center"/>
          </w:tcPr>
          <w:p w14:paraId="7FFC8A33"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38,5 (35,1-41,3)</w:t>
            </w:r>
          </w:p>
        </w:tc>
        <w:tc>
          <w:tcPr>
            <w:tcW w:w="2675" w:type="dxa"/>
            <w:vAlign w:val="center"/>
          </w:tcPr>
          <w:p w14:paraId="164ED1D2"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38,8 (35,9-42,4)</w:t>
            </w:r>
          </w:p>
        </w:tc>
        <w:tc>
          <w:tcPr>
            <w:tcW w:w="1871" w:type="dxa"/>
            <w:vAlign w:val="center"/>
          </w:tcPr>
          <w:p w14:paraId="68D4328A"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0,865</w:t>
            </w:r>
            <w:r w:rsidRPr="0016621E">
              <w:rPr>
                <w:rFonts w:ascii="Arial" w:hAnsi="Arial" w:cs="Arial"/>
                <w:sz w:val="22"/>
                <w:szCs w:val="22"/>
                <w:vertAlign w:val="superscript"/>
              </w:rPr>
              <w:t>c</w:t>
            </w:r>
          </w:p>
        </w:tc>
      </w:tr>
      <w:tr w:rsidR="0016621E" w:rsidRPr="0016621E" w14:paraId="2E5EE885"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77EFD27"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IgA (g/L): </w:t>
            </w:r>
            <w:r w:rsidRPr="0016621E">
              <w:rPr>
                <w:rFonts w:ascii="Arial" w:hAnsi="Arial" w:cs="Arial"/>
                <w:b w:val="0"/>
                <w:kern w:val="0"/>
                <w:sz w:val="22"/>
                <w:szCs w:val="22"/>
                <w:lang w:bidi="ar-SA"/>
              </w:rPr>
              <w:t>medijan (IR)</w:t>
            </w:r>
          </w:p>
        </w:tc>
        <w:tc>
          <w:tcPr>
            <w:tcW w:w="2473" w:type="dxa"/>
            <w:vAlign w:val="center"/>
          </w:tcPr>
          <w:p w14:paraId="1DC29D2F"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1,9 (1,4-2,6)</w:t>
            </w:r>
          </w:p>
        </w:tc>
        <w:tc>
          <w:tcPr>
            <w:tcW w:w="2675" w:type="dxa"/>
            <w:vAlign w:val="center"/>
          </w:tcPr>
          <w:p w14:paraId="4E14C9A6"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1,8 (1,3-2,4)</w:t>
            </w:r>
          </w:p>
        </w:tc>
        <w:tc>
          <w:tcPr>
            <w:tcW w:w="1871" w:type="dxa"/>
            <w:vAlign w:val="center"/>
          </w:tcPr>
          <w:p w14:paraId="0E88BA47"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0,383</w:t>
            </w:r>
            <w:r w:rsidRPr="0016621E">
              <w:rPr>
                <w:rFonts w:ascii="Arial" w:hAnsi="Arial" w:cs="Arial"/>
                <w:sz w:val="22"/>
                <w:szCs w:val="22"/>
                <w:vertAlign w:val="superscript"/>
              </w:rPr>
              <w:t>c</w:t>
            </w:r>
          </w:p>
        </w:tc>
      </w:tr>
      <w:tr w:rsidR="0016621E" w:rsidRPr="0016621E" w14:paraId="3C6FF8D2"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0A0B0F09"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IgG (g/L): </w:t>
            </w:r>
            <w:r w:rsidRPr="0016621E">
              <w:rPr>
                <w:rFonts w:ascii="Arial" w:hAnsi="Arial" w:cs="Arial"/>
                <w:b w:val="0"/>
                <w:kern w:val="0"/>
                <w:sz w:val="22"/>
                <w:szCs w:val="22"/>
                <w:lang w:bidi="ar-SA"/>
              </w:rPr>
              <w:t>medijan (IR)</w:t>
            </w:r>
          </w:p>
        </w:tc>
        <w:tc>
          <w:tcPr>
            <w:tcW w:w="2473" w:type="dxa"/>
            <w:vAlign w:val="center"/>
          </w:tcPr>
          <w:p w14:paraId="654C8224"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10,2 (8,7-12,4)</w:t>
            </w:r>
          </w:p>
        </w:tc>
        <w:tc>
          <w:tcPr>
            <w:tcW w:w="2675" w:type="dxa"/>
            <w:vAlign w:val="center"/>
          </w:tcPr>
          <w:p w14:paraId="43298FEC"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9,7 (7,7-11,7)</w:t>
            </w:r>
          </w:p>
        </w:tc>
        <w:tc>
          <w:tcPr>
            <w:tcW w:w="1871" w:type="dxa"/>
            <w:vAlign w:val="center"/>
          </w:tcPr>
          <w:p w14:paraId="2C831957"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0,312</w:t>
            </w:r>
            <w:r w:rsidRPr="0016621E">
              <w:rPr>
                <w:rFonts w:ascii="Arial" w:hAnsi="Arial" w:cs="Arial"/>
                <w:sz w:val="22"/>
                <w:szCs w:val="22"/>
                <w:vertAlign w:val="superscript"/>
              </w:rPr>
              <w:t>c</w:t>
            </w:r>
          </w:p>
        </w:tc>
      </w:tr>
      <w:tr w:rsidR="0016621E" w:rsidRPr="0016621E" w14:paraId="44F3FD13" w14:textId="77777777" w:rsidTr="00FC12C0">
        <w:trPr>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2EA95E71"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IgM (g/L): </w:t>
            </w:r>
            <w:r w:rsidRPr="0016621E">
              <w:rPr>
                <w:rFonts w:ascii="Arial" w:hAnsi="Arial" w:cs="Arial"/>
                <w:b w:val="0"/>
                <w:kern w:val="0"/>
                <w:sz w:val="22"/>
                <w:szCs w:val="22"/>
                <w:lang w:bidi="ar-SA"/>
              </w:rPr>
              <w:t>medijan (IR)</w:t>
            </w:r>
          </w:p>
        </w:tc>
        <w:tc>
          <w:tcPr>
            <w:tcW w:w="2473" w:type="dxa"/>
            <w:vAlign w:val="center"/>
          </w:tcPr>
          <w:p w14:paraId="3298D9D6"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0,9 (0,7-1,2)</w:t>
            </w:r>
          </w:p>
        </w:tc>
        <w:tc>
          <w:tcPr>
            <w:tcW w:w="2675" w:type="dxa"/>
            <w:vAlign w:val="center"/>
          </w:tcPr>
          <w:p w14:paraId="2CE9B6D8"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0,9 (0,7-1,2)</w:t>
            </w:r>
          </w:p>
        </w:tc>
        <w:tc>
          <w:tcPr>
            <w:tcW w:w="1871" w:type="dxa"/>
            <w:vAlign w:val="center"/>
          </w:tcPr>
          <w:p w14:paraId="1D18369E"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0,678</w:t>
            </w:r>
            <w:r w:rsidRPr="0016621E">
              <w:rPr>
                <w:rFonts w:ascii="Arial" w:hAnsi="Arial" w:cs="Arial"/>
                <w:sz w:val="22"/>
                <w:szCs w:val="22"/>
                <w:vertAlign w:val="superscript"/>
              </w:rPr>
              <w:t>c</w:t>
            </w:r>
          </w:p>
        </w:tc>
      </w:tr>
      <w:tr w:rsidR="0016621E" w:rsidRPr="0016621E" w14:paraId="351524A0"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F40AC26" w14:textId="77777777" w:rsidR="0016621E" w:rsidRPr="0016621E" w:rsidRDefault="0016621E" w:rsidP="00FC12C0">
            <w:pPr>
              <w:jc w:val="center"/>
              <w:rPr>
                <w:rFonts w:ascii="Arial" w:hAnsi="Arial" w:cs="Arial"/>
                <w:b w:val="0"/>
              </w:rPr>
            </w:pPr>
            <w:r w:rsidRPr="0016621E">
              <w:rPr>
                <w:rFonts w:ascii="Arial" w:hAnsi="Arial" w:cs="Arial"/>
                <w:b w:val="0"/>
                <w:bCs w:val="0"/>
                <w:sz w:val="22"/>
                <w:szCs w:val="22"/>
              </w:rPr>
              <w:t xml:space="preserve">uIgE (g/L): </w:t>
            </w:r>
            <w:r w:rsidRPr="0016621E">
              <w:rPr>
                <w:rFonts w:ascii="Arial" w:hAnsi="Arial" w:cs="Arial"/>
                <w:b w:val="0"/>
                <w:sz w:val="22"/>
                <w:szCs w:val="22"/>
              </w:rPr>
              <w:t>medijan (IR)</w:t>
            </w:r>
          </w:p>
        </w:tc>
        <w:tc>
          <w:tcPr>
            <w:tcW w:w="2473" w:type="dxa"/>
            <w:vAlign w:val="center"/>
          </w:tcPr>
          <w:p w14:paraId="4F191D5F"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85,8 (16,4-217,5)</w:t>
            </w:r>
          </w:p>
        </w:tc>
        <w:tc>
          <w:tcPr>
            <w:tcW w:w="2675" w:type="dxa"/>
            <w:vAlign w:val="center"/>
          </w:tcPr>
          <w:p w14:paraId="1188B11D"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36,2 (24,6-79,8)</w:t>
            </w:r>
          </w:p>
        </w:tc>
        <w:tc>
          <w:tcPr>
            <w:tcW w:w="1871" w:type="dxa"/>
            <w:vAlign w:val="center"/>
          </w:tcPr>
          <w:p w14:paraId="43FF52B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0,315</w:t>
            </w:r>
            <w:r w:rsidRPr="0016621E">
              <w:rPr>
                <w:rFonts w:ascii="Arial" w:hAnsi="Arial" w:cs="Arial"/>
                <w:sz w:val="22"/>
                <w:szCs w:val="22"/>
                <w:vertAlign w:val="superscript"/>
              </w:rPr>
              <w:t>c</w:t>
            </w:r>
          </w:p>
        </w:tc>
      </w:tr>
      <w:tr w:rsidR="0016621E" w:rsidRPr="0016621E" w14:paraId="07D51C91"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072AE86B" w14:textId="77777777" w:rsidR="0016621E" w:rsidRPr="0016621E" w:rsidRDefault="0016621E" w:rsidP="00FC12C0">
            <w:pPr>
              <w:jc w:val="center"/>
              <w:rPr>
                <w:rFonts w:ascii="Arial" w:hAnsi="Arial" w:cs="Arial"/>
                <w:b w:val="0"/>
              </w:rPr>
            </w:pPr>
            <w:r w:rsidRPr="0016621E">
              <w:rPr>
                <w:rFonts w:ascii="Arial" w:hAnsi="Arial" w:cs="Arial"/>
                <w:b w:val="0"/>
                <w:bCs w:val="0"/>
                <w:sz w:val="22"/>
                <w:szCs w:val="22"/>
              </w:rPr>
              <w:t>ANA (+/-):</w:t>
            </w:r>
            <w:r w:rsidRPr="0016621E">
              <w:rPr>
                <w:rFonts w:ascii="Arial" w:hAnsi="Arial" w:cs="Arial"/>
                <w:b w:val="0"/>
                <w:sz w:val="22"/>
                <w:szCs w:val="22"/>
              </w:rPr>
              <w:t xml:space="preserve"> n (broj)</w:t>
            </w:r>
          </w:p>
        </w:tc>
        <w:tc>
          <w:tcPr>
            <w:tcW w:w="2473" w:type="dxa"/>
            <w:vAlign w:val="center"/>
          </w:tcPr>
          <w:p w14:paraId="1422FFA1"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8 (6,1%)</w:t>
            </w:r>
          </w:p>
        </w:tc>
        <w:tc>
          <w:tcPr>
            <w:tcW w:w="2675" w:type="dxa"/>
            <w:vAlign w:val="center"/>
          </w:tcPr>
          <w:p w14:paraId="1DB58427"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12 (11,6%)</w:t>
            </w:r>
          </w:p>
        </w:tc>
        <w:tc>
          <w:tcPr>
            <w:tcW w:w="1871" w:type="dxa"/>
            <w:vAlign w:val="center"/>
          </w:tcPr>
          <w:p w14:paraId="579B9CA4"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0,132</w:t>
            </w:r>
            <w:r w:rsidRPr="0016621E">
              <w:rPr>
                <w:rFonts w:ascii="Arial" w:hAnsi="Arial" w:cs="Arial"/>
                <w:sz w:val="22"/>
                <w:szCs w:val="22"/>
                <w:vertAlign w:val="superscript"/>
              </w:rPr>
              <w:t>a</w:t>
            </w:r>
          </w:p>
        </w:tc>
      </w:tr>
      <w:tr w:rsidR="0016621E" w:rsidRPr="0016621E" w14:paraId="6ED5CAF3" w14:textId="77777777" w:rsidTr="00FC12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5B5AA1D"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C</w:t>
            </w:r>
            <w:r w:rsidRPr="0016621E">
              <w:rPr>
                <w:rFonts w:ascii="Arial" w:hAnsi="Arial" w:cs="Arial"/>
                <w:b w:val="0"/>
                <w:bCs w:val="0"/>
                <w:kern w:val="0"/>
                <w:sz w:val="22"/>
                <w:szCs w:val="22"/>
                <w:vertAlign w:val="subscript"/>
                <w:lang w:bidi="ar-SA"/>
              </w:rPr>
              <w:t xml:space="preserve">3 </w:t>
            </w:r>
            <w:r w:rsidRPr="0016621E">
              <w:rPr>
                <w:rFonts w:ascii="Arial" w:hAnsi="Arial" w:cs="Arial"/>
                <w:b w:val="0"/>
                <w:bCs w:val="0"/>
                <w:kern w:val="0"/>
                <w:sz w:val="22"/>
                <w:szCs w:val="22"/>
                <w:lang w:bidi="ar-SA"/>
              </w:rPr>
              <w:t>(g/L)</w:t>
            </w:r>
            <w:r w:rsidRPr="0016621E">
              <w:rPr>
                <w:rFonts w:ascii="Arial" w:hAnsi="Arial" w:cs="Arial"/>
                <w:b w:val="0"/>
                <w:kern w:val="0"/>
                <w:sz w:val="22"/>
                <w:szCs w:val="22"/>
                <w:lang w:bidi="ar-SA"/>
              </w:rPr>
              <w:t>: medijan (IR)</w:t>
            </w:r>
          </w:p>
        </w:tc>
        <w:tc>
          <w:tcPr>
            <w:tcW w:w="2473" w:type="dxa"/>
            <w:vAlign w:val="center"/>
          </w:tcPr>
          <w:p w14:paraId="754BE04A"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1,26 (1,11-1,42)</w:t>
            </w:r>
          </w:p>
        </w:tc>
        <w:tc>
          <w:tcPr>
            <w:tcW w:w="2675" w:type="dxa"/>
            <w:vAlign w:val="center"/>
          </w:tcPr>
          <w:p w14:paraId="7AE87B34"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1,31 (1,12-1,41)</w:t>
            </w:r>
          </w:p>
        </w:tc>
        <w:tc>
          <w:tcPr>
            <w:tcW w:w="1871" w:type="dxa"/>
            <w:vAlign w:val="center"/>
          </w:tcPr>
          <w:p w14:paraId="43CB71B3"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0,749</w:t>
            </w:r>
            <w:r w:rsidRPr="0016621E">
              <w:rPr>
                <w:rFonts w:ascii="Arial" w:hAnsi="Arial" w:cs="Arial"/>
                <w:sz w:val="22"/>
                <w:szCs w:val="22"/>
                <w:vertAlign w:val="superscript"/>
              </w:rPr>
              <w:t>c</w:t>
            </w:r>
          </w:p>
        </w:tc>
      </w:tr>
      <w:tr w:rsidR="0016621E" w:rsidRPr="0016621E" w14:paraId="2248469B"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AD7ADD6"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C</w:t>
            </w:r>
            <w:r w:rsidRPr="0016621E">
              <w:rPr>
                <w:rFonts w:ascii="Arial" w:hAnsi="Arial" w:cs="Arial"/>
                <w:b w:val="0"/>
                <w:bCs w:val="0"/>
                <w:kern w:val="0"/>
                <w:sz w:val="22"/>
                <w:szCs w:val="22"/>
                <w:vertAlign w:val="subscript"/>
                <w:lang w:bidi="ar-SA"/>
              </w:rPr>
              <w:t xml:space="preserve">4 </w:t>
            </w:r>
            <w:r w:rsidRPr="0016621E">
              <w:rPr>
                <w:rFonts w:ascii="Arial" w:hAnsi="Arial" w:cs="Arial"/>
                <w:b w:val="0"/>
                <w:bCs w:val="0"/>
                <w:kern w:val="0"/>
                <w:sz w:val="22"/>
                <w:szCs w:val="22"/>
                <w:lang w:bidi="ar-SA"/>
              </w:rPr>
              <w:t xml:space="preserve">(g/L): </w:t>
            </w:r>
            <w:r w:rsidRPr="0016621E">
              <w:rPr>
                <w:rFonts w:ascii="Arial" w:hAnsi="Arial" w:cs="Arial"/>
                <w:b w:val="0"/>
                <w:kern w:val="0"/>
                <w:sz w:val="22"/>
                <w:szCs w:val="22"/>
                <w:lang w:bidi="ar-SA"/>
              </w:rPr>
              <w:t>medijan (IR)</w:t>
            </w:r>
          </w:p>
        </w:tc>
        <w:tc>
          <w:tcPr>
            <w:tcW w:w="2473" w:type="dxa"/>
            <w:vAlign w:val="center"/>
          </w:tcPr>
          <w:p w14:paraId="5F34B166"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0,26 (0,21-0,31)</w:t>
            </w:r>
          </w:p>
        </w:tc>
        <w:tc>
          <w:tcPr>
            <w:tcW w:w="2675" w:type="dxa"/>
            <w:vAlign w:val="center"/>
          </w:tcPr>
          <w:p w14:paraId="03867AEA"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0,24 (0,18-0,3)</w:t>
            </w:r>
          </w:p>
        </w:tc>
        <w:tc>
          <w:tcPr>
            <w:tcW w:w="1871" w:type="dxa"/>
            <w:vAlign w:val="center"/>
          </w:tcPr>
          <w:p w14:paraId="592602DA"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0,502</w:t>
            </w:r>
            <w:r w:rsidRPr="0016621E">
              <w:rPr>
                <w:rFonts w:ascii="Arial" w:hAnsi="Arial" w:cs="Arial"/>
                <w:sz w:val="22"/>
                <w:szCs w:val="22"/>
                <w:vertAlign w:val="superscript"/>
              </w:rPr>
              <w:t>c</w:t>
            </w:r>
          </w:p>
        </w:tc>
      </w:tr>
      <w:tr w:rsidR="0016621E" w:rsidRPr="0016621E" w14:paraId="59FF51E3" w14:textId="77777777" w:rsidTr="00FC12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49C960E1" w14:textId="77777777" w:rsidR="0016621E" w:rsidRPr="0016621E" w:rsidRDefault="0016621E" w:rsidP="00FC12C0">
            <w:pPr>
              <w:jc w:val="center"/>
              <w:rPr>
                <w:rFonts w:ascii="Arial" w:hAnsi="Arial" w:cs="Arial"/>
                <w:b w:val="0"/>
              </w:rPr>
            </w:pPr>
            <w:r w:rsidRPr="0016621E">
              <w:rPr>
                <w:rFonts w:ascii="Arial" w:hAnsi="Arial" w:cs="Arial"/>
                <w:b w:val="0"/>
                <w:bCs w:val="0"/>
                <w:sz w:val="22"/>
                <w:szCs w:val="22"/>
              </w:rPr>
              <w:t>CH</w:t>
            </w:r>
            <w:r w:rsidRPr="0016621E">
              <w:rPr>
                <w:rFonts w:ascii="Arial" w:hAnsi="Arial" w:cs="Arial"/>
                <w:b w:val="0"/>
                <w:bCs w:val="0"/>
                <w:sz w:val="22"/>
                <w:szCs w:val="22"/>
                <w:vertAlign w:val="subscript"/>
              </w:rPr>
              <w:t xml:space="preserve">50 </w:t>
            </w:r>
            <w:r w:rsidRPr="0016621E">
              <w:rPr>
                <w:rFonts w:ascii="Arial" w:hAnsi="Arial" w:cs="Arial"/>
                <w:b w:val="0"/>
                <w:bCs w:val="0"/>
                <w:sz w:val="22"/>
                <w:szCs w:val="22"/>
              </w:rPr>
              <w:t xml:space="preserve">(%): </w:t>
            </w:r>
            <w:r w:rsidRPr="0016621E">
              <w:rPr>
                <w:rFonts w:ascii="Arial" w:hAnsi="Arial" w:cs="Arial"/>
                <w:b w:val="0"/>
                <w:sz w:val="22"/>
                <w:szCs w:val="22"/>
              </w:rPr>
              <w:t>medijan (IR)</w:t>
            </w:r>
          </w:p>
        </w:tc>
        <w:tc>
          <w:tcPr>
            <w:tcW w:w="2473" w:type="dxa"/>
            <w:vAlign w:val="center"/>
          </w:tcPr>
          <w:p w14:paraId="4D9676E6"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97 (85-111)</w:t>
            </w:r>
          </w:p>
        </w:tc>
        <w:tc>
          <w:tcPr>
            <w:tcW w:w="2675" w:type="dxa"/>
            <w:vAlign w:val="center"/>
          </w:tcPr>
          <w:p w14:paraId="205C2342"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94 (79-110)</w:t>
            </w:r>
          </w:p>
        </w:tc>
        <w:tc>
          <w:tcPr>
            <w:tcW w:w="1871" w:type="dxa"/>
            <w:vAlign w:val="center"/>
          </w:tcPr>
          <w:p w14:paraId="09C15C51"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0,860</w:t>
            </w:r>
            <w:r w:rsidRPr="0016621E">
              <w:rPr>
                <w:rFonts w:ascii="Arial" w:hAnsi="Arial" w:cs="Arial"/>
                <w:sz w:val="22"/>
                <w:szCs w:val="22"/>
                <w:vertAlign w:val="superscript"/>
              </w:rPr>
              <w:t>c</w:t>
            </w:r>
          </w:p>
        </w:tc>
      </w:tr>
      <w:tr w:rsidR="0016621E" w:rsidRPr="0016621E" w14:paraId="53B4CE26" w14:textId="77777777" w:rsidTr="00FC12C0">
        <w:trPr>
          <w:trHeight w:val="283"/>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32F54FBA"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 xml:space="preserve">ASTO: </w:t>
            </w:r>
            <w:r w:rsidRPr="0016621E">
              <w:rPr>
                <w:rFonts w:ascii="Arial" w:hAnsi="Arial" w:cs="Arial"/>
                <w:b w:val="0"/>
                <w:kern w:val="0"/>
                <w:sz w:val="22"/>
                <w:szCs w:val="22"/>
                <w:lang w:bidi="ar-SA"/>
              </w:rPr>
              <w:t>medijan (IR)</w:t>
            </w:r>
          </w:p>
        </w:tc>
        <w:tc>
          <w:tcPr>
            <w:tcW w:w="2473" w:type="dxa"/>
            <w:vAlign w:val="center"/>
          </w:tcPr>
          <w:p w14:paraId="08005962"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161 (69-492)</w:t>
            </w:r>
          </w:p>
        </w:tc>
        <w:tc>
          <w:tcPr>
            <w:tcW w:w="2675" w:type="dxa"/>
            <w:vAlign w:val="center"/>
          </w:tcPr>
          <w:p w14:paraId="1071AAAB"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621E">
              <w:rPr>
                <w:rFonts w:ascii="Arial" w:hAnsi="Arial" w:cs="Arial"/>
                <w:sz w:val="22"/>
                <w:szCs w:val="22"/>
              </w:rPr>
              <w:t>155 (22-421,8)</w:t>
            </w:r>
          </w:p>
        </w:tc>
        <w:tc>
          <w:tcPr>
            <w:tcW w:w="1871" w:type="dxa"/>
            <w:vAlign w:val="center"/>
          </w:tcPr>
          <w:p w14:paraId="73AD2015" w14:textId="77777777" w:rsidR="0016621E" w:rsidRPr="0016621E" w:rsidRDefault="0016621E" w:rsidP="00FC12C0">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621E">
              <w:rPr>
                <w:rFonts w:ascii="Arial" w:hAnsi="Arial" w:cs="Arial"/>
                <w:sz w:val="22"/>
                <w:szCs w:val="22"/>
              </w:rPr>
              <w:t>0,161</w:t>
            </w:r>
            <w:r w:rsidRPr="0016621E">
              <w:rPr>
                <w:rFonts w:ascii="Arial" w:hAnsi="Arial" w:cs="Arial"/>
                <w:sz w:val="22"/>
                <w:szCs w:val="22"/>
                <w:vertAlign w:val="superscript"/>
              </w:rPr>
              <w:t>c</w:t>
            </w:r>
          </w:p>
        </w:tc>
      </w:tr>
      <w:tr w:rsidR="0016621E" w:rsidRPr="0016621E" w14:paraId="1A5E388D" w14:textId="77777777" w:rsidTr="00FC12C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5A555FD8" w14:textId="77777777" w:rsidR="0016621E" w:rsidRPr="0016621E" w:rsidRDefault="0016621E" w:rsidP="00FC12C0">
            <w:pPr>
              <w:jc w:val="center"/>
              <w:rPr>
                <w:rFonts w:ascii="Arial" w:hAnsi="Arial" w:cs="Arial"/>
                <w:b w:val="0"/>
              </w:rPr>
            </w:pPr>
            <w:r w:rsidRPr="0016621E">
              <w:rPr>
                <w:rFonts w:ascii="Arial" w:hAnsi="Arial" w:cs="Arial"/>
                <w:b w:val="0"/>
                <w:bCs w:val="0"/>
                <w:kern w:val="0"/>
                <w:sz w:val="22"/>
                <w:szCs w:val="22"/>
                <w:lang w:bidi="ar-SA"/>
              </w:rPr>
              <w:t>Stolica pozitivn</w:t>
            </w:r>
            <w:r>
              <w:rPr>
                <w:rFonts w:ascii="Arial" w:hAnsi="Arial" w:cs="Arial"/>
                <w:b w:val="0"/>
                <w:bCs w:val="0"/>
                <w:kern w:val="0"/>
                <w:sz w:val="22"/>
                <w:szCs w:val="22"/>
                <w:lang w:bidi="ar-SA"/>
              </w:rPr>
              <w:t xml:space="preserve">a na okultno krvarenje </w:t>
            </w:r>
            <w:r>
              <w:rPr>
                <w:rFonts w:ascii="Arial" w:hAnsi="Arial" w:cs="Arial"/>
                <w:b w:val="0"/>
                <w:bCs w:val="0"/>
                <w:kern w:val="0"/>
                <w:sz w:val="22"/>
                <w:szCs w:val="22"/>
                <w:lang w:bidi="ar-SA"/>
              </w:rPr>
              <w:br/>
              <w:t xml:space="preserve">(+/-): </w:t>
            </w:r>
            <w:r w:rsidRPr="0016621E">
              <w:rPr>
                <w:rFonts w:ascii="Arial" w:hAnsi="Arial" w:cs="Arial"/>
                <w:b w:val="0"/>
                <w:kern w:val="0"/>
                <w:sz w:val="22"/>
                <w:szCs w:val="22"/>
                <w:lang w:bidi="ar-SA"/>
              </w:rPr>
              <w:t>n(broj)</w:t>
            </w:r>
          </w:p>
        </w:tc>
        <w:tc>
          <w:tcPr>
            <w:tcW w:w="2473" w:type="dxa"/>
            <w:vAlign w:val="center"/>
          </w:tcPr>
          <w:p w14:paraId="184ACBB8"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26 (19,8%)</w:t>
            </w:r>
          </w:p>
        </w:tc>
        <w:tc>
          <w:tcPr>
            <w:tcW w:w="2675" w:type="dxa"/>
            <w:vAlign w:val="center"/>
          </w:tcPr>
          <w:p w14:paraId="08761B0D"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621E">
              <w:rPr>
                <w:rFonts w:ascii="Arial" w:hAnsi="Arial" w:cs="Arial"/>
                <w:sz w:val="22"/>
                <w:szCs w:val="22"/>
              </w:rPr>
              <w:t>26 (25,2%)</w:t>
            </w:r>
          </w:p>
        </w:tc>
        <w:tc>
          <w:tcPr>
            <w:tcW w:w="1871" w:type="dxa"/>
            <w:vAlign w:val="center"/>
          </w:tcPr>
          <w:p w14:paraId="35F886F5" w14:textId="77777777" w:rsidR="0016621E" w:rsidRPr="0016621E" w:rsidRDefault="0016621E" w:rsidP="00FC12C0">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6621E">
              <w:rPr>
                <w:rFonts w:ascii="Arial" w:hAnsi="Arial" w:cs="Arial"/>
                <w:sz w:val="22"/>
                <w:szCs w:val="22"/>
              </w:rPr>
              <w:t>0,324</w:t>
            </w:r>
            <w:r w:rsidRPr="0016621E">
              <w:rPr>
                <w:rFonts w:ascii="Arial" w:hAnsi="Arial" w:cs="Arial"/>
                <w:sz w:val="22"/>
                <w:szCs w:val="22"/>
                <w:vertAlign w:val="superscript"/>
              </w:rPr>
              <w:t>a</w:t>
            </w:r>
          </w:p>
        </w:tc>
      </w:tr>
    </w:tbl>
    <w:p w14:paraId="2BAC4101" w14:textId="77777777" w:rsidR="0016621E" w:rsidRPr="00396813" w:rsidRDefault="0016621E" w:rsidP="00396813">
      <w:pPr>
        <w:spacing w:after="200" w:line="276" w:lineRule="auto"/>
        <w:rPr>
          <w:rFonts w:ascii="Arial" w:hAnsi="Arial" w:cs="Arial"/>
          <w:sz w:val="20"/>
          <w:szCs w:val="20"/>
          <w:lang w:val="en-US"/>
        </w:rPr>
      </w:pPr>
      <w:r w:rsidRPr="0016621E">
        <w:rPr>
          <w:rFonts w:ascii="Arial" w:hAnsi="Arial" w:cs="Arial"/>
          <w:sz w:val="20"/>
          <w:szCs w:val="20"/>
          <w:lang w:val="en-US"/>
        </w:rPr>
        <w:t xml:space="preserve">C3: C3 </w:t>
      </w:r>
      <w:proofErr w:type="spellStart"/>
      <w:r w:rsidRPr="0016621E">
        <w:rPr>
          <w:rFonts w:ascii="Arial" w:hAnsi="Arial" w:cs="Arial"/>
          <w:sz w:val="20"/>
          <w:szCs w:val="20"/>
          <w:lang w:val="en-US"/>
        </w:rPr>
        <w:t>komponenta</w:t>
      </w:r>
      <w:proofErr w:type="spellEnd"/>
      <w:r w:rsidRPr="0016621E">
        <w:rPr>
          <w:rFonts w:ascii="Arial" w:hAnsi="Arial" w:cs="Arial"/>
          <w:sz w:val="20"/>
          <w:szCs w:val="20"/>
          <w:lang w:val="en-US"/>
        </w:rPr>
        <w:t xml:space="preserve"> </w:t>
      </w:r>
      <w:proofErr w:type="spellStart"/>
      <w:r w:rsidRPr="0016621E">
        <w:rPr>
          <w:rFonts w:ascii="Arial" w:hAnsi="Arial" w:cs="Arial"/>
          <w:sz w:val="20"/>
          <w:szCs w:val="20"/>
          <w:lang w:val="en-US"/>
        </w:rPr>
        <w:t>komplementa</w:t>
      </w:r>
      <w:proofErr w:type="spellEnd"/>
      <w:r w:rsidRPr="0016621E">
        <w:rPr>
          <w:rFonts w:ascii="Arial" w:hAnsi="Arial" w:cs="Arial"/>
          <w:sz w:val="20"/>
          <w:szCs w:val="20"/>
          <w:lang w:val="en-US"/>
        </w:rPr>
        <w:t xml:space="preserve">; C4: C4 </w:t>
      </w:r>
      <w:proofErr w:type="spellStart"/>
      <w:r w:rsidRPr="0016621E">
        <w:rPr>
          <w:rFonts w:ascii="Arial" w:hAnsi="Arial" w:cs="Arial"/>
          <w:sz w:val="20"/>
          <w:szCs w:val="20"/>
          <w:lang w:val="en-US"/>
        </w:rPr>
        <w:t>komponenta</w:t>
      </w:r>
      <w:proofErr w:type="spellEnd"/>
      <w:r w:rsidRPr="0016621E">
        <w:rPr>
          <w:rFonts w:ascii="Arial" w:hAnsi="Arial" w:cs="Arial"/>
          <w:sz w:val="20"/>
          <w:szCs w:val="20"/>
          <w:lang w:val="en-US"/>
        </w:rPr>
        <w:t xml:space="preserve"> </w:t>
      </w:r>
      <w:proofErr w:type="spellStart"/>
      <w:r w:rsidRPr="0016621E">
        <w:rPr>
          <w:rFonts w:ascii="Arial" w:hAnsi="Arial" w:cs="Arial"/>
          <w:sz w:val="20"/>
          <w:szCs w:val="20"/>
          <w:lang w:val="en-US"/>
        </w:rPr>
        <w:t>komplementa</w:t>
      </w:r>
      <w:proofErr w:type="spellEnd"/>
      <w:r w:rsidRPr="0016621E">
        <w:rPr>
          <w:rFonts w:ascii="Arial" w:hAnsi="Arial" w:cs="Arial"/>
          <w:sz w:val="20"/>
          <w:szCs w:val="20"/>
          <w:lang w:val="en-US"/>
        </w:rPr>
        <w:t>;</w:t>
      </w:r>
      <w:r>
        <w:rPr>
          <w:rFonts w:ascii="Arial" w:hAnsi="Arial" w:cs="Arial"/>
          <w:sz w:val="20"/>
          <w:szCs w:val="20"/>
          <w:lang w:val="en-US"/>
        </w:rPr>
        <w:t xml:space="preserve"> CH50: </w:t>
      </w:r>
      <w:proofErr w:type="spellStart"/>
      <w:r>
        <w:rPr>
          <w:rFonts w:ascii="Arial" w:hAnsi="Arial" w:cs="Arial"/>
          <w:sz w:val="20"/>
          <w:szCs w:val="20"/>
          <w:lang w:val="en-US"/>
        </w:rPr>
        <w:t>ukupni</w:t>
      </w:r>
      <w:proofErr w:type="spellEnd"/>
      <w:r>
        <w:rPr>
          <w:rFonts w:ascii="Arial" w:hAnsi="Arial" w:cs="Arial"/>
          <w:sz w:val="20"/>
          <w:szCs w:val="20"/>
          <w:lang w:val="en-US"/>
        </w:rPr>
        <w:t xml:space="preserve"> </w:t>
      </w:r>
      <w:proofErr w:type="spellStart"/>
      <w:r>
        <w:rPr>
          <w:rFonts w:ascii="Arial" w:hAnsi="Arial" w:cs="Arial"/>
          <w:sz w:val="20"/>
          <w:szCs w:val="20"/>
          <w:lang w:val="en-US"/>
        </w:rPr>
        <w:t>komplement</w:t>
      </w:r>
      <w:proofErr w:type="spellEnd"/>
      <w:r>
        <w:rPr>
          <w:rFonts w:ascii="Arial" w:hAnsi="Arial" w:cs="Arial"/>
          <w:sz w:val="20"/>
          <w:szCs w:val="20"/>
          <w:lang w:val="en-US"/>
        </w:rPr>
        <w:t xml:space="preserve">; ASTO: </w:t>
      </w:r>
      <w:proofErr w:type="spellStart"/>
      <w:r w:rsidRPr="0016621E">
        <w:rPr>
          <w:rFonts w:ascii="Arial" w:hAnsi="Arial" w:cs="Arial"/>
          <w:sz w:val="20"/>
          <w:szCs w:val="20"/>
          <w:lang w:val="en-US"/>
        </w:rPr>
        <w:t>antistreptolizinski</w:t>
      </w:r>
      <w:proofErr w:type="spellEnd"/>
      <w:r w:rsidRPr="0016621E">
        <w:rPr>
          <w:rFonts w:ascii="Arial" w:hAnsi="Arial" w:cs="Arial"/>
          <w:sz w:val="20"/>
          <w:szCs w:val="20"/>
          <w:lang w:val="en-US"/>
        </w:rPr>
        <w:t xml:space="preserve"> </w:t>
      </w:r>
      <w:proofErr w:type="spellStart"/>
      <w:r w:rsidRPr="0016621E">
        <w:rPr>
          <w:rFonts w:ascii="Arial" w:hAnsi="Arial" w:cs="Arial"/>
          <w:sz w:val="20"/>
          <w:szCs w:val="20"/>
          <w:lang w:val="en-US"/>
        </w:rPr>
        <w:t>titar</w:t>
      </w:r>
      <w:proofErr w:type="spellEnd"/>
      <w:r w:rsidRPr="0016621E">
        <w:rPr>
          <w:rFonts w:ascii="Arial" w:hAnsi="Arial" w:cs="Arial"/>
          <w:sz w:val="20"/>
          <w:szCs w:val="20"/>
          <w:lang w:val="en-US"/>
        </w:rPr>
        <w:t xml:space="preserve">; </w:t>
      </w:r>
      <w:r w:rsidRPr="00191237">
        <w:rPr>
          <w:rFonts w:ascii="Arial" w:hAnsi="Arial" w:cs="Arial"/>
          <w:sz w:val="20"/>
          <w:szCs w:val="20"/>
          <w:lang w:val="en-US"/>
        </w:rPr>
        <w:t xml:space="preserve">IR: </w:t>
      </w:r>
      <w:proofErr w:type="spellStart"/>
      <w:r w:rsidRPr="00191237">
        <w:rPr>
          <w:rFonts w:ascii="Arial" w:hAnsi="Arial" w:cs="Arial"/>
          <w:sz w:val="20"/>
          <w:szCs w:val="20"/>
          <w:lang w:val="en-US"/>
        </w:rPr>
        <w:t>interkvartilni</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raspon</w:t>
      </w:r>
      <w:proofErr w:type="spellEnd"/>
      <w:r>
        <w:rPr>
          <w:rFonts w:ascii="Arial" w:hAnsi="Arial" w:cs="Arial"/>
        </w:rPr>
        <w:br/>
      </w:r>
      <w:proofErr w:type="spellStart"/>
      <w:r w:rsidRPr="00191237">
        <w:rPr>
          <w:rFonts w:ascii="Arial" w:hAnsi="Arial" w:cs="Arial"/>
          <w:sz w:val="20"/>
          <w:szCs w:val="20"/>
          <w:lang w:val="en-US"/>
        </w:rPr>
        <w:t>Podaci</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su</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prikazani</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kao</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medijan</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interkvartilni</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raspon</w:t>
      </w:r>
      <w:proofErr w:type="spellEnd"/>
      <w:r w:rsidRPr="00191237">
        <w:rPr>
          <w:rFonts w:ascii="Arial" w:hAnsi="Arial" w:cs="Arial"/>
          <w:sz w:val="20"/>
          <w:szCs w:val="20"/>
          <w:lang w:val="en-US"/>
        </w:rPr>
        <w:t xml:space="preserve">) i u </w:t>
      </w:r>
      <w:proofErr w:type="spellStart"/>
      <w:r w:rsidRPr="00191237">
        <w:rPr>
          <w:rFonts w:ascii="Arial" w:hAnsi="Arial" w:cs="Arial"/>
          <w:sz w:val="20"/>
          <w:szCs w:val="20"/>
          <w:lang w:val="en-US"/>
        </w:rPr>
        <w:t>postocima</w:t>
      </w:r>
      <w:proofErr w:type="spellEnd"/>
      <w:r w:rsidRPr="00191237">
        <w:rPr>
          <w:rFonts w:ascii="Arial" w:hAnsi="Arial" w:cs="Arial"/>
          <w:sz w:val="20"/>
          <w:szCs w:val="20"/>
          <w:lang w:val="en-US"/>
        </w:rPr>
        <w:t xml:space="preserve">, </w:t>
      </w:r>
      <w:proofErr w:type="spellStart"/>
      <w:r w:rsidRPr="00191237">
        <w:rPr>
          <w:rFonts w:ascii="Arial" w:hAnsi="Arial" w:cs="Arial"/>
          <w:sz w:val="20"/>
          <w:szCs w:val="20"/>
          <w:lang w:val="en-US"/>
        </w:rPr>
        <w:t>statistička</w:t>
      </w:r>
      <w:proofErr w:type="spellEnd"/>
      <w:r w:rsidR="00B7694D">
        <w:rPr>
          <w:rFonts w:ascii="Arial" w:hAnsi="Arial" w:cs="Arial"/>
          <w:sz w:val="20"/>
          <w:szCs w:val="20"/>
          <w:lang w:val="en-US"/>
        </w:rPr>
        <w:t xml:space="preserve"> </w:t>
      </w:r>
      <w:proofErr w:type="spellStart"/>
      <w:r w:rsidR="00B7694D">
        <w:rPr>
          <w:rFonts w:ascii="Arial" w:hAnsi="Arial" w:cs="Arial"/>
          <w:sz w:val="20"/>
          <w:szCs w:val="20"/>
          <w:lang w:val="en-US"/>
        </w:rPr>
        <w:t>značajnost</w:t>
      </w:r>
      <w:proofErr w:type="spellEnd"/>
      <w:r w:rsidR="00B7694D">
        <w:rPr>
          <w:rFonts w:ascii="Arial" w:hAnsi="Arial" w:cs="Arial"/>
          <w:sz w:val="20"/>
          <w:szCs w:val="20"/>
          <w:lang w:val="en-US"/>
        </w:rPr>
        <w:t xml:space="preserve"> </w:t>
      </w:r>
      <w:proofErr w:type="spellStart"/>
      <w:r w:rsidR="00B7694D">
        <w:rPr>
          <w:rFonts w:ascii="Arial" w:hAnsi="Arial" w:cs="Arial"/>
          <w:sz w:val="20"/>
          <w:szCs w:val="20"/>
          <w:lang w:val="en-US"/>
        </w:rPr>
        <w:t>postavljena</w:t>
      </w:r>
      <w:proofErr w:type="spellEnd"/>
      <w:r w:rsidR="00B7694D">
        <w:rPr>
          <w:rFonts w:ascii="Arial" w:hAnsi="Arial" w:cs="Arial"/>
          <w:sz w:val="20"/>
          <w:szCs w:val="20"/>
          <w:lang w:val="en-US"/>
        </w:rPr>
        <w:t xml:space="preserve"> </w:t>
      </w:r>
      <w:proofErr w:type="spellStart"/>
      <w:r w:rsidR="00B7694D">
        <w:rPr>
          <w:rFonts w:ascii="Arial" w:hAnsi="Arial" w:cs="Arial"/>
          <w:sz w:val="20"/>
          <w:szCs w:val="20"/>
          <w:lang w:val="en-US"/>
        </w:rPr>
        <w:t>na</w:t>
      </w:r>
      <w:proofErr w:type="spellEnd"/>
      <w:r w:rsidR="00B7694D">
        <w:rPr>
          <w:rFonts w:ascii="Arial" w:hAnsi="Arial" w:cs="Arial"/>
          <w:sz w:val="20"/>
          <w:szCs w:val="20"/>
          <w:lang w:val="en-US"/>
        </w:rPr>
        <w:t xml:space="preserve"> *P&lt;0,</w:t>
      </w:r>
      <w:r w:rsidRPr="00191237">
        <w:rPr>
          <w:rFonts w:ascii="Arial" w:hAnsi="Arial" w:cs="Arial"/>
          <w:sz w:val="20"/>
          <w:szCs w:val="20"/>
          <w:lang w:val="en-US"/>
        </w:rPr>
        <w:t xml:space="preserve">05 </w:t>
      </w:r>
      <w:r>
        <w:rPr>
          <w:rFonts w:ascii="Arial" w:hAnsi="Arial" w:cs="Arial"/>
          <w:sz w:val="20"/>
          <w:szCs w:val="20"/>
          <w:lang w:val="en-US"/>
        </w:rPr>
        <w:br/>
      </w:r>
      <w:r w:rsidRPr="00191237">
        <w:rPr>
          <w:rFonts w:ascii="Arial" w:hAnsi="Arial" w:cs="Arial"/>
          <w:sz w:val="20"/>
          <w:szCs w:val="20"/>
          <w:vertAlign w:val="superscript"/>
          <w:lang w:val="en-US"/>
        </w:rPr>
        <w:t>a</w:t>
      </w:r>
      <w:r w:rsidRPr="00191237">
        <w:rPr>
          <w:rFonts w:ascii="Arial" w:hAnsi="Arial" w:cs="Arial"/>
          <w:sz w:val="20"/>
          <w:szCs w:val="20"/>
          <w:lang w:val="en-US"/>
        </w:rPr>
        <w:t>X</w:t>
      </w:r>
      <w:r w:rsidRPr="00191237">
        <w:rPr>
          <w:rFonts w:ascii="Arial" w:hAnsi="Arial" w:cs="Arial"/>
          <w:sz w:val="20"/>
          <w:szCs w:val="20"/>
          <w:vertAlign w:val="superscript"/>
          <w:lang w:val="en-US"/>
        </w:rPr>
        <w:t>2</w:t>
      </w:r>
      <w:r>
        <w:rPr>
          <w:rFonts w:ascii="Arial" w:hAnsi="Arial" w:cs="Arial"/>
          <w:sz w:val="20"/>
          <w:szCs w:val="20"/>
          <w:lang w:val="en-US"/>
        </w:rPr>
        <w:t xml:space="preserve"> test, </w:t>
      </w:r>
      <w:proofErr w:type="spellStart"/>
      <w:r w:rsidRPr="00191237">
        <w:rPr>
          <w:rFonts w:ascii="Arial" w:hAnsi="Arial" w:cs="Arial"/>
          <w:sz w:val="20"/>
          <w:szCs w:val="20"/>
          <w:vertAlign w:val="superscript"/>
          <w:lang w:val="en-US"/>
        </w:rPr>
        <w:t>b</w:t>
      </w:r>
      <w:r>
        <w:rPr>
          <w:rFonts w:ascii="Arial" w:hAnsi="Arial" w:cs="Arial"/>
          <w:sz w:val="20"/>
          <w:szCs w:val="20"/>
          <w:lang w:val="en-US"/>
        </w:rPr>
        <w:t>Fisherov</w:t>
      </w:r>
      <w:proofErr w:type="spellEnd"/>
      <w:r>
        <w:rPr>
          <w:rFonts w:ascii="Arial" w:hAnsi="Arial" w:cs="Arial"/>
          <w:sz w:val="20"/>
          <w:szCs w:val="20"/>
          <w:lang w:val="en-US"/>
        </w:rPr>
        <w:t xml:space="preserve"> </w:t>
      </w:r>
      <w:proofErr w:type="spellStart"/>
      <w:r>
        <w:rPr>
          <w:rFonts w:ascii="Arial" w:hAnsi="Arial" w:cs="Arial"/>
          <w:sz w:val="20"/>
          <w:szCs w:val="20"/>
          <w:lang w:val="en-US"/>
        </w:rPr>
        <w:t>egzaktni</w:t>
      </w:r>
      <w:proofErr w:type="spellEnd"/>
      <w:r>
        <w:rPr>
          <w:rFonts w:ascii="Arial" w:hAnsi="Arial" w:cs="Arial"/>
          <w:sz w:val="20"/>
          <w:szCs w:val="20"/>
          <w:lang w:val="en-US"/>
        </w:rPr>
        <w:t xml:space="preserve"> test, </w:t>
      </w:r>
      <w:proofErr w:type="spellStart"/>
      <w:r w:rsidRPr="00191237">
        <w:rPr>
          <w:rFonts w:ascii="Arial" w:hAnsi="Arial" w:cs="Arial"/>
          <w:sz w:val="20"/>
          <w:szCs w:val="20"/>
          <w:vertAlign w:val="superscript"/>
          <w:lang w:val="en-US"/>
        </w:rPr>
        <w:t>c</w:t>
      </w:r>
      <w:r w:rsidRPr="00191237">
        <w:rPr>
          <w:rFonts w:ascii="Arial" w:hAnsi="Arial" w:cs="Arial"/>
          <w:sz w:val="20"/>
          <w:szCs w:val="20"/>
          <w:lang w:val="en-US"/>
        </w:rPr>
        <w:t>Mann-Whitneyjev</w:t>
      </w:r>
      <w:proofErr w:type="spellEnd"/>
      <w:r w:rsidRPr="00191237">
        <w:rPr>
          <w:rFonts w:ascii="Arial" w:hAnsi="Arial" w:cs="Arial"/>
          <w:sz w:val="20"/>
          <w:szCs w:val="20"/>
          <w:lang w:val="en-US"/>
        </w:rPr>
        <w:t xml:space="preserve"> U test </w:t>
      </w:r>
    </w:p>
    <w:p w14:paraId="0A469DA8" w14:textId="77777777" w:rsidR="009F5A75" w:rsidRDefault="009F5A75" w:rsidP="009F5A75">
      <w:pPr>
        <w:spacing w:after="200" w:line="360" w:lineRule="auto"/>
        <w:ind w:left="360"/>
        <w:jc w:val="both"/>
        <w:rPr>
          <w:rFonts w:ascii="Arial" w:hAnsi="Arial" w:cs="Arial"/>
          <w:b/>
          <w:sz w:val="22"/>
          <w:szCs w:val="22"/>
        </w:rPr>
      </w:pPr>
      <w:r>
        <w:rPr>
          <w:rFonts w:ascii="Arial" w:hAnsi="Arial" w:cs="Arial"/>
          <w:b/>
          <w:sz w:val="22"/>
          <w:szCs w:val="22"/>
        </w:rPr>
        <w:t>4.3.</w:t>
      </w:r>
      <w:r w:rsidRPr="00CA041A">
        <w:rPr>
          <w:rFonts w:ascii="Arial" w:hAnsi="Arial" w:cs="Arial"/>
          <w:b/>
          <w:sz w:val="22"/>
          <w:szCs w:val="22"/>
        </w:rPr>
        <w:t xml:space="preserve"> Usporedba kliničkih i demografskih parametara bolesnika koji su imali </w:t>
      </w:r>
      <w:r>
        <w:rPr>
          <w:rFonts w:ascii="Arial" w:hAnsi="Arial" w:cs="Arial"/>
          <w:b/>
          <w:sz w:val="22"/>
          <w:szCs w:val="22"/>
        </w:rPr>
        <w:t>teške kožne promjene s ostalim bolesnicima</w:t>
      </w:r>
    </w:p>
    <w:p w14:paraId="521AE4C9" w14:textId="77777777" w:rsidR="005021C1" w:rsidRPr="009F5A75" w:rsidRDefault="00E87ED5" w:rsidP="00941368">
      <w:pPr>
        <w:spacing w:after="200" w:line="360" w:lineRule="auto"/>
        <w:jc w:val="both"/>
        <w:rPr>
          <w:rFonts w:ascii="Arial" w:hAnsi="Arial" w:cs="Arial"/>
          <w:b/>
          <w:sz w:val="22"/>
          <w:szCs w:val="22"/>
        </w:rPr>
      </w:pPr>
      <w:r w:rsidRPr="00FF1184">
        <w:rPr>
          <w:rFonts w:ascii="Arial" w:hAnsi="Arial" w:cs="Arial"/>
          <w:kern w:val="0"/>
          <w:sz w:val="22"/>
          <w:szCs w:val="22"/>
          <w:shd w:val="clear" w:color="auto" w:fill="FFFFFF"/>
        </w:rPr>
        <w:t>Također nije uočena statistički značajna razlika u zahvaćanju gastrointestinalnog sustava (45,5% u odnosu na 42,6%, p=0,852) i pojavnosti IgAVN-a (45,5% u odnosu na 23,8%, p=0,146) u bolesnika s teškim kožnim promjenama u odnosu na sve preostale bolesnike. Među 11 bolesnika s teškim kožnim promjenama njih 10 (90,9%) liječeno je sistemskim glukokortikoidima dok je u samo jednog bolesnika za ulceracije primijenjena lokalna glukokortikoidna terapija. Bolesnici s ulceracijama i nekrozama su statistički značajnije liječeni sistemskom glukokortikoidnom terapijom u odnosu na sve ostale bolesnike (90,9% u odnosu na 57,8%, p=0,031). Kod 1 bolesnika (9,1%) nakon ulceracija zaostali su ožiljci, a kod 3 bolesnika (27,3%) hiperpigmentacije. Svi bolesnici praćeni su barem 6 mjeseci tijekom kojeg su se recidivi kožnog osipa javili kod 47 bolesnika (20,1%). U 224 bolesnika (95,8%) s IgAV-om došlo je do potpunog izlječenja dok je njih 10 (4,3%) imalo IgAVN s proteinurijom &lt;1 g/dU te je dalje nastavljeno njihovo kliničko praćenje.</w:t>
      </w:r>
    </w:p>
    <w:p w14:paraId="6CC7DA0B" w14:textId="77777777" w:rsidR="005021C1" w:rsidRPr="00941368" w:rsidRDefault="009F5A75" w:rsidP="004F1C7F">
      <w:pPr>
        <w:pStyle w:val="headingmoji"/>
      </w:pPr>
      <w:r w:rsidRPr="00941368">
        <w:t>RASPRAVA</w:t>
      </w:r>
      <w:r w:rsidR="00E87ED5" w:rsidRPr="00941368">
        <w:t xml:space="preserve">                                                                                                                                                           </w:t>
      </w:r>
    </w:p>
    <w:p w14:paraId="4A04CED5" w14:textId="77777777" w:rsidR="005021C1" w:rsidRPr="00FF1184" w:rsidRDefault="00E87ED5" w:rsidP="00FF1184">
      <w:pPr>
        <w:spacing w:after="200" w:line="360" w:lineRule="auto"/>
        <w:jc w:val="both"/>
        <w:rPr>
          <w:rFonts w:ascii="Arial" w:hAnsi="Arial" w:cs="Arial"/>
          <w:sz w:val="22"/>
          <w:szCs w:val="22"/>
        </w:rPr>
      </w:pPr>
      <w:r w:rsidRPr="00FF1184">
        <w:rPr>
          <w:rFonts w:ascii="Arial" w:hAnsi="Arial" w:cs="Arial"/>
          <w:sz w:val="22"/>
          <w:szCs w:val="22"/>
        </w:rPr>
        <w:t>Svrha ovog retrospektivnog istraživanja provedenog u Referentnom centru za pedijatrijsku i adolescentnu reumatologiju Republike Hrvatske bila je analizirati kožne manifestacije, ključni klinički kriterij za dijagnozu ovog najčešćeg vaskulitisa dječje dobi te ukazati na moguću povezanost osobitosti kožnih promjena s drugim kliničkim i laboratorijskim značajkama bolesti. U najvećeg broja djece s IgAV-om kožne promjene su tipične u vidu palpabilne netrombocitopenične purpure lokalizirane po donjim udovima i glutealno (5,6). U našoj kohorti od 234 bolesnika svi su imali kožni osip u predjelu donjih udova, najčešće po potkoljenicama i stopalima, a tipičan palpabilni kožni osip sveukupno imalo je 204 bolesnika (87,2%) što u praktičnom smislu kliničaru s velikom sigurnošću omogućuje dijagnosticiranje bolesti. Međutim, moguća je i pojava nešto manje uobičajenih kožnih promjena poput papula, makula ili hematoma u kombinaciji s tipičnim osipom.  Najteže kožne promjene u vidu ulceracija i nekroza razvilo je 11 bolesnika (4,7%) što je u skladu s literaturnim podacima (6,7). Točan uzrok i mehanizam nastanka takvih kožnih promjena u IgAV-u nisu jasni, a uključuju traumu, pritisak, fragilitet kože, imunološku disregulaciju, lokalno djelovanje leukocitne esteraze i matriks metaloproteinaza 2 i 9 (MMP-2 i MMP-9) koje dovode do proteolize kolagena u koži (13). Proučavajući mogući utjecaj težih kožnih manifestacija na kliničke osobitosti bolesti uočili smo da su literaturni podaci oskudni i kontradiktorni (9,14-16). U ovoj kohorti od 234 bolesnika s IgAV-om, u kojoj je njih 11 (4,7%) razvilo najteže kožne promjene, nije uočena značajna povezanost s drugim kliničkim manifestacijama bolesti, ponajprije gastrointestinalnim manifestacijama i IgAVN-om.</w:t>
      </w:r>
    </w:p>
    <w:p w14:paraId="357F9E84" w14:textId="7F2386D3" w:rsidR="005021C1" w:rsidRPr="00FF1184" w:rsidRDefault="009312CD" w:rsidP="00FF1184">
      <w:pPr>
        <w:spacing w:after="200" w:line="360" w:lineRule="auto"/>
        <w:jc w:val="both"/>
        <w:rPr>
          <w:rFonts w:ascii="Arial" w:hAnsi="Arial" w:cs="Arial"/>
          <w:sz w:val="22"/>
          <w:szCs w:val="22"/>
        </w:rPr>
      </w:pPr>
      <w:r>
        <w:rPr>
          <w:rFonts w:ascii="Arial" w:hAnsi="Arial" w:cs="Arial"/>
          <w:sz w:val="22"/>
          <w:szCs w:val="22"/>
        </w:rPr>
        <w:t>Više istraživanja</w:t>
      </w:r>
      <w:r w:rsidR="00E87ED5" w:rsidRPr="00FF1184">
        <w:rPr>
          <w:rFonts w:ascii="Arial" w:hAnsi="Arial" w:cs="Arial"/>
          <w:sz w:val="22"/>
          <w:szCs w:val="22"/>
        </w:rPr>
        <w:t xml:space="preserve"> ispitivalo</w:t>
      </w:r>
      <w:r>
        <w:rPr>
          <w:rFonts w:ascii="Arial" w:hAnsi="Arial" w:cs="Arial"/>
          <w:sz w:val="22"/>
          <w:szCs w:val="22"/>
        </w:rPr>
        <w:t xml:space="preserve"> je</w:t>
      </w:r>
      <w:r w:rsidR="00E87ED5" w:rsidRPr="00FF1184">
        <w:rPr>
          <w:rFonts w:ascii="Arial" w:hAnsi="Arial" w:cs="Arial"/>
          <w:sz w:val="22"/>
          <w:szCs w:val="22"/>
        </w:rPr>
        <w:t xml:space="preserve"> postoji li povezanost između rasprostranjenosti kožnog osipa i sistemskih manifestacija u IgAV-u (9-12,17,18). Neka istraživanja pokazala su da kožne promjene raširene iznad razine struka značajno povećavaju rizik za zahvaćanje gastrointestinalnog sustava (9,11,12) i razvoj IgAVN-a (9,10,17) dok su istraživanja provedena na skupini odraslih bolesnika s IgAV-om pokazala značajniju povezanost s razvojem artritisa (17). S druge strane, Poterucha i suradnici nisu pronašli vezu između rasprostranjenosti kožnog osipa i sistemskih manifestacija u IgAV-u (18). U našoj kohorti bolesnika također je uočeno da bolesnici s kožnim osipom proširenim iznad donjih udova imaju češće zahvaćen gastrointestinalni sustav i veću pojavnost IgAVN-a. Druga povezanost između kožnih promjena proširenih iznad donjih udova i IgAVN-a očituje se i u većoj učestalosti proteinurije i duljem vremenu potrebnom za nastanak IgAVN-a. Ovi bolesnici bili su češće podvrgnuti invazivnim postupcima poput biopsije bubrega. Budući da kožni osip koji se proširio od donjih udova i gluteusa na ruke, trup i lice označava da upalni proces u malim krvnim žilama tinja uz kontinuirano otpuštanje medijatora upale, čini se logičnim zaključiti da takvi bolesnici s većom učestalošću razvijaju gastrointestinalne manifestacije i IgAVN, imaju značajno dulju hospitalizaciju, kao i potrebu za liječenjem sistemskim glukokortikoidima i antihipertenzivnim lijekovima. Prema SHARE (engl. Single-Hub Access for Pediatric Rheumatology in Europe) preporukama peroralni prednizolon indiciran je u liječenju blagog i umjerenog IgAVN-a, dok je antihipertenzive iz skupine inhibitora angiotenzin konvertaze poželjno uključiti u svih bolesnika u kojih se u sklopu IgAVN-a pojavila proteinurija radi povoljnog učinka na prevenciju ili ograničavanje sekundarnog glomerularnog oštećenja (8). Premda u SHARE preporukama nisu navedene smjernice za liječenje proširenih kožnih promjena kao i onih najtežih, većina naših bolesnika je i u takvim slučajevima dobivala sistemske glukokortikoide, osobito bolesnici s ulceracijama i nekrozama.  Budući da je u velikog broja bolesnika dijagnoza IgAV-a jasna već na osnovi kliničke slike, biopsija kože rijetko je indicirana. O tome također govore i SHARE preporuke prema kojima je biopsija kože potrebna u slučaju atipičnog osipa kako bi se isključile druge dijagnoze, osobito ANCA-povezani vaskulitisi koji se u starije djece u početku bolesti mogu očitovati simptomima i znakovima kompatibilnim s IgAV-om. U slučaju da postoji indikacija za biopsiju kože, ona se treba napraviti na mjestu najsvježijih kožnih promjena (8). U našem istraživanju biopsija kože je učinjena u samo jednog bolesnika </w:t>
      </w:r>
      <w:r w:rsidR="00E87ED5" w:rsidRPr="00FF1184">
        <w:rPr>
          <w:rFonts w:ascii="Arial" w:hAnsi="Arial" w:cs="Arial"/>
          <w:kern w:val="0"/>
          <w:sz w:val="22"/>
          <w:szCs w:val="22"/>
        </w:rPr>
        <w:t>s teškim kožnim promjenama i atipičnim izgledom purpuričnog osipa</w:t>
      </w:r>
      <w:r w:rsidR="00E87ED5" w:rsidRPr="00FF1184">
        <w:rPr>
          <w:rFonts w:ascii="Arial" w:hAnsi="Arial" w:cs="Arial"/>
          <w:sz w:val="22"/>
          <w:szCs w:val="22"/>
        </w:rPr>
        <w:t xml:space="preserve">. Stoga se može reći da je biopsija kože u djece s IgAV-om izuzetak, a ne pravilo. Svi </w:t>
      </w:r>
      <w:r w:rsidR="00E87ED5" w:rsidRPr="00FF1184">
        <w:rPr>
          <w:rFonts w:ascii="Arial" w:hAnsi="Arial" w:cs="Arial"/>
          <w:sz w:val="22"/>
          <w:szCs w:val="22"/>
          <w:shd w:val="clear" w:color="auto" w:fill="FFFFFF"/>
        </w:rPr>
        <w:t xml:space="preserve">bolesnici praćeni su barem 6 mjeseci i kod svih je došlo do oporavka kožnih promjena, osim u jednog bolesnika s ulceracijama koji je razvio ožiljke. Deset bolesnika i nadalje se klinički prati i liječi zbog IgAVN-a.  </w:t>
      </w:r>
    </w:p>
    <w:p w14:paraId="7BF0FF52" w14:textId="77777777" w:rsidR="005021C1" w:rsidRDefault="00E87ED5" w:rsidP="00BD45CD">
      <w:pPr>
        <w:spacing w:after="200" w:line="360" w:lineRule="auto"/>
        <w:jc w:val="both"/>
        <w:rPr>
          <w:rFonts w:ascii="Arial" w:hAnsi="Arial" w:cs="Arial"/>
          <w:sz w:val="22"/>
          <w:szCs w:val="22"/>
        </w:rPr>
      </w:pPr>
      <w:r w:rsidRPr="00FF1184">
        <w:rPr>
          <w:rFonts w:ascii="Arial" w:hAnsi="Arial" w:cs="Arial"/>
          <w:sz w:val="22"/>
          <w:szCs w:val="22"/>
        </w:rPr>
        <w:t>Glavno ograničenje u ovom radu retrospektivna je priroda istraživanja kao i mali broj bolesnika s najtežim kožnim manifestacijama u vidu ulceracija i nekroza na osnovu čega bi se mogle donijeti preporuke vezane uz terapiju i praćenje takvih bolesnika, što svakako ostaje jedan od budućih izazova. Ipak, dali smo pregled kožnih manifestacija najčešćeg vaskulitisa dječje dobi u Republici Hrvatskoj u kojem smo uočili da je učestalost teških kožnih promjena u IgAV-u rjeđa od klasične slike purpuričnog osipa i/ili petehija. Također smo uočili da su bolesnici s kožnim osipom koji se proširio od donjih udova na ruke, trup i lice imali češće sistemske manifestacije bolesti, odnosno češće zahvaćen gastrointestinalni sustav i veću pojavnost IgAVN-a, što svakako nalaže pomnije kliničko praćenje takvih bolesnika kako bi se na vrijeme prepoznale i liječile moguće komplikacije IgAV-a.</w:t>
      </w:r>
    </w:p>
    <w:p w14:paraId="677FF708" w14:textId="77777777" w:rsidR="00104A30" w:rsidRPr="00FF1184" w:rsidRDefault="00104A30" w:rsidP="00BD45CD">
      <w:pPr>
        <w:spacing w:after="200" w:line="360" w:lineRule="auto"/>
        <w:jc w:val="both"/>
        <w:rPr>
          <w:rFonts w:ascii="Arial" w:hAnsi="Arial" w:cs="Arial"/>
          <w:sz w:val="22"/>
          <w:szCs w:val="22"/>
        </w:rPr>
      </w:pPr>
    </w:p>
    <w:p w14:paraId="3334CCB1" w14:textId="77777777" w:rsidR="005021C1" w:rsidRPr="00941368" w:rsidRDefault="00941368" w:rsidP="004F1C7F">
      <w:pPr>
        <w:pStyle w:val="headingmoji"/>
      </w:pPr>
      <w:r w:rsidRPr="00941368">
        <w:t>ZAKLJUČCI</w:t>
      </w:r>
    </w:p>
    <w:p w14:paraId="0B9D7387" w14:textId="5810A31A" w:rsidR="00941368" w:rsidRDefault="00941368" w:rsidP="004F1C7F">
      <w:pPr>
        <w:widowControl/>
        <w:suppressAutoHyphens w:val="0"/>
        <w:spacing w:after="160" w:line="360" w:lineRule="auto"/>
        <w:jc w:val="both"/>
        <w:rPr>
          <w:rFonts w:ascii="Arial" w:hAnsi="Arial" w:cs="Arial"/>
          <w:kern w:val="0"/>
          <w:sz w:val="22"/>
          <w:szCs w:val="22"/>
          <w:lang w:eastAsia="en-US" w:bidi="ar-SA"/>
        </w:rPr>
      </w:pPr>
      <w:r>
        <w:rPr>
          <w:rFonts w:ascii="Arial" w:hAnsi="Arial" w:cs="Arial"/>
          <w:kern w:val="0"/>
          <w:sz w:val="22"/>
          <w:szCs w:val="22"/>
          <w:lang w:eastAsia="en-US" w:bidi="ar-SA"/>
        </w:rPr>
        <w:t xml:space="preserve">Kroz ovo istraživanje uočili smo da bolesnici s kožnim osipom proširenim iznad donjih udova imaju češće zahvaćen gastrointestinalni sustav, češću pojavu IgAVN-a, nižu razinu trombocita i veću proteinuriju. Učestalost teških kožnih promjena poput ulceracija, nekroza i bula u IgAV-u rjeđa je </w:t>
      </w:r>
      <w:r w:rsidR="00BD45CD">
        <w:rPr>
          <w:rFonts w:ascii="Arial" w:hAnsi="Arial" w:cs="Arial"/>
          <w:kern w:val="0"/>
          <w:sz w:val="22"/>
          <w:szCs w:val="22"/>
          <w:lang w:eastAsia="en-US" w:bidi="ar-SA"/>
        </w:rPr>
        <w:t xml:space="preserve">od klasične slike kožnog osipa i </w:t>
      </w:r>
      <w:r>
        <w:rPr>
          <w:rFonts w:ascii="Arial" w:hAnsi="Arial" w:cs="Arial"/>
          <w:kern w:val="0"/>
          <w:sz w:val="22"/>
          <w:szCs w:val="22"/>
          <w:lang w:eastAsia="en-US" w:bidi="ar-SA"/>
        </w:rPr>
        <w:t xml:space="preserve">takvi bolesnici zahtijevali su liječenje sustavnim glukokortikoidima i antihipertenzivima. </w:t>
      </w:r>
      <w:r w:rsidR="009312CD">
        <w:rPr>
          <w:rFonts w:ascii="Arial" w:hAnsi="Arial" w:cs="Arial"/>
          <w:kern w:val="0"/>
          <w:sz w:val="22"/>
          <w:szCs w:val="22"/>
          <w:lang w:eastAsia="en-US" w:bidi="ar-SA"/>
        </w:rPr>
        <w:t xml:space="preserve">Također, u dijelu tih bolesnika zaostale su i dugoročne posljedice kožnog osipa poput ožiljaka i hiperpigmentacije. </w:t>
      </w:r>
      <w:r w:rsidR="00BD45CD">
        <w:rPr>
          <w:rFonts w:ascii="Arial" w:hAnsi="Arial" w:cs="Arial"/>
          <w:kern w:val="0"/>
          <w:sz w:val="22"/>
          <w:szCs w:val="22"/>
          <w:lang w:eastAsia="en-US" w:bidi="ar-SA"/>
        </w:rPr>
        <w:t>Sve nam to govori u prilog kako kožne manifestacije IgAV-a utječu na kliničku sliku bolesti odnosno što je kožni osip prošireniji i teži, bit će zahvaćeno više organa i organskih sustava te će liječenje također biti intenzivnije.</w:t>
      </w:r>
    </w:p>
    <w:p w14:paraId="3265B1A0"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025C07B8"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1FA0C0FD"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751864A7"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43DA5B18"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2AE58E72"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43968661" w14:textId="77777777" w:rsidR="00A95740" w:rsidRDefault="00A95740" w:rsidP="00BD45CD">
      <w:pPr>
        <w:widowControl/>
        <w:suppressAutoHyphens w:val="0"/>
        <w:spacing w:after="160" w:line="360" w:lineRule="auto"/>
        <w:jc w:val="both"/>
        <w:rPr>
          <w:rFonts w:ascii="Arial" w:hAnsi="Arial" w:cs="Arial"/>
          <w:kern w:val="0"/>
          <w:sz w:val="22"/>
          <w:szCs w:val="22"/>
          <w:lang w:eastAsia="en-US" w:bidi="ar-SA"/>
        </w:rPr>
      </w:pPr>
    </w:p>
    <w:p w14:paraId="00ADFE59" w14:textId="77777777" w:rsidR="00A95740" w:rsidRDefault="00A95740" w:rsidP="00BD45CD">
      <w:pPr>
        <w:widowControl/>
        <w:suppressAutoHyphens w:val="0"/>
        <w:spacing w:after="160" w:line="360" w:lineRule="auto"/>
        <w:jc w:val="both"/>
        <w:rPr>
          <w:rFonts w:ascii="Arial" w:hAnsi="Arial" w:cs="Arial"/>
          <w:kern w:val="0"/>
          <w:sz w:val="22"/>
          <w:szCs w:val="22"/>
          <w:lang w:eastAsia="en-US" w:bidi="ar-SA"/>
        </w:rPr>
      </w:pPr>
    </w:p>
    <w:p w14:paraId="2E035E45"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524450E9"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47F8DC76" w14:textId="77777777" w:rsidR="00104A30" w:rsidRDefault="00104A30" w:rsidP="00BD45CD">
      <w:pPr>
        <w:widowControl/>
        <w:suppressAutoHyphens w:val="0"/>
        <w:spacing w:after="160" w:line="360" w:lineRule="auto"/>
        <w:jc w:val="both"/>
        <w:rPr>
          <w:rFonts w:ascii="Arial" w:hAnsi="Arial" w:cs="Arial"/>
          <w:kern w:val="0"/>
          <w:sz w:val="22"/>
          <w:szCs w:val="22"/>
          <w:lang w:eastAsia="en-US" w:bidi="ar-SA"/>
        </w:rPr>
      </w:pPr>
    </w:p>
    <w:p w14:paraId="571338AF" w14:textId="77777777" w:rsidR="004D7A0F" w:rsidRDefault="004D7A0F" w:rsidP="00BD45CD">
      <w:pPr>
        <w:widowControl/>
        <w:suppressAutoHyphens w:val="0"/>
        <w:spacing w:after="160" w:line="360" w:lineRule="auto"/>
        <w:jc w:val="both"/>
        <w:rPr>
          <w:rFonts w:ascii="Arial" w:hAnsi="Arial" w:cs="Arial"/>
          <w:kern w:val="0"/>
          <w:sz w:val="22"/>
          <w:szCs w:val="22"/>
          <w:lang w:eastAsia="en-US" w:bidi="ar-SA"/>
        </w:rPr>
      </w:pPr>
    </w:p>
    <w:p w14:paraId="312E6ABE" w14:textId="77777777" w:rsidR="00104A30" w:rsidRDefault="00104A30" w:rsidP="00BD45CD">
      <w:pPr>
        <w:widowControl/>
        <w:suppressAutoHyphens w:val="0"/>
        <w:spacing w:after="160" w:line="360" w:lineRule="auto"/>
        <w:jc w:val="both"/>
        <w:rPr>
          <w:rFonts w:ascii="Arial" w:hAnsi="Arial" w:cs="Arial"/>
          <w:kern w:val="0"/>
          <w:sz w:val="22"/>
          <w:szCs w:val="22"/>
          <w:lang w:eastAsia="en-US" w:bidi="ar-SA"/>
        </w:rPr>
      </w:pPr>
    </w:p>
    <w:p w14:paraId="5CC1C6A0" w14:textId="77777777" w:rsidR="00104A30" w:rsidRDefault="00104A30" w:rsidP="00BD45CD">
      <w:pPr>
        <w:widowControl/>
        <w:suppressAutoHyphens w:val="0"/>
        <w:spacing w:after="160" w:line="360" w:lineRule="auto"/>
        <w:jc w:val="both"/>
        <w:rPr>
          <w:rFonts w:ascii="Arial" w:hAnsi="Arial" w:cs="Arial"/>
          <w:kern w:val="0"/>
          <w:sz w:val="22"/>
          <w:szCs w:val="22"/>
          <w:lang w:eastAsia="en-US" w:bidi="ar-SA"/>
        </w:rPr>
      </w:pPr>
    </w:p>
    <w:p w14:paraId="10EDCC88" w14:textId="77777777" w:rsidR="00BD45CD" w:rsidRDefault="00BD45CD" w:rsidP="00BD45CD">
      <w:pPr>
        <w:widowControl/>
        <w:suppressAutoHyphens w:val="0"/>
        <w:spacing w:after="160" w:line="360" w:lineRule="auto"/>
        <w:jc w:val="both"/>
        <w:rPr>
          <w:rFonts w:ascii="Arial" w:hAnsi="Arial" w:cs="Arial"/>
          <w:kern w:val="0"/>
          <w:sz w:val="22"/>
          <w:szCs w:val="22"/>
          <w:lang w:eastAsia="en-US" w:bidi="ar-SA"/>
        </w:rPr>
      </w:pPr>
    </w:p>
    <w:p w14:paraId="0DCC402C" w14:textId="77777777" w:rsidR="005021C1" w:rsidRPr="00BD45CD" w:rsidRDefault="00BD45CD" w:rsidP="004F1C7F">
      <w:pPr>
        <w:pStyle w:val="headingmoji"/>
        <w:rPr>
          <w:sz w:val="22"/>
        </w:rPr>
      </w:pPr>
      <w:r>
        <w:t>ZAHVALE</w:t>
      </w:r>
    </w:p>
    <w:p w14:paraId="6FC68563" w14:textId="77777777" w:rsidR="00BD45CD" w:rsidRDefault="00313911" w:rsidP="00392F18">
      <w:pPr>
        <w:widowControl/>
        <w:suppressAutoHyphens w:val="0"/>
        <w:spacing w:after="160" w:line="360" w:lineRule="auto"/>
        <w:jc w:val="both"/>
        <w:rPr>
          <w:rFonts w:ascii="Arial" w:hAnsi="Arial" w:cs="Arial"/>
          <w:color w:val="000000"/>
          <w:sz w:val="22"/>
          <w:szCs w:val="22"/>
        </w:rPr>
      </w:pPr>
      <w:r>
        <w:rPr>
          <w:rFonts w:ascii="Arial" w:hAnsi="Arial" w:cs="Arial"/>
          <w:color w:val="000000"/>
          <w:sz w:val="22"/>
          <w:szCs w:val="22"/>
        </w:rPr>
        <w:t>Posebno se zahvaljujem mentorici prof. dr. sc. Mariji Jelušić Dražić na svoj pomoći, trudu, povjerenju, utrošenome vremenu i znanju koje mi je prenijela jer bez nje ovaj rad ne bi ni postojao.</w:t>
      </w:r>
    </w:p>
    <w:p w14:paraId="2DF82A04" w14:textId="77777777" w:rsidR="00313911" w:rsidRDefault="00313911" w:rsidP="00392F18">
      <w:pPr>
        <w:widowControl/>
        <w:suppressAutoHyphens w:val="0"/>
        <w:spacing w:after="160" w:line="360" w:lineRule="auto"/>
        <w:jc w:val="both"/>
        <w:rPr>
          <w:rFonts w:ascii="Arial" w:hAnsi="Arial" w:cs="Arial"/>
          <w:color w:val="000000"/>
          <w:sz w:val="22"/>
          <w:szCs w:val="22"/>
        </w:rPr>
      </w:pPr>
      <w:r>
        <w:rPr>
          <w:rFonts w:ascii="Arial" w:hAnsi="Arial" w:cs="Arial"/>
          <w:color w:val="000000"/>
          <w:sz w:val="22"/>
          <w:szCs w:val="22"/>
        </w:rPr>
        <w:t xml:space="preserve">Zahvalan sam i zaposlenicima Klinike za pedijatriju Kliničkog bolničkog centra Zagreb, a posebno </w:t>
      </w:r>
      <w:r w:rsidR="00E67D98">
        <w:rPr>
          <w:rFonts w:ascii="Arial" w:hAnsi="Arial" w:cs="Arial"/>
          <w:color w:val="000000"/>
          <w:sz w:val="22"/>
          <w:szCs w:val="22"/>
        </w:rPr>
        <w:t>dr. Mariu Šestanu, dr. Natasiji Kifer, dr. Marijanu Frkoviću i dr. Danici Grgurić, kao i dr. Martini Held na velikoj pomoći i doprinosu ovome istraživanju.</w:t>
      </w:r>
    </w:p>
    <w:p w14:paraId="2470A975" w14:textId="77777777" w:rsidR="00BD45CD" w:rsidRPr="00BD45CD" w:rsidRDefault="00BD45CD" w:rsidP="00FF1184">
      <w:pPr>
        <w:widowControl/>
        <w:suppressAutoHyphens w:val="0"/>
        <w:spacing w:after="160" w:line="360" w:lineRule="auto"/>
        <w:rPr>
          <w:rFonts w:ascii="Arial" w:hAnsi="Arial" w:cs="Arial"/>
          <w:color w:val="000000"/>
          <w:sz w:val="22"/>
          <w:szCs w:val="22"/>
        </w:rPr>
      </w:pPr>
    </w:p>
    <w:p w14:paraId="1121A45B" w14:textId="77777777" w:rsidR="00BD45CD" w:rsidRPr="00BD45CD" w:rsidRDefault="00BD45CD" w:rsidP="00FF1184">
      <w:pPr>
        <w:widowControl/>
        <w:suppressAutoHyphens w:val="0"/>
        <w:spacing w:after="160" w:line="360" w:lineRule="auto"/>
        <w:rPr>
          <w:rFonts w:ascii="Arial" w:hAnsi="Arial" w:cs="Arial"/>
          <w:color w:val="000000"/>
          <w:sz w:val="22"/>
          <w:szCs w:val="22"/>
        </w:rPr>
      </w:pPr>
    </w:p>
    <w:p w14:paraId="52AAE909" w14:textId="77777777" w:rsidR="00BD45CD" w:rsidRPr="00BD45CD" w:rsidRDefault="00BD45CD" w:rsidP="00FF1184">
      <w:pPr>
        <w:widowControl/>
        <w:suppressAutoHyphens w:val="0"/>
        <w:spacing w:after="160" w:line="360" w:lineRule="auto"/>
        <w:rPr>
          <w:rFonts w:ascii="Arial" w:hAnsi="Arial" w:cs="Arial"/>
          <w:color w:val="000000"/>
          <w:sz w:val="22"/>
          <w:szCs w:val="22"/>
        </w:rPr>
      </w:pPr>
    </w:p>
    <w:p w14:paraId="01BADE08" w14:textId="77777777" w:rsidR="00BD45CD" w:rsidRPr="00BD45CD" w:rsidRDefault="00BD45CD" w:rsidP="00FF1184">
      <w:pPr>
        <w:widowControl/>
        <w:suppressAutoHyphens w:val="0"/>
        <w:spacing w:after="160" w:line="360" w:lineRule="auto"/>
        <w:rPr>
          <w:rFonts w:ascii="Arial" w:hAnsi="Arial" w:cs="Arial"/>
          <w:color w:val="000000"/>
          <w:sz w:val="22"/>
          <w:szCs w:val="22"/>
        </w:rPr>
      </w:pPr>
    </w:p>
    <w:p w14:paraId="78E491A0" w14:textId="77777777" w:rsidR="00BD45CD" w:rsidRDefault="00BD45CD" w:rsidP="00FF1184">
      <w:pPr>
        <w:widowControl/>
        <w:suppressAutoHyphens w:val="0"/>
        <w:spacing w:after="160" w:line="360" w:lineRule="auto"/>
        <w:rPr>
          <w:rFonts w:ascii="Arial" w:hAnsi="Arial" w:cs="Arial"/>
          <w:color w:val="000000"/>
          <w:sz w:val="22"/>
          <w:szCs w:val="22"/>
        </w:rPr>
      </w:pPr>
    </w:p>
    <w:p w14:paraId="73B39438" w14:textId="77777777" w:rsidR="00E67D98" w:rsidRDefault="00E67D98" w:rsidP="00FF1184">
      <w:pPr>
        <w:widowControl/>
        <w:suppressAutoHyphens w:val="0"/>
        <w:spacing w:after="160" w:line="360" w:lineRule="auto"/>
        <w:rPr>
          <w:rFonts w:ascii="Arial" w:hAnsi="Arial" w:cs="Arial"/>
          <w:color w:val="000000"/>
          <w:sz w:val="22"/>
          <w:szCs w:val="22"/>
        </w:rPr>
      </w:pPr>
    </w:p>
    <w:p w14:paraId="4B4A2B3E" w14:textId="77777777" w:rsidR="00E67D98" w:rsidRDefault="00E67D98" w:rsidP="00FF1184">
      <w:pPr>
        <w:widowControl/>
        <w:suppressAutoHyphens w:val="0"/>
        <w:spacing w:after="160" w:line="360" w:lineRule="auto"/>
        <w:rPr>
          <w:rFonts w:ascii="Arial" w:hAnsi="Arial" w:cs="Arial"/>
          <w:color w:val="000000"/>
          <w:sz w:val="22"/>
          <w:szCs w:val="22"/>
        </w:rPr>
      </w:pPr>
    </w:p>
    <w:p w14:paraId="7769CFF3" w14:textId="77777777" w:rsidR="005B7518" w:rsidRDefault="005B7518" w:rsidP="00FF1184">
      <w:pPr>
        <w:widowControl/>
        <w:suppressAutoHyphens w:val="0"/>
        <w:spacing w:after="160" w:line="360" w:lineRule="auto"/>
        <w:rPr>
          <w:rFonts w:ascii="Arial" w:hAnsi="Arial" w:cs="Arial"/>
          <w:color w:val="000000"/>
          <w:sz w:val="22"/>
          <w:szCs w:val="22"/>
        </w:rPr>
      </w:pPr>
    </w:p>
    <w:p w14:paraId="315B82BB" w14:textId="77777777" w:rsidR="005B7518" w:rsidRDefault="005B7518" w:rsidP="00FF1184">
      <w:pPr>
        <w:widowControl/>
        <w:suppressAutoHyphens w:val="0"/>
        <w:spacing w:after="160" w:line="360" w:lineRule="auto"/>
        <w:rPr>
          <w:rFonts w:ascii="Arial" w:hAnsi="Arial" w:cs="Arial"/>
          <w:color w:val="000000"/>
          <w:sz w:val="22"/>
          <w:szCs w:val="22"/>
        </w:rPr>
      </w:pPr>
    </w:p>
    <w:p w14:paraId="1EB317AD" w14:textId="77777777" w:rsidR="005B7518" w:rsidRDefault="005B7518" w:rsidP="00FF1184">
      <w:pPr>
        <w:widowControl/>
        <w:suppressAutoHyphens w:val="0"/>
        <w:spacing w:after="160" w:line="360" w:lineRule="auto"/>
        <w:rPr>
          <w:rFonts w:ascii="Arial" w:hAnsi="Arial" w:cs="Arial"/>
          <w:color w:val="000000"/>
          <w:sz w:val="22"/>
          <w:szCs w:val="22"/>
        </w:rPr>
      </w:pPr>
    </w:p>
    <w:p w14:paraId="57A01639" w14:textId="77777777" w:rsidR="00A95740" w:rsidRDefault="00A95740" w:rsidP="00FF1184">
      <w:pPr>
        <w:widowControl/>
        <w:suppressAutoHyphens w:val="0"/>
        <w:spacing w:after="160" w:line="360" w:lineRule="auto"/>
        <w:rPr>
          <w:rFonts w:ascii="Arial" w:hAnsi="Arial" w:cs="Arial"/>
          <w:color w:val="000000"/>
          <w:sz w:val="22"/>
          <w:szCs w:val="22"/>
        </w:rPr>
      </w:pPr>
    </w:p>
    <w:p w14:paraId="33816266" w14:textId="77777777" w:rsidR="00A95740" w:rsidRDefault="00A95740" w:rsidP="00FF1184">
      <w:pPr>
        <w:widowControl/>
        <w:suppressAutoHyphens w:val="0"/>
        <w:spacing w:after="160" w:line="360" w:lineRule="auto"/>
        <w:rPr>
          <w:rFonts w:ascii="Arial" w:hAnsi="Arial" w:cs="Arial"/>
          <w:color w:val="000000"/>
          <w:sz w:val="22"/>
          <w:szCs w:val="22"/>
        </w:rPr>
      </w:pPr>
    </w:p>
    <w:p w14:paraId="05A8A6CB" w14:textId="77777777" w:rsidR="00A95740" w:rsidRDefault="00A95740" w:rsidP="00FF1184">
      <w:pPr>
        <w:widowControl/>
        <w:suppressAutoHyphens w:val="0"/>
        <w:spacing w:after="160" w:line="360" w:lineRule="auto"/>
        <w:rPr>
          <w:rFonts w:ascii="Arial" w:hAnsi="Arial" w:cs="Arial"/>
          <w:color w:val="000000"/>
          <w:sz w:val="22"/>
          <w:szCs w:val="22"/>
        </w:rPr>
      </w:pPr>
    </w:p>
    <w:p w14:paraId="32137504" w14:textId="77777777" w:rsidR="005B7518" w:rsidRDefault="005B7518" w:rsidP="00FF1184">
      <w:pPr>
        <w:widowControl/>
        <w:suppressAutoHyphens w:val="0"/>
        <w:spacing w:after="160" w:line="360" w:lineRule="auto"/>
        <w:rPr>
          <w:rFonts w:ascii="Arial" w:hAnsi="Arial" w:cs="Arial"/>
          <w:color w:val="000000"/>
          <w:sz w:val="22"/>
          <w:szCs w:val="22"/>
        </w:rPr>
      </w:pPr>
    </w:p>
    <w:p w14:paraId="2F7CE7EE" w14:textId="77777777" w:rsidR="00E67D98" w:rsidRDefault="00E67D98" w:rsidP="00FF1184">
      <w:pPr>
        <w:widowControl/>
        <w:suppressAutoHyphens w:val="0"/>
        <w:spacing w:after="160" w:line="360" w:lineRule="auto"/>
        <w:rPr>
          <w:rFonts w:ascii="Arial" w:hAnsi="Arial" w:cs="Arial"/>
          <w:color w:val="000000"/>
          <w:sz w:val="22"/>
          <w:szCs w:val="22"/>
        </w:rPr>
      </w:pPr>
    </w:p>
    <w:p w14:paraId="65DA6841" w14:textId="77777777" w:rsidR="00E67D98" w:rsidRDefault="00E67D98" w:rsidP="00FF1184">
      <w:pPr>
        <w:widowControl/>
        <w:suppressAutoHyphens w:val="0"/>
        <w:spacing w:after="160" w:line="360" w:lineRule="auto"/>
        <w:rPr>
          <w:rFonts w:ascii="Arial" w:hAnsi="Arial" w:cs="Arial"/>
          <w:color w:val="000000"/>
          <w:sz w:val="22"/>
          <w:szCs w:val="22"/>
        </w:rPr>
      </w:pPr>
    </w:p>
    <w:p w14:paraId="06DE7ACE" w14:textId="77777777" w:rsidR="00BD45CD" w:rsidRDefault="00BD45CD" w:rsidP="00FF1184">
      <w:pPr>
        <w:widowControl/>
        <w:suppressAutoHyphens w:val="0"/>
        <w:spacing w:after="160" w:line="360" w:lineRule="auto"/>
        <w:rPr>
          <w:rFonts w:ascii="Arial" w:hAnsi="Arial" w:cs="Arial"/>
          <w:color w:val="000000"/>
          <w:sz w:val="22"/>
          <w:szCs w:val="22"/>
        </w:rPr>
      </w:pPr>
    </w:p>
    <w:p w14:paraId="2019E79C" w14:textId="77777777" w:rsidR="005B7518" w:rsidRPr="00BD45CD" w:rsidRDefault="005B7518" w:rsidP="00FF1184">
      <w:pPr>
        <w:widowControl/>
        <w:suppressAutoHyphens w:val="0"/>
        <w:spacing w:after="160" w:line="360" w:lineRule="auto"/>
        <w:rPr>
          <w:rFonts w:ascii="Arial" w:hAnsi="Arial" w:cs="Arial"/>
          <w:color w:val="000000"/>
          <w:sz w:val="22"/>
          <w:szCs w:val="22"/>
        </w:rPr>
      </w:pPr>
    </w:p>
    <w:p w14:paraId="1CD71D0C" w14:textId="77777777" w:rsidR="00BD45CD" w:rsidRPr="00E67D98" w:rsidRDefault="00E67D98" w:rsidP="004F1C7F">
      <w:pPr>
        <w:pStyle w:val="headingmoji"/>
      </w:pPr>
      <w:r>
        <w:t>POPIS LITERATURE</w:t>
      </w:r>
    </w:p>
    <w:p w14:paraId="038212E1" w14:textId="77777777" w:rsid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 xml:space="preserve">1.  Jelusic M, Sestan M, Giani T, Cimaz R. </w:t>
      </w:r>
      <w:hyperlink r:id="rId12">
        <w:r w:rsidRPr="005B7518">
          <w:rPr>
            <w:rFonts w:ascii="Arial" w:eastAsia="Times New Roman" w:hAnsi="Arial" w:cs="Arial"/>
            <w:kern w:val="0"/>
            <w:sz w:val="22"/>
            <w:szCs w:val="22"/>
            <w:shd w:val="clear" w:color="auto" w:fill="FFFFFF"/>
            <w:lang w:bidi="ar-SA"/>
          </w:rPr>
          <w:t>New insights and challenges associated with IgA vasculitis and IgA vasculitis with nephritis-is it time to change the paradigm of the most common systemic vasculitis in childhood?</w:t>
        </w:r>
      </w:hyperlink>
      <w:r w:rsidRPr="005B7518">
        <w:rPr>
          <w:rFonts w:ascii="Arial" w:eastAsia="Times New Roman" w:hAnsi="Arial" w:cs="Arial"/>
          <w:kern w:val="0"/>
          <w:sz w:val="22"/>
          <w:szCs w:val="22"/>
          <w:shd w:val="clear" w:color="auto" w:fill="FFFFFF"/>
          <w:lang w:bidi="ar-SA"/>
        </w:rPr>
        <w:t xml:space="preserve"> Front Pediatr. 2022; 10:853724. </w:t>
      </w:r>
      <w:r w:rsidRPr="005B7518">
        <w:rPr>
          <w:rFonts w:ascii="Arial" w:hAnsi="Arial" w:cs="Arial"/>
          <w:sz w:val="22"/>
          <w:szCs w:val="22"/>
          <w:shd w:val="clear" w:color="auto" w:fill="FFFFFF"/>
        </w:rPr>
        <w:t>doi: 10.3389/fped.2022.853724.</w:t>
      </w:r>
      <w:r w:rsidR="005B7518">
        <w:rPr>
          <w:rFonts w:ascii="Arial" w:hAnsi="Arial" w:cs="Arial"/>
          <w:sz w:val="22"/>
          <w:szCs w:val="22"/>
        </w:rPr>
        <w:t xml:space="preserve"> </w:t>
      </w:r>
    </w:p>
    <w:p w14:paraId="301AFA16" w14:textId="77777777" w:rsid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 xml:space="preserve">2. Piram M, Maldini C, Biscardi S i sur. Incidence of IgA vasculitis in children estimated by four-source capture-recapture analysis: a population-based study. Rheumatology. 2017. 56(8):1358-66. </w:t>
      </w:r>
    </w:p>
    <w:p w14:paraId="15F8E840"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3. Gardner-Medwin JM, Dolezalova P, Cummins C, Southwood TR. Incidence of Henoch-Sch</w:t>
      </w:r>
      <w:r w:rsidRPr="005B7518">
        <w:rPr>
          <w:rFonts w:ascii="Arial" w:hAnsi="Arial" w:cs="Arial"/>
          <w:sz w:val="22"/>
          <w:szCs w:val="22"/>
          <w:lang w:val="en-US"/>
        </w:rPr>
        <w:t>ö</w:t>
      </w:r>
      <w:r w:rsidRPr="005B7518">
        <w:rPr>
          <w:rFonts w:ascii="Arial" w:hAnsi="Arial" w:cs="Arial"/>
          <w:kern w:val="0"/>
          <w:sz w:val="22"/>
          <w:szCs w:val="22"/>
        </w:rPr>
        <w:t>nlein purpura, Kawasaki disease, and rare vasculitides in children of different ethnic origins. Lancet. 2002; 360 (9341):1197-202.</w:t>
      </w:r>
    </w:p>
    <w:p w14:paraId="08F292F4"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4. Sapina M, Frkovic M, Sestan M i sur. Geospatial clustering of childhood IgA vasculitis and IgA vasculitis-associated nephritis. Ann Rheum Dis. 2021; 80(5): 610-6.</w:t>
      </w:r>
      <w:r w:rsidR="005B7518" w:rsidRPr="005B7518">
        <w:rPr>
          <w:rFonts w:ascii="Arial" w:hAnsi="Arial" w:cs="Arial"/>
          <w:color w:val="000000"/>
          <w:sz w:val="22"/>
          <w:szCs w:val="22"/>
        </w:rPr>
        <w:t xml:space="preserve"> </w:t>
      </w:r>
    </w:p>
    <w:p w14:paraId="5CFC5ADA"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5.  Ozen S, Pistorio A, Iusan SM i sur. EULAR/PRINTO/PRES criteria for Henoch-Schonlein purpura, childhood polyarteritis nodosa, childhood Wegener granulomatosis and childhood Takayasu arteritis: Ankara 2008. Part II: Final classification criteria, Ann Rheum Dis. 2010; 69(5): 798-806.</w:t>
      </w:r>
      <w:r w:rsidR="005B7518" w:rsidRPr="005B7518">
        <w:rPr>
          <w:rFonts w:ascii="Arial" w:hAnsi="Arial" w:cs="Arial"/>
          <w:color w:val="000000"/>
          <w:sz w:val="22"/>
          <w:szCs w:val="22"/>
        </w:rPr>
        <w:t xml:space="preserve"> </w:t>
      </w:r>
    </w:p>
    <w:p w14:paraId="58365095"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6. Gonzalez LM, Janniger CK, Schwartz RA. Pediatric Henoch-Schönlein purpura. Int J Dermatol. 2009; 48(11): 1157-65.</w:t>
      </w:r>
      <w:r w:rsidR="005B7518" w:rsidRPr="005B7518">
        <w:rPr>
          <w:rFonts w:ascii="Arial" w:hAnsi="Arial" w:cs="Arial"/>
          <w:color w:val="000000"/>
          <w:sz w:val="22"/>
          <w:szCs w:val="22"/>
        </w:rPr>
        <w:t xml:space="preserve"> </w:t>
      </w:r>
    </w:p>
    <w:p w14:paraId="36BE59D8"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7. Tancrede-Bohin E, Ochonisky S, Vignon-Pennamen MD, Flageul B, Morel P, Rybojad M. Schönlein-Henoch purpura in adult patients. Arch Dermatol. 1997;1334): 438-42.</w:t>
      </w:r>
      <w:r w:rsidR="005B7518" w:rsidRPr="005B7518">
        <w:rPr>
          <w:rFonts w:ascii="Arial" w:hAnsi="Arial" w:cs="Arial"/>
          <w:color w:val="000000"/>
          <w:sz w:val="22"/>
          <w:szCs w:val="22"/>
        </w:rPr>
        <w:t xml:space="preserve"> </w:t>
      </w:r>
    </w:p>
    <w:p w14:paraId="3F8974A8"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8. Ozen S, Marks SD, Brogan P i sur. European consensus-based recommendations for diagnosis and treatment of immunoglobulin A vasculitis - the SHARE initiative. Rheumatology (Oxford). 2019; 58(9): 1607-16.</w:t>
      </w:r>
      <w:r w:rsidR="005B7518" w:rsidRPr="005B7518">
        <w:rPr>
          <w:rFonts w:ascii="Arial" w:hAnsi="Arial" w:cs="Arial"/>
          <w:color w:val="000000"/>
          <w:sz w:val="22"/>
          <w:szCs w:val="22"/>
        </w:rPr>
        <w:t xml:space="preserve"> </w:t>
      </w:r>
    </w:p>
    <w:p w14:paraId="174D2BEC"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9. Sestan M, Srsen S, Kifer N i sur. Persistence and severity of cutaneous manifestations in IgA vasculitis is associated with development of IgA vasculitis nephritis in children. Dermatology. 2022; 238(2): 340-6.</w:t>
      </w:r>
      <w:r w:rsidR="005B7518" w:rsidRPr="005B7518">
        <w:rPr>
          <w:rFonts w:ascii="Arial" w:hAnsi="Arial" w:cs="Arial"/>
          <w:color w:val="000000"/>
          <w:sz w:val="22"/>
          <w:szCs w:val="22"/>
        </w:rPr>
        <w:t xml:space="preserve"> </w:t>
      </w:r>
    </w:p>
    <w:p w14:paraId="069ABCE0"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10. St John J, Vedak P, Garza-Mayers AC, Hoang MP, Nigwekar SU, Kroshinsky D. Location of skin lesions in Henoch-Schönlein purpura and its association with significant renal involvement. J Am Acad Dermatol. 2018; 78(1): 115-20.</w:t>
      </w:r>
      <w:r w:rsidR="005B7518" w:rsidRPr="005B7518">
        <w:rPr>
          <w:rFonts w:ascii="Arial" w:hAnsi="Arial" w:cs="Arial"/>
          <w:color w:val="000000"/>
          <w:sz w:val="22"/>
          <w:szCs w:val="22"/>
        </w:rPr>
        <w:t xml:space="preserve"> </w:t>
      </w:r>
    </w:p>
    <w:p w14:paraId="794CA36E"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11. Johnson EF, Lehman JS, Wetter DA, Lohse CM,  Tollefson MM. Henoch-Schönlein purpura and systemic disease in children: retrospective study of clinical findings, histopathology and direct immunofluorescence in 34 paediatric patients. Br J Dermatol. 2015; 172(5): 1358-63.</w:t>
      </w:r>
      <w:r w:rsidR="005B7518" w:rsidRPr="005B7518">
        <w:rPr>
          <w:rFonts w:ascii="Arial" w:hAnsi="Arial" w:cs="Arial"/>
          <w:color w:val="000000"/>
          <w:sz w:val="22"/>
          <w:szCs w:val="22"/>
        </w:rPr>
        <w:t xml:space="preserve"> </w:t>
      </w:r>
    </w:p>
    <w:p w14:paraId="0C26ACCC"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kern w:val="0"/>
          <w:sz w:val="22"/>
          <w:szCs w:val="22"/>
        </w:rPr>
        <w:t xml:space="preserve">12. Sestan M, Kifer N, Frkovic M i sur. Gastrointestinal involvement and its association with the risk for nephritis in IgA vasculitis. Ther Adv Musculoskelet Dis. 2021; 13: </w:t>
      </w:r>
      <w:r w:rsidRPr="005B7518">
        <w:rPr>
          <w:rFonts w:ascii="Arial" w:hAnsi="Arial" w:cs="Arial"/>
          <w:color w:val="000000"/>
          <w:kern w:val="0"/>
          <w:sz w:val="22"/>
          <w:szCs w:val="22"/>
        </w:rPr>
        <w:t>1759720X211024828.</w:t>
      </w:r>
      <w:r w:rsidRPr="005B7518">
        <w:rPr>
          <w:rFonts w:ascii="Arial" w:hAnsi="Arial" w:cs="Arial"/>
          <w:color w:val="212121"/>
          <w:kern w:val="0"/>
          <w:sz w:val="22"/>
          <w:szCs w:val="22"/>
        </w:rPr>
        <w:t xml:space="preserve">                                         </w:t>
      </w:r>
      <w:r w:rsidRPr="005B7518">
        <w:rPr>
          <w:rFonts w:ascii="Arial" w:hAnsi="Arial" w:cs="Arial"/>
          <w:color w:val="000000"/>
          <w:sz w:val="22"/>
          <w:szCs w:val="22"/>
        </w:rPr>
        <w:t xml:space="preserve">doi: 10.1177/1759720X211024828. </w:t>
      </w:r>
    </w:p>
    <w:p w14:paraId="42BFCF13"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color w:val="000000"/>
          <w:sz w:val="22"/>
          <w:szCs w:val="22"/>
        </w:rPr>
        <w:t xml:space="preserve">13. </w:t>
      </w:r>
      <w:r w:rsidRPr="005B7518">
        <w:rPr>
          <w:rFonts w:ascii="Arial" w:hAnsi="Arial" w:cs="Arial"/>
          <w:sz w:val="22"/>
          <w:szCs w:val="22"/>
          <w:shd w:val="clear" w:color="auto" w:fill="FFFFFF"/>
        </w:rPr>
        <w:t xml:space="preserve">Kobayashi T, Hattori S, Nagai Y, Tajima S, Nishikawa T. Differential regulation of MMP-2 and MMP-9 gelatinases in cultured human keratinocytes. Dermatology. 1998; 197(1): 1-5. </w:t>
      </w:r>
    </w:p>
    <w:p w14:paraId="5377D1E2"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sz w:val="22"/>
          <w:szCs w:val="22"/>
          <w:shd w:val="clear" w:color="auto" w:fill="FFFFFF"/>
        </w:rPr>
        <w:t xml:space="preserve">14. </w:t>
      </w:r>
      <w:r w:rsidRPr="005B7518">
        <w:rPr>
          <w:rFonts w:ascii="Arial" w:hAnsi="Arial" w:cs="Arial"/>
          <w:sz w:val="22"/>
          <w:szCs w:val="22"/>
        </w:rPr>
        <w:t xml:space="preserve">Nothhaft M, Klepper J, Kneitz H, Meyer T, Hamm H, Morbach H. Hemorrhagic bullous Henoch-Schönlein purpura: case report and review of the literature. Front Pediatr. 2019; 6:413.                                           </w:t>
      </w:r>
      <w:r w:rsidRPr="005B7518">
        <w:rPr>
          <w:rFonts w:ascii="Arial" w:hAnsi="Arial" w:cs="Arial"/>
          <w:sz w:val="22"/>
          <w:szCs w:val="22"/>
          <w:shd w:val="clear" w:color="auto" w:fill="FFFFFF"/>
        </w:rPr>
        <w:t>doi: 10.3389/fped.2018.00413.</w:t>
      </w:r>
      <w:r w:rsidR="005B7518" w:rsidRPr="005B7518">
        <w:rPr>
          <w:rFonts w:ascii="Arial" w:hAnsi="Arial" w:cs="Arial"/>
          <w:color w:val="000000"/>
          <w:sz w:val="22"/>
          <w:szCs w:val="22"/>
        </w:rPr>
        <w:t xml:space="preserve"> </w:t>
      </w:r>
    </w:p>
    <w:p w14:paraId="36BBBDF8"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sz w:val="22"/>
          <w:szCs w:val="22"/>
          <w:shd w:val="clear" w:color="auto" w:fill="FFFFFF"/>
        </w:rPr>
        <w:t xml:space="preserve">15. </w:t>
      </w:r>
      <w:r w:rsidRPr="005B7518">
        <w:rPr>
          <w:rFonts w:ascii="Arial" w:hAnsi="Arial" w:cs="Arial"/>
          <w:sz w:val="22"/>
          <w:szCs w:val="22"/>
        </w:rPr>
        <w:t>Ramelli V, Lava SA, Simonetti GD, Bianchetti MG, Ramelli GP, Milani GP. Blistering eruptions in childhood Henoch-Schönlein syndrome: systematic review of the literature. Eur J Pediatr. 2017; 176(4): 487-92</w:t>
      </w:r>
      <w:r w:rsidRPr="005B7518">
        <w:rPr>
          <w:rFonts w:ascii="Arial" w:hAnsi="Arial" w:cs="Arial"/>
          <w:sz w:val="22"/>
          <w:szCs w:val="22"/>
          <w:shd w:val="clear" w:color="auto" w:fill="FFFFFF"/>
        </w:rPr>
        <w:t>.</w:t>
      </w:r>
      <w:r w:rsidR="005B7518" w:rsidRPr="005B7518">
        <w:rPr>
          <w:rFonts w:ascii="Arial" w:hAnsi="Arial" w:cs="Arial"/>
          <w:color w:val="000000"/>
          <w:sz w:val="22"/>
          <w:szCs w:val="22"/>
        </w:rPr>
        <w:t xml:space="preserve"> </w:t>
      </w:r>
    </w:p>
    <w:p w14:paraId="5B739807"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sz w:val="22"/>
          <w:szCs w:val="22"/>
          <w:shd w:val="clear" w:color="auto" w:fill="FFFFFF"/>
        </w:rPr>
        <w:t xml:space="preserve">16. </w:t>
      </w:r>
      <w:r w:rsidRPr="005B7518">
        <w:rPr>
          <w:rFonts w:ascii="Arial" w:hAnsi="Arial" w:cs="Arial"/>
          <w:sz w:val="22"/>
          <w:szCs w:val="22"/>
        </w:rPr>
        <w:t>Saulsbury FT. Hemorrhagic bullous lesions in Henoch-Schönlein purpura. Pediatr Dermatol. 1998; 15(5): 357-9.</w:t>
      </w:r>
      <w:r w:rsidR="005B7518" w:rsidRPr="005B7518">
        <w:rPr>
          <w:rFonts w:ascii="Arial" w:hAnsi="Arial" w:cs="Arial"/>
          <w:color w:val="000000"/>
          <w:sz w:val="22"/>
          <w:szCs w:val="22"/>
        </w:rPr>
        <w:t xml:space="preserve"> </w:t>
      </w:r>
    </w:p>
    <w:p w14:paraId="7C9C2293" w14:textId="77777777" w:rsidR="005B7518" w:rsidRPr="005B7518" w:rsidRDefault="00E87ED5" w:rsidP="005B7518">
      <w:pPr>
        <w:spacing w:after="200" w:line="360" w:lineRule="auto"/>
        <w:jc w:val="both"/>
        <w:rPr>
          <w:rFonts w:ascii="Arial" w:hAnsi="Arial" w:cs="Arial"/>
          <w:color w:val="000000"/>
          <w:sz w:val="22"/>
          <w:szCs w:val="22"/>
        </w:rPr>
      </w:pPr>
      <w:r w:rsidRPr="005B7518">
        <w:rPr>
          <w:rFonts w:ascii="Arial" w:hAnsi="Arial" w:cs="Arial"/>
          <w:sz w:val="22"/>
          <w:szCs w:val="22"/>
        </w:rPr>
        <w:t>17. Beli AA, Dervis E. The correlation between cutaneous IgM deposition and renal involvement in adult patients with Henoch-Schönlein purpura. Eur J Dermatol. 2014; 24(1):81-4.</w:t>
      </w:r>
      <w:r w:rsidR="005B7518" w:rsidRPr="005B7518">
        <w:rPr>
          <w:rFonts w:ascii="Arial" w:hAnsi="Arial" w:cs="Arial"/>
          <w:color w:val="000000"/>
          <w:sz w:val="22"/>
          <w:szCs w:val="22"/>
        </w:rPr>
        <w:t xml:space="preserve"> </w:t>
      </w:r>
    </w:p>
    <w:p w14:paraId="0CE76009" w14:textId="77777777" w:rsidR="0072278B" w:rsidRPr="005B7518" w:rsidRDefault="00E87ED5" w:rsidP="0072278B">
      <w:pPr>
        <w:spacing w:after="200" w:line="360" w:lineRule="auto"/>
        <w:jc w:val="both"/>
        <w:rPr>
          <w:rFonts w:ascii="Arial" w:hAnsi="Arial" w:cs="Arial"/>
          <w:color w:val="000000"/>
          <w:sz w:val="22"/>
          <w:szCs w:val="22"/>
        </w:rPr>
      </w:pPr>
      <w:r w:rsidRPr="005B7518">
        <w:rPr>
          <w:rFonts w:ascii="Arial" w:hAnsi="Arial" w:cs="Arial"/>
          <w:sz w:val="22"/>
          <w:szCs w:val="22"/>
        </w:rPr>
        <w:t>18. Poterucha TJ, Wetter DA, Gibson LE, Camilleri MJ, Lohse CM. Correlates of systemic disease in adult Henoch-Schönlein purpura: a retrospective study of direct immunofluorescence and skin lesion distribution in 87 patients at Mayo Clinic. J Am Acad Dermatol. 2012; 67(4): 612-6.</w:t>
      </w:r>
      <w:r w:rsidR="0072278B">
        <w:rPr>
          <w:rFonts w:ascii="Arial" w:hAnsi="Arial" w:cs="Arial"/>
          <w:sz w:val="22"/>
          <w:szCs w:val="22"/>
        </w:rPr>
        <w:t xml:space="preserve"> </w:t>
      </w:r>
    </w:p>
    <w:p w14:paraId="235BEBD9" w14:textId="77777777" w:rsidR="005B7518" w:rsidRDefault="0072278B" w:rsidP="005B7518">
      <w:pPr>
        <w:widowControl/>
        <w:spacing w:line="360" w:lineRule="auto"/>
        <w:jc w:val="both"/>
        <w:rPr>
          <w:rFonts w:ascii="Arial" w:hAnsi="Arial" w:cs="Arial"/>
          <w:sz w:val="22"/>
          <w:szCs w:val="22"/>
        </w:rPr>
      </w:pPr>
      <w:r>
        <w:rPr>
          <w:rFonts w:ascii="Arial" w:hAnsi="Arial" w:cs="Arial"/>
          <w:sz w:val="22"/>
          <w:szCs w:val="22"/>
        </w:rPr>
        <w:t xml:space="preserve">19. </w:t>
      </w:r>
      <w:r w:rsidRPr="0072278B">
        <w:rPr>
          <w:rFonts w:ascii="Arial" w:hAnsi="Arial" w:cs="Arial"/>
          <w:sz w:val="22"/>
          <w:szCs w:val="22"/>
        </w:rPr>
        <w:t>Roache-Robinson P, Hotwagner DT. Henoch Schönlein Purpura. In: StatPearls. Treasure Island (FL): StatPearls Publishing; December 2, 2020.</w:t>
      </w:r>
    </w:p>
    <w:p w14:paraId="1873AE9D" w14:textId="77777777" w:rsidR="005B7518" w:rsidRDefault="005B7518" w:rsidP="005B7518">
      <w:pPr>
        <w:widowControl/>
        <w:spacing w:line="360" w:lineRule="auto"/>
        <w:jc w:val="both"/>
        <w:rPr>
          <w:rFonts w:ascii="Arial" w:hAnsi="Arial" w:cs="Arial"/>
          <w:sz w:val="22"/>
          <w:szCs w:val="22"/>
        </w:rPr>
      </w:pPr>
    </w:p>
    <w:p w14:paraId="28FE7B27" w14:textId="77777777" w:rsidR="005B7518" w:rsidRDefault="005B7518" w:rsidP="005B7518">
      <w:pPr>
        <w:widowControl/>
        <w:spacing w:line="360" w:lineRule="auto"/>
        <w:jc w:val="both"/>
        <w:rPr>
          <w:rFonts w:ascii="Arial" w:hAnsi="Arial" w:cs="Arial"/>
          <w:sz w:val="22"/>
          <w:szCs w:val="22"/>
        </w:rPr>
      </w:pPr>
    </w:p>
    <w:p w14:paraId="45C750E6" w14:textId="77777777" w:rsidR="005B7518" w:rsidRDefault="005B7518" w:rsidP="005B7518">
      <w:pPr>
        <w:widowControl/>
        <w:spacing w:line="360" w:lineRule="auto"/>
        <w:jc w:val="both"/>
        <w:rPr>
          <w:rFonts w:ascii="Arial" w:hAnsi="Arial" w:cs="Arial"/>
          <w:sz w:val="22"/>
          <w:szCs w:val="22"/>
        </w:rPr>
      </w:pPr>
    </w:p>
    <w:p w14:paraId="0A775735" w14:textId="77777777" w:rsidR="005B7518" w:rsidRPr="005B7518" w:rsidRDefault="005B7518" w:rsidP="005B7518">
      <w:pPr>
        <w:widowControl/>
        <w:spacing w:line="360" w:lineRule="auto"/>
        <w:jc w:val="both"/>
        <w:rPr>
          <w:rFonts w:ascii="Arial" w:hAnsi="Arial" w:cs="Arial"/>
          <w:sz w:val="22"/>
          <w:szCs w:val="22"/>
        </w:rPr>
      </w:pPr>
    </w:p>
    <w:p w14:paraId="1F5942F4" w14:textId="77777777" w:rsidR="005B7518" w:rsidRPr="004F1C7F" w:rsidRDefault="005B7518" w:rsidP="00EA1BF9">
      <w:pPr>
        <w:pStyle w:val="headingmoji"/>
      </w:pPr>
      <w:r w:rsidRPr="004F1C7F">
        <w:t>SAŽETAK</w:t>
      </w:r>
    </w:p>
    <w:p w14:paraId="3E6A550B" w14:textId="77777777" w:rsidR="005B7518" w:rsidRPr="005B7518" w:rsidRDefault="005B7518" w:rsidP="005B7518">
      <w:pPr>
        <w:pStyle w:val="Heading1"/>
        <w:spacing w:line="360" w:lineRule="auto"/>
        <w:jc w:val="center"/>
        <w:rPr>
          <w:rFonts w:ascii="Arial" w:hAnsi="Arial" w:cs="Arial"/>
          <w:color w:val="auto"/>
          <w:sz w:val="22"/>
          <w:szCs w:val="24"/>
        </w:rPr>
      </w:pPr>
      <w:r w:rsidRPr="005B7518">
        <w:rPr>
          <w:rFonts w:ascii="Arial" w:hAnsi="Arial" w:cs="Arial"/>
          <w:color w:val="auto"/>
          <w:sz w:val="22"/>
          <w:szCs w:val="24"/>
        </w:rPr>
        <w:t>UTJECAJ KOŽNIH MANIFESTACIJA NA KLINIČKE ZNAČAJKE U IgA VASKULITISU</w:t>
      </w:r>
    </w:p>
    <w:p w14:paraId="104D6F00" w14:textId="77777777" w:rsidR="005021C1" w:rsidRDefault="005B7518" w:rsidP="005B7518">
      <w:pPr>
        <w:spacing w:after="200" w:line="360" w:lineRule="auto"/>
        <w:jc w:val="both"/>
        <w:rPr>
          <w:rFonts w:ascii="Arial" w:hAnsi="Arial" w:cs="Arial"/>
          <w:kern w:val="0"/>
          <w:sz w:val="22"/>
        </w:rPr>
      </w:pPr>
      <w:r>
        <w:rPr>
          <w:rFonts w:ascii="Arial" w:hAnsi="Arial" w:cs="Arial"/>
          <w:kern w:val="0"/>
          <w:sz w:val="22"/>
        </w:rPr>
        <w:t>Ante Vidović</w:t>
      </w:r>
    </w:p>
    <w:p w14:paraId="05A80AFA" w14:textId="77777777" w:rsidR="00E87ED5" w:rsidRDefault="005B7518" w:rsidP="005B7518">
      <w:pPr>
        <w:spacing w:after="200" w:line="360" w:lineRule="auto"/>
        <w:jc w:val="both"/>
        <w:rPr>
          <w:rFonts w:ascii="Arial" w:hAnsi="Arial" w:cs="Arial"/>
          <w:kern w:val="0"/>
          <w:sz w:val="22"/>
        </w:rPr>
      </w:pPr>
      <w:r w:rsidRPr="005B7518">
        <w:rPr>
          <w:rFonts w:ascii="Arial" w:hAnsi="Arial" w:cs="Arial"/>
          <w:kern w:val="0"/>
          <w:sz w:val="22"/>
        </w:rPr>
        <w:t>IgA vaskulitis (IgAV) najčešći je sistemski vaskulitis dječje dobi. Purpuri</w:t>
      </w:r>
      <w:r>
        <w:rPr>
          <w:rFonts w:ascii="Arial" w:hAnsi="Arial" w:cs="Arial"/>
          <w:kern w:val="0"/>
          <w:sz w:val="22"/>
        </w:rPr>
        <w:t xml:space="preserve">čni osip ključan je kriterij za </w:t>
      </w:r>
      <w:r w:rsidRPr="005B7518">
        <w:rPr>
          <w:rFonts w:ascii="Arial" w:hAnsi="Arial" w:cs="Arial"/>
          <w:kern w:val="0"/>
          <w:sz w:val="22"/>
        </w:rPr>
        <w:t>dijagnozu IgAV, a najčešće je rasprostranjen po donjim udovima i gluteu</w:t>
      </w:r>
      <w:r>
        <w:rPr>
          <w:rFonts w:ascii="Arial" w:hAnsi="Arial" w:cs="Arial"/>
          <w:kern w:val="0"/>
          <w:sz w:val="22"/>
        </w:rPr>
        <w:t xml:space="preserve">sima, iako može biti proširen i </w:t>
      </w:r>
      <w:r w:rsidRPr="005B7518">
        <w:rPr>
          <w:rFonts w:ascii="Arial" w:hAnsi="Arial" w:cs="Arial"/>
          <w:kern w:val="0"/>
          <w:sz w:val="22"/>
        </w:rPr>
        <w:t>na atipičnim mjestima poput lica, trupa i gornjih udova. U najtežim slučajevima mogu biti prisu</w:t>
      </w:r>
      <w:r>
        <w:rPr>
          <w:rFonts w:ascii="Arial" w:hAnsi="Arial" w:cs="Arial"/>
          <w:kern w:val="0"/>
          <w:sz w:val="22"/>
        </w:rPr>
        <w:t>t</w:t>
      </w:r>
      <w:r w:rsidR="00E87ED5">
        <w:rPr>
          <w:rFonts w:ascii="Arial" w:hAnsi="Arial" w:cs="Arial"/>
          <w:kern w:val="0"/>
          <w:sz w:val="22"/>
        </w:rPr>
        <w:t xml:space="preserve">ne ulceracije, nekroze i bule. </w:t>
      </w:r>
    </w:p>
    <w:p w14:paraId="1AB9C03C" w14:textId="6200D5DB" w:rsidR="005B7518" w:rsidRDefault="005B7518" w:rsidP="005B7518">
      <w:pPr>
        <w:spacing w:after="200" w:line="360" w:lineRule="auto"/>
        <w:jc w:val="both"/>
        <w:rPr>
          <w:rFonts w:ascii="Arial" w:hAnsi="Arial" w:cs="Arial"/>
          <w:kern w:val="0"/>
          <w:sz w:val="22"/>
        </w:rPr>
      </w:pPr>
      <w:r>
        <w:rPr>
          <w:rFonts w:ascii="Arial" w:hAnsi="Arial" w:cs="Arial"/>
          <w:kern w:val="0"/>
          <w:sz w:val="22"/>
        </w:rPr>
        <w:t>Cilj ovog istraživanja jest u</w:t>
      </w:r>
      <w:r w:rsidRPr="005B7518">
        <w:rPr>
          <w:rFonts w:ascii="Arial" w:hAnsi="Arial" w:cs="Arial"/>
          <w:kern w:val="0"/>
          <w:sz w:val="22"/>
        </w:rPr>
        <w:t xml:space="preserve">tvrditi osobitosti kožnih promjena u bolesnika s IgAV-om te ispitati </w:t>
      </w:r>
      <w:r>
        <w:rPr>
          <w:rFonts w:ascii="Arial" w:hAnsi="Arial" w:cs="Arial"/>
          <w:kern w:val="0"/>
          <w:sz w:val="22"/>
        </w:rPr>
        <w:t>njihov utjecaj na kliničke i laboratorijske značajke bolesti.</w:t>
      </w:r>
      <w:r w:rsidR="00E87ED5">
        <w:rPr>
          <w:rFonts w:ascii="Arial" w:hAnsi="Arial" w:cs="Arial"/>
          <w:kern w:val="0"/>
          <w:sz w:val="22"/>
        </w:rPr>
        <w:t xml:space="preserve"> Retrospektivno smo</w:t>
      </w:r>
      <w:r w:rsidRPr="005B7518">
        <w:rPr>
          <w:rFonts w:ascii="Arial" w:hAnsi="Arial" w:cs="Arial"/>
          <w:kern w:val="0"/>
          <w:sz w:val="22"/>
        </w:rPr>
        <w:t xml:space="preserve"> analiz</w:t>
      </w:r>
      <w:r w:rsidR="00392F18">
        <w:rPr>
          <w:rFonts w:ascii="Arial" w:hAnsi="Arial" w:cs="Arial"/>
          <w:kern w:val="0"/>
          <w:sz w:val="22"/>
        </w:rPr>
        <w:t>ir</w:t>
      </w:r>
      <w:r w:rsidRPr="005B7518">
        <w:rPr>
          <w:rFonts w:ascii="Arial" w:hAnsi="Arial" w:cs="Arial"/>
          <w:kern w:val="0"/>
          <w:sz w:val="22"/>
        </w:rPr>
        <w:t>a</w:t>
      </w:r>
      <w:r w:rsidR="00E87ED5">
        <w:rPr>
          <w:rFonts w:ascii="Arial" w:hAnsi="Arial" w:cs="Arial"/>
          <w:kern w:val="0"/>
          <w:sz w:val="22"/>
        </w:rPr>
        <w:t>li</w:t>
      </w:r>
      <w:r w:rsidRPr="005B7518">
        <w:rPr>
          <w:rFonts w:ascii="Arial" w:hAnsi="Arial" w:cs="Arial"/>
          <w:kern w:val="0"/>
          <w:sz w:val="22"/>
        </w:rPr>
        <w:t xml:space="preserve"> poda</w:t>
      </w:r>
      <w:r w:rsidR="00E87ED5">
        <w:rPr>
          <w:rFonts w:ascii="Arial" w:hAnsi="Arial" w:cs="Arial"/>
          <w:kern w:val="0"/>
          <w:sz w:val="22"/>
        </w:rPr>
        <w:t>tke</w:t>
      </w:r>
      <w:r w:rsidRPr="005B7518">
        <w:rPr>
          <w:rFonts w:ascii="Arial" w:hAnsi="Arial" w:cs="Arial"/>
          <w:kern w:val="0"/>
          <w:sz w:val="22"/>
        </w:rPr>
        <w:t xml:space="preserve"> bolesnika s IgAV dijagnosticiranih i liječenih u Referentnom centru za pedijatrijsku i adolescentnu reumato</w:t>
      </w:r>
      <w:r w:rsidR="00E87ED5">
        <w:rPr>
          <w:rFonts w:ascii="Arial" w:hAnsi="Arial" w:cs="Arial"/>
          <w:kern w:val="0"/>
          <w:sz w:val="22"/>
        </w:rPr>
        <w:t>logiju Ministarstva zdravstva Republike Hrvatske</w:t>
      </w:r>
      <w:r w:rsidRPr="005B7518">
        <w:rPr>
          <w:rFonts w:ascii="Arial" w:hAnsi="Arial" w:cs="Arial"/>
          <w:kern w:val="0"/>
          <w:sz w:val="22"/>
        </w:rPr>
        <w:t>, u razdoblju od</w:t>
      </w:r>
      <w:r w:rsidR="00E87ED5">
        <w:rPr>
          <w:rFonts w:ascii="Arial" w:hAnsi="Arial" w:cs="Arial"/>
          <w:kern w:val="0"/>
          <w:sz w:val="22"/>
        </w:rPr>
        <w:t xml:space="preserve"> </w:t>
      </w:r>
      <w:r w:rsidRPr="005B7518">
        <w:rPr>
          <w:rFonts w:ascii="Arial" w:hAnsi="Arial" w:cs="Arial"/>
          <w:kern w:val="0"/>
          <w:sz w:val="22"/>
        </w:rPr>
        <w:t>siječnja 2009. do prosinca 2021. godine.</w:t>
      </w:r>
      <w:r w:rsidR="00E87ED5">
        <w:rPr>
          <w:rFonts w:ascii="Arial" w:hAnsi="Arial" w:cs="Arial"/>
          <w:kern w:val="0"/>
          <w:sz w:val="22"/>
        </w:rPr>
        <w:t xml:space="preserve"> Bolesnici su podijeljeni u dvije skupine: u prvoj su skupini bolesnici s kožnim osipom po donjim ekstremitetima i glutealno, a u drugoj oni kojima je osip proširen iznad donjih ekstremiteta. Također, odvojeno smo uspoređivali bolesnike s teškim kožnim promjenama u obliku ulceracija, nekroza i bula s ostalim</w:t>
      </w:r>
      <w:r w:rsidR="00C32160">
        <w:rPr>
          <w:rFonts w:ascii="Arial" w:hAnsi="Arial" w:cs="Arial"/>
          <w:kern w:val="0"/>
          <w:sz w:val="22"/>
        </w:rPr>
        <w:t xml:space="preserve"> pacijentima</w:t>
      </w:r>
      <w:r w:rsidR="00E87ED5">
        <w:rPr>
          <w:rFonts w:ascii="Arial" w:hAnsi="Arial" w:cs="Arial"/>
          <w:kern w:val="0"/>
          <w:sz w:val="22"/>
        </w:rPr>
        <w:t xml:space="preserve">. </w:t>
      </w:r>
    </w:p>
    <w:p w14:paraId="6310861A" w14:textId="77777777" w:rsidR="005021C1" w:rsidRDefault="00E87ED5" w:rsidP="00C32160">
      <w:pPr>
        <w:spacing w:after="200" w:line="360" w:lineRule="auto"/>
        <w:jc w:val="both"/>
        <w:rPr>
          <w:rFonts w:ascii="Arial" w:hAnsi="Arial" w:cs="Arial"/>
          <w:kern w:val="0"/>
          <w:sz w:val="22"/>
        </w:rPr>
      </w:pPr>
      <w:r>
        <w:rPr>
          <w:rFonts w:ascii="Arial" w:hAnsi="Arial" w:cs="Arial"/>
          <w:kern w:val="0"/>
          <w:sz w:val="22"/>
        </w:rPr>
        <w:t xml:space="preserve">Skupina bolesnika s kožnim osipom proširenim iznad donjih ekstremiteta imala je statistički značajno češće zahvaćen gastrointestinalni sustav, veću pojavnost nefritisa te su češće liječeni sustavnim glukokortikoidima i inhibitorima angiotenzin konvertaze. Gotovo svi bolesnici s ulceracijama i nekrozama zahtijevali su liječenje sustavnim glukokortikoidima u odnosu na sve preostale bolesnike. </w:t>
      </w:r>
      <w:r w:rsidR="00C32160">
        <w:rPr>
          <w:rFonts w:ascii="Arial" w:hAnsi="Arial" w:cs="Arial"/>
          <w:kern w:val="0"/>
          <w:sz w:val="22"/>
        </w:rPr>
        <w:t xml:space="preserve"> Ovi rezultati naglašavaju činjenicu da su kožne manifestacije IgAV-a povezane s težinom kliničke slike bolesti u cjelini. </w:t>
      </w:r>
    </w:p>
    <w:p w14:paraId="0BF57827" w14:textId="77777777" w:rsidR="00C32160" w:rsidRPr="00060FE8" w:rsidRDefault="00C32160" w:rsidP="00C32160">
      <w:pPr>
        <w:spacing w:after="200" w:line="360" w:lineRule="auto"/>
        <w:jc w:val="both"/>
        <w:rPr>
          <w:rFonts w:ascii="Arial" w:hAnsi="Arial" w:cs="Arial"/>
          <w:i/>
          <w:kern w:val="0"/>
          <w:sz w:val="22"/>
        </w:rPr>
      </w:pPr>
      <w:r w:rsidRPr="00060FE8">
        <w:rPr>
          <w:rFonts w:ascii="Arial" w:hAnsi="Arial" w:cs="Arial"/>
          <w:i/>
          <w:kern w:val="0"/>
          <w:sz w:val="22"/>
        </w:rPr>
        <w:t>Ključne riječi: IgA vaskulitis, kožne manifestacije, djeca</w:t>
      </w:r>
    </w:p>
    <w:p w14:paraId="630F2870" w14:textId="77777777" w:rsidR="00C32160" w:rsidRDefault="00C32160" w:rsidP="00C32160">
      <w:pPr>
        <w:spacing w:after="200" w:line="360" w:lineRule="auto"/>
        <w:jc w:val="both"/>
        <w:rPr>
          <w:rFonts w:ascii="Arial" w:hAnsi="Arial" w:cs="Arial"/>
          <w:kern w:val="0"/>
          <w:sz w:val="22"/>
        </w:rPr>
      </w:pPr>
    </w:p>
    <w:p w14:paraId="578F3A56" w14:textId="77777777" w:rsidR="00C32160" w:rsidRDefault="00C32160" w:rsidP="00C32160">
      <w:pPr>
        <w:spacing w:after="200" w:line="360" w:lineRule="auto"/>
        <w:jc w:val="both"/>
        <w:rPr>
          <w:rFonts w:ascii="Arial" w:hAnsi="Arial" w:cs="Arial"/>
          <w:kern w:val="0"/>
          <w:sz w:val="22"/>
        </w:rPr>
      </w:pPr>
    </w:p>
    <w:p w14:paraId="2CBDD36E" w14:textId="77777777" w:rsidR="00C32160" w:rsidRDefault="00C32160" w:rsidP="00C32160">
      <w:pPr>
        <w:spacing w:after="200" w:line="360" w:lineRule="auto"/>
        <w:jc w:val="both"/>
        <w:rPr>
          <w:rFonts w:ascii="Arial" w:hAnsi="Arial" w:cs="Arial"/>
          <w:kern w:val="0"/>
          <w:sz w:val="22"/>
        </w:rPr>
      </w:pPr>
    </w:p>
    <w:p w14:paraId="0964E2CE" w14:textId="77777777" w:rsidR="00C32160" w:rsidRDefault="00C32160" w:rsidP="00C32160">
      <w:pPr>
        <w:spacing w:after="200" w:line="360" w:lineRule="auto"/>
        <w:jc w:val="both"/>
        <w:rPr>
          <w:rFonts w:ascii="Arial" w:hAnsi="Arial" w:cs="Arial"/>
          <w:kern w:val="0"/>
          <w:sz w:val="22"/>
        </w:rPr>
      </w:pPr>
    </w:p>
    <w:p w14:paraId="7E5DA304" w14:textId="77777777" w:rsidR="00C32160" w:rsidRDefault="00C32160" w:rsidP="00C32160">
      <w:pPr>
        <w:spacing w:after="200" w:line="360" w:lineRule="auto"/>
        <w:jc w:val="both"/>
        <w:rPr>
          <w:rFonts w:ascii="Arial" w:hAnsi="Arial" w:cs="Arial"/>
          <w:kern w:val="0"/>
          <w:sz w:val="22"/>
        </w:rPr>
      </w:pPr>
    </w:p>
    <w:p w14:paraId="6943DAC5" w14:textId="77777777" w:rsidR="00C32160" w:rsidRDefault="00C32160" w:rsidP="00C32160">
      <w:pPr>
        <w:spacing w:after="200" w:line="360" w:lineRule="auto"/>
        <w:jc w:val="both"/>
        <w:rPr>
          <w:rFonts w:ascii="Arial" w:hAnsi="Arial" w:cs="Arial"/>
          <w:kern w:val="0"/>
          <w:sz w:val="22"/>
        </w:rPr>
      </w:pPr>
    </w:p>
    <w:p w14:paraId="6B2C9D64" w14:textId="77777777" w:rsidR="00C32160" w:rsidRPr="004F1C7F" w:rsidRDefault="00C32160" w:rsidP="00EA1BF9">
      <w:pPr>
        <w:pStyle w:val="headingmoji"/>
        <w:rPr>
          <w:sz w:val="22"/>
        </w:rPr>
      </w:pPr>
      <w:r>
        <w:rPr>
          <w:sz w:val="22"/>
        </w:rPr>
        <w:t xml:space="preserve"> </w:t>
      </w:r>
      <w:r w:rsidRPr="004F1C7F">
        <w:t>SUMMARY</w:t>
      </w:r>
    </w:p>
    <w:p w14:paraId="299EFFC3" w14:textId="77777777" w:rsidR="00060FE8" w:rsidRPr="00392F18" w:rsidRDefault="00060FE8" w:rsidP="00060FE8">
      <w:pPr>
        <w:spacing w:after="200" w:line="360" w:lineRule="auto"/>
        <w:jc w:val="center"/>
        <w:rPr>
          <w:rFonts w:ascii="Arial" w:hAnsi="Arial" w:cs="Arial"/>
          <w:kern w:val="0"/>
          <w:sz w:val="22"/>
          <w:lang w:val="en-US"/>
        </w:rPr>
      </w:pPr>
      <w:r w:rsidRPr="00392F18">
        <w:rPr>
          <w:rFonts w:ascii="Arial" w:hAnsi="Arial" w:cs="Arial"/>
          <w:kern w:val="0"/>
          <w:sz w:val="22"/>
          <w:lang w:val="en-US"/>
        </w:rPr>
        <w:t>IMPACT OF CUTANEOUS MANIFESTATIONS ON CLINICAL FEATURES OF IgA VASCULITIS</w:t>
      </w:r>
    </w:p>
    <w:p w14:paraId="53C6AE2F" w14:textId="77777777" w:rsidR="00060FE8" w:rsidRPr="00392F18" w:rsidRDefault="00060FE8" w:rsidP="00060FE8">
      <w:pPr>
        <w:spacing w:after="200" w:line="360" w:lineRule="auto"/>
        <w:jc w:val="both"/>
        <w:rPr>
          <w:rFonts w:ascii="Arial" w:hAnsi="Arial" w:cs="Arial"/>
          <w:kern w:val="0"/>
          <w:sz w:val="22"/>
          <w:lang w:val="en-US"/>
        </w:rPr>
      </w:pPr>
      <w:r w:rsidRPr="00392F18">
        <w:rPr>
          <w:rFonts w:ascii="Arial" w:hAnsi="Arial" w:cs="Arial"/>
          <w:kern w:val="0"/>
          <w:sz w:val="22"/>
          <w:lang w:val="en-US"/>
        </w:rPr>
        <w:t xml:space="preserve">Ante </w:t>
      </w:r>
      <w:proofErr w:type="spellStart"/>
      <w:r w:rsidRPr="00392F18">
        <w:rPr>
          <w:rFonts w:ascii="Arial" w:hAnsi="Arial" w:cs="Arial"/>
          <w:kern w:val="0"/>
          <w:sz w:val="22"/>
          <w:lang w:val="en-US"/>
        </w:rPr>
        <w:t>Vidović</w:t>
      </w:r>
      <w:proofErr w:type="spellEnd"/>
    </w:p>
    <w:p w14:paraId="081532D2" w14:textId="77777777" w:rsidR="00C32160" w:rsidRPr="00392F18" w:rsidRDefault="00C32160" w:rsidP="00C32160">
      <w:pPr>
        <w:spacing w:after="200" w:line="360" w:lineRule="auto"/>
        <w:jc w:val="both"/>
        <w:rPr>
          <w:rFonts w:ascii="Arial" w:hAnsi="Arial" w:cs="Arial"/>
          <w:kern w:val="0"/>
          <w:sz w:val="22"/>
          <w:lang w:val="en-US"/>
        </w:rPr>
      </w:pPr>
      <w:r w:rsidRPr="00392F18">
        <w:rPr>
          <w:rFonts w:ascii="Arial" w:hAnsi="Arial" w:cs="Arial"/>
          <w:kern w:val="0"/>
          <w:sz w:val="22"/>
          <w:lang w:val="en-US"/>
        </w:rPr>
        <w:t xml:space="preserve">IgA </w:t>
      </w:r>
      <w:proofErr w:type="spellStart"/>
      <w:r w:rsidRPr="00392F18">
        <w:rPr>
          <w:rFonts w:ascii="Arial" w:hAnsi="Arial" w:cs="Arial"/>
          <w:kern w:val="0"/>
          <w:sz w:val="22"/>
          <w:lang w:val="en-US"/>
        </w:rPr>
        <w:t>vasculitis</w:t>
      </w:r>
      <w:proofErr w:type="spellEnd"/>
      <w:r w:rsidRPr="00392F18">
        <w:rPr>
          <w:rFonts w:ascii="Arial" w:hAnsi="Arial" w:cs="Arial"/>
          <w:kern w:val="0"/>
          <w:sz w:val="22"/>
          <w:lang w:val="en-US"/>
        </w:rPr>
        <w:t xml:space="preserve"> (</w:t>
      </w:r>
      <w:proofErr w:type="spellStart"/>
      <w:r w:rsidRPr="00392F18">
        <w:rPr>
          <w:rFonts w:ascii="Arial" w:hAnsi="Arial" w:cs="Arial"/>
          <w:kern w:val="0"/>
          <w:sz w:val="22"/>
          <w:lang w:val="en-US"/>
        </w:rPr>
        <w:t>IgAV</w:t>
      </w:r>
      <w:proofErr w:type="spellEnd"/>
      <w:r w:rsidRPr="00392F18">
        <w:rPr>
          <w:rFonts w:ascii="Arial" w:hAnsi="Arial" w:cs="Arial"/>
          <w:kern w:val="0"/>
          <w:sz w:val="22"/>
          <w:lang w:val="en-US"/>
        </w:rPr>
        <w:t xml:space="preserve">) is the most common systemic </w:t>
      </w:r>
      <w:proofErr w:type="spellStart"/>
      <w:r w:rsidRPr="00392F18">
        <w:rPr>
          <w:rFonts w:ascii="Arial" w:hAnsi="Arial" w:cs="Arial"/>
          <w:kern w:val="0"/>
          <w:sz w:val="22"/>
          <w:lang w:val="en-US"/>
        </w:rPr>
        <w:t>vasculitis</w:t>
      </w:r>
      <w:proofErr w:type="spellEnd"/>
      <w:r w:rsidRPr="00392F18">
        <w:rPr>
          <w:rFonts w:ascii="Arial" w:hAnsi="Arial" w:cs="Arial"/>
          <w:kern w:val="0"/>
          <w:sz w:val="22"/>
          <w:lang w:val="en-US"/>
        </w:rPr>
        <w:t xml:space="preserve"> in childhood. </w:t>
      </w:r>
      <w:proofErr w:type="spellStart"/>
      <w:r w:rsidRPr="00392F18">
        <w:rPr>
          <w:rFonts w:ascii="Arial" w:hAnsi="Arial" w:cs="Arial"/>
          <w:kern w:val="0"/>
          <w:sz w:val="22"/>
          <w:lang w:val="en-US"/>
        </w:rPr>
        <w:t>Purpuric</w:t>
      </w:r>
      <w:proofErr w:type="spellEnd"/>
      <w:r w:rsidRPr="00392F18">
        <w:rPr>
          <w:rFonts w:ascii="Arial" w:hAnsi="Arial" w:cs="Arial"/>
          <w:kern w:val="0"/>
          <w:sz w:val="22"/>
          <w:lang w:val="en-US"/>
        </w:rPr>
        <w:t xml:space="preserve"> rash is a mandatory criterion for diagnosing </w:t>
      </w:r>
      <w:proofErr w:type="spellStart"/>
      <w:r w:rsidRPr="00392F18">
        <w:rPr>
          <w:rFonts w:ascii="Arial" w:hAnsi="Arial" w:cs="Arial"/>
          <w:kern w:val="0"/>
          <w:sz w:val="22"/>
          <w:lang w:val="en-US"/>
        </w:rPr>
        <w:t>IgAV</w:t>
      </w:r>
      <w:proofErr w:type="spellEnd"/>
      <w:r w:rsidRPr="00392F18">
        <w:rPr>
          <w:rFonts w:ascii="Arial" w:hAnsi="Arial" w:cs="Arial"/>
          <w:kern w:val="0"/>
          <w:sz w:val="22"/>
          <w:lang w:val="en-US"/>
        </w:rPr>
        <w:t>, it is mostly localized on the lower extremities and gluteal region, although it can also appear atypically affecting the face, trunk and upper extremities. In the most severe cases, ulcerations, necrosis and bullae can be present.</w:t>
      </w:r>
    </w:p>
    <w:p w14:paraId="304B4B6D" w14:textId="7A6D1379" w:rsidR="00C32160" w:rsidRPr="00392F18" w:rsidRDefault="00C32160" w:rsidP="00C32160">
      <w:pPr>
        <w:spacing w:after="200" w:line="360" w:lineRule="auto"/>
        <w:jc w:val="both"/>
        <w:rPr>
          <w:rFonts w:ascii="Arial" w:hAnsi="Arial" w:cs="Arial"/>
          <w:kern w:val="0"/>
          <w:sz w:val="22"/>
          <w:lang w:val="en-US"/>
        </w:rPr>
      </w:pPr>
      <w:r w:rsidRPr="00392F18">
        <w:rPr>
          <w:rFonts w:ascii="Arial" w:hAnsi="Arial" w:cs="Arial"/>
          <w:kern w:val="0"/>
          <w:sz w:val="22"/>
          <w:lang w:val="en-US"/>
        </w:rPr>
        <w:t xml:space="preserve">To evaluate the characteristics of skin manifestations in patients with </w:t>
      </w:r>
      <w:proofErr w:type="spellStart"/>
      <w:r w:rsidRPr="00392F18">
        <w:rPr>
          <w:rFonts w:ascii="Arial" w:hAnsi="Arial" w:cs="Arial"/>
          <w:kern w:val="0"/>
          <w:sz w:val="22"/>
          <w:lang w:val="en-US"/>
        </w:rPr>
        <w:t>IgAV</w:t>
      </w:r>
      <w:proofErr w:type="spellEnd"/>
      <w:r w:rsidRPr="00392F18">
        <w:rPr>
          <w:rFonts w:ascii="Arial" w:hAnsi="Arial" w:cs="Arial"/>
          <w:kern w:val="0"/>
          <w:sz w:val="22"/>
          <w:lang w:val="en-US"/>
        </w:rPr>
        <w:t xml:space="preserve"> and to examine its impact on clinical and laboratory features. We have made a retrospective analysis of data from patients with </w:t>
      </w:r>
      <w:proofErr w:type="spellStart"/>
      <w:r w:rsidRPr="00392F18">
        <w:rPr>
          <w:rFonts w:ascii="Arial" w:hAnsi="Arial" w:cs="Arial"/>
          <w:kern w:val="0"/>
          <w:sz w:val="22"/>
          <w:lang w:val="en-US"/>
        </w:rPr>
        <w:t>IgAV</w:t>
      </w:r>
      <w:proofErr w:type="spellEnd"/>
      <w:r w:rsidRPr="00392F18">
        <w:rPr>
          <w:rFonts w:ascii="Arial" w:hAnsi="Arial" w:cs="Arial"/>
          <w:kern w:val="0"/>
          <w:sz w:val="22"/>
          <w:lang w:val="en-US"/>
        </w:rPr>
        <w:t xml:space="preserve"> diagnosed and treated at the Centre of Reference for Pediatric and Adolescent Rheumatology of the Ministry of Health of the Republic of Croatia, in the period from January 2009 to December 2021. Patients were divided into two groups: the first one included patients with skin rash on lower extremities and gl</w:t>
      </w:r>
      <w:bookmarkStart w:id="1" w:name="_GoBack"/>
      <w:bookmarkEnd w:id="1"/>
      <w:r w:rsidRPr="00392F18">
        <w:rPr>
          <w:rFonts w:ascii="Arial" w:hAnsi="Arial" w:cs="Arial"/>
          <w:kern w:val="0"/>
          <w:sz w:val="22"/>
          <w:lang w:val="en-US"/>
        </w:rPr>
        <w:t xml:space="preserve">uteal region, while the second group </w:t>
      </w:r>
      <w:r w:rsidR="00060FE8" w:rsidRPr="00392F18">
        <w:rPr>
          <w:rFonts w:ascii="Arial" w:hAnsi="Arial" w:cs="Arial"/>
          <w:kern w:val="0"/>
          <w:sz w:val="22"/>
          <w:lang w:val="en-US"/>
        </w:rPr>
        <w:t>included patients with rash above lower extremities.</w:t>
      </w:r>
      <w:r w:rsidRPr="00392F18">
        <w:rPr>
          <w:rFonts w:ascii="Arial" w:hAnsi="Arial" w:cs="Arial"/>
          <w:kern w:val="0"/>
          <w:sz w:val="22"/>
          <w:lang w:val="en-US"/>
        </w:rPr>
        <w:t xml:space="preserve"> </w:t>
      </w:r>
      <w:r w:rsidR="00060FE8" w:rsidRPr="00392F18">
        <w:rPr>
          <w:rFonts w:ascii="Arial" w:hAnsi="Arial" w:cs="Arial"/>
          <w:kern w:val="0"/>
          <w:sz w:val="22"/>
          <w:lang w:val="en-US"/>
        </w:rPr>
        <w:t xml:space="preserve">Also, we compared patients who had </w:t>
      </w:r>
      <w:proofErr w:type="gramStart"/>
      <w:r w:rsidR="00060FE8" w:rsidRPr="00392F18">
        <w:rPr>
          <w:rFonts w:ascii="Arial" w:hAnsi="Arial" w:cs="Arial"/>
          <w:kern w:val="0"/>
          <w:sz w:val="22"/>
          <w:lang w:val="en-US"/>
        </w:rPr>
        <w:t>sever</w:t>
      </w:r>
      <w:proofErr w:type="gramEnd"/>
      <w:r w:rsidR="00060FE8" w:rsidRPr="00392F18">
        <w:rPr>
          <w:rFonts w:ascii="Arial" w:hAnsi="Arial" w:cs="Arial"/>
          <w:kern w:val="0"/>
          <w:sz w:val="22"/>
          <w:lang w:val="en-US"/>
        </w:rPr>
        <w:t xml:space="preserve"> cu</w:t>
      </w:r>
      <w:r w:rsidR="00392F18">
        <w:rPr>
          <w:rFonts w:ascii="Arial" w:hAnsi="Arial" w:cs="Arial"/>
          <w:kern w:val="0"/>
          <w:sz w:val="22"/>
          <w:lang w:val="en-US"/>
        </w:rPr>
        <w:t>taneous manifestation such as u</w:t>
      </w:r>
      <w:r w:rsidR="00060FE8" w:rsidRPr="00392F18">
        <w:rPr>
          <w:rFonts w:ascii="Arial" w:hAnsi="Arial" w:cs="Arial"/>
          <w:kern w:val="0"/>
          <w:sz w:val="22"/>
          <w:lang w:val="en-US"/>
        </w:rPr>
        <w:t>l</w:t>
      </w:r>
      <w:r w:rsidR="00392F18">
        <w:rPr>
          <w:rFonts w:ascii="Arial" w:hAnsi="Arial" w:cs="Arial"/>
          <w:kern w:val="0"/>
          <w:sz w:val="22"/>
          <w:lang w:val="en-US"/>
        </w:rPr>
        <w:t>c</w:t>
      </w:r>
      <w:r w:rsidR="00060FE8" w:rsidRPr="00392F18">
        <w:rPr>
          <w:rFonts w:ascii="Arial" w:hAnsi="Arial" w:cs="Arial"/>
          <w:kern w:val="0"/>
          <w:sz w:val="22"/>
          <w:lang w:val="en-US"/>
        </w:rPr>
        <w:t>erations, necrosis or bullae to all the other patients.</w:t>
      </w:r>
    </w:p>
    <w:p w14:paraId="539963B9" w14:textId="77777777" w:rsidR="00C32160" w:rsidRPr="00392F18" w:rsidRDefault="00060FE8" w:rsidP="00060FE8">
      <w:pPr>
        <w:spacing w:after="200" w:line="360" w:lineRule="auto"/>
        <w:jc w:val="both"/>
        <w:rPr>
          <w:rFonts w:ascii="Arial" w:hAnsi="Arial" w:cs="Arial"/>
          <w:kern w:val="0"/>
          <w:sz w:val="22"/>
          <w:lang w:val="en-US"/>
        </w:rPr>
      </w:pPr>
      <w:r w:rsidRPr="00392F18">
        <w:rPr>
          <w:rFonts w:ascii="Arial" w:hAnsi="Arial" w:cs="Arial"/>
          <w:kern w:val="0"/>
          <w:sz w:val="22"/>
          <w:lang w:val="en-US"/>
        </w:rPr>
        <w:t xml:space="preserve">Patients whose rash spread above lower extremities had statistically significant more gastrointestinal involvement, higher incidence of IgA </w:t>
      </w:r>
      <w:proofErr w:type="spellStart"/>
      <w:r w:rsidRPr="00392F18">
        <w:rPr>
          <w:rFonts w:ascii="Arial" w:hAnsi="Arial" w:cs="Arial"/>
          <w:kern w:val="0"/>
          <w:sz w:val="22"/>
          <w:lang w:val="en-US"/>
        </w:rPr>
        <w:t>vasculitis</w:t>
      </w:r>
      <w:proofErr w:type="spellEnd"/>
      <w:r w:rsidRPr="00392F18">
        <w:rPr>
          <w:rFonts w:ascii="Arial" w:hAnsi="Arial" w:cs="Arial"/>
          <w:kern w:val="0"/>
          <w:sz w:val="22"/>
          <w:lang w:val="en-US"/>
        </w:rPr>
        <w:t xml:space="preserve"> nephritis and they were more </w:t>
      </w:r>
      <w:proofErr w:type="gramStart"/>
      <w:r w:rsidRPr="00392F18">
        <w:rPr>
          <w:rFonts w:ascii="Arial" w:hAnsi="Arial" w:cs="Arial"/>
          <w:kern w:val="0"/>
          <w:sz w:val="22"/>
          <w:lang w:val="en-US"/>
        </w:rPr>
        <w:t>frequently  treated</w:t>
      </w:r>
      <w:proofErr w:type="gramEnd"/>
      <w:r w:rsidRPr="00392F18">
        <w:rPr>
          <w:rFonts w:ascii="Arial" w:hAnsi="Arial" w:cs="Arial"/>
          <w:kern w:val="0"/>
          <w:sz w:val="22"/>
          <w:lang w:val="en-US"/>
        </w:rPr>
        <w:t xml:space="preserve"> with systemic glucocorticoids and angiotensin converting enzyme inhibitors. Almost all patients with ulcerations and necrosis required treatment with systemic glucocorticoids compared to the rest. These findings suggest that cutaneous manifestations of </w:t>
      </w:r>
      <w:proofErr w:type="spellStart"/>
      <w:r w:rsidRPr="00392F18">
        <w:rPr>
          <w:rFonts w:ascii="Arial" w:hAnsi="Arial" w:cs="Arial"/>
          <w:kern w:val="0"/>
          <w:sz w:val="22"/>
          <w:lang w:val="en-US"/>
        </w:rPr>
        <w:t>IgAV</w:t>
      </w:r>
      <w:proofErr w:type="spellEnd"/>
      <w:r w:rsidRPr="00392F18">
        <w:rPr>
          <w:rFonts w:ascii="Arial" w:hAnsi="Arial" w:cs="Arial"/>
          <w:kern w:val="0"/>
          <w:sz w:val="22"/>
          <w:lang w:val="en-US"/>
        </w:rPr>
        <w:t xml:space="preserve"> have an impact on how severe clinical presentation of IgA </w:t>
      </w:r>
      <w:proofErr w:type="spellStart"/>
      <w:r w:rsidRPr="00392F18">
        <w:rPr>
          <w:rFonts w:ascii="Arial" w:hAnsi="Arial" w:cs="Arial"/>
          <w:kern w:val="0"/>
          <w:sz w:val="22"/>
          <w:lang w:val="en-US"/>
        </w:rPr>
        <w:t>vasculitis</w:t>
      </w:r>
      <w:proofErr w:type="spellEnd"/>
      <w:r w:rsidRPr="00392F18">
        <w:rPr>
          <w:rFonts w:ascii="Arial" w:hAnsi="Arial" w:cs="Arial"/>
          <w:kern w:val="0"/>
          <w:sz w:val="22"/>
          <w:lang w:val="en-US"/>
        </w:rPr>
        <w:t xml:space="preserve"> is. </w:t>
      </w:r>
    </w:p>
    <w:p w14:paraId="3E9382DA" w14:textId="77777777" w:rsidR="00C32160" w:rsidRPr="00392F18" w:rsidRDefault="00C32160" w:rsidP="00C32160">
      <w:pPr>
        <w:spacing w:after="200" w:line="360" w:lineRule="auto"/>
        <w:jc w:val="both"/>
        <w:rPr>
          <w:rFonts w:ascii="Arial" w:hAnsi="Arial" w:cs="Arial"/>
          <w:i/>
          <w:kern w:val="0"/>
          <w:sz w:val="22"/>
          <w:lang w:val="en-US"/>
        </w:rPr>
      </w:pPr>
      <w:r w:rsidRPr="00392F18">
        <w:rPr>
          <w:rFonts w:ascii="Arial" w:hAnsi="Arial" w:cs="Arial"/>
          <w:i/>
          <w:kern w:val="0"/>
          <w:sz w:val="22"/>
          <w:lang w:val="en-US"/>
        </w:rPr>
        <w:t xml:space="preserve">Key words: IgA </w:t>
      </w:r>
      <w:proofErr w:type="spellStart"/>
      <w:r w:rsidRPr="00392F18">
        <w:rPr>
          <w:rFonts w:ascii="Arial" w:hAnsi="Arial" w:cs="Arial"/>
          <w:i/>
          <w:kern w:val="0"/>
          <w:sz w:val="22"/>
          <w:lang w:val="en-US"/>
        </w:rPr>
        <w:t>vasculitis</w:t>
      </w:r>
      <w:proofErr w:type="spellEnd"/>
      <w:r w:rsidRPr="00392F18">
        <w:rPr>
          <w:rFonts w:ascii="Arial" w:hAnsi="Arial" w:cs="Arial"/>
          <w:i/>
          <w:kern w:val="0"/>
          <w:sz w:val="22"/>
          <w:lang w:val="en-US"/>
        </w:rPr>
        <w:t>, cutaneous manifestations, children</w:t>
      </w:r>
    </w:p>
    <w:p w14:paraId="3C0FCC72" w14:textId="77777777" w:rsidR="00C32160" w:rsidRDefault="00C32160" w:rsidP="00C32160">
      <w:pPr>
        <w:spacing w:after="200" w:line="360" w:lineRule="auto"/>
        <w:jc w:val="both"/>
        <w:rPr>
          <w:rFonts w:ascii="Arial" w:hAnsi="Arial" w:cs="Arial"/>
          <w:kern w:val="0"/>
          <w:sz w:val="22"/>
        </w:rPr>
      </w:pPr>
    </w:p>
    <w:p w14:paraId="452316CB" w14:textId="77777777" w:rsidR="00C32160" w:rsidRDefault="00C32160" w:rsidP="00C32160">
      <w:pPr>
        <w:spacing w:after="200" w:line="360" w:lineRule="auto"/>
        <w:jc w:val="both"/>
        <w:rPr>
          <w:rFonts w:ascii="Arial" w:hAnsi="Arial" w:cs="Arial"/>
          <w:kern w:val="0"/>
          <w:sz w:val="22"/>
        </w:rPr>
      </w:pPr>
    </w:p>
    <w:p w14:paraId="6E2E3A5E" w14:textId="77777777" w:rsidR="00C32160" w:rsidRDefault="00C32160" w:rsidP="00C32160">
      <w:pPr>
        <w:spacing w:after="200" w:line="360" w:lineRule="auto"/>
        <w:jc w:val="both"/>
        <w:rPr>
          <w:rFonts w:ascii="Arial" w:hAnsi="Arial" w:cs="Arial"/>
          <w:kern w:val="0"/>
          <w:sz w:val="22"/>
        </w:rPr>
      </w:pPr>
    </w:p>
    <w:p w14:paraId="7E821311" w14:textId="77777777" w:rsidR="00C32160" w:rsidRDefault="00C32160" w:rsidP="00C32160">
      <w:pPr>
        <w:spacing w:after="200" w:line="360" w:lineRule="auto"/>
        <w:jc w:val="both"/>
        <w:rPr>
          <w:rFonts w:ascii="Arial" w:hAnsi="Arial" w:cs="Arial"/>
          <w:kern w:val="0"/>
          <w:sz w:val="22"/>
        </w:rPr>
      </w:pPr>
    </w:p>
    <w:p w14:paraId="5F227B2B" w14:textId="77777777" w:rsidR="00C32160" w:rsidRDefault="00C32160" w:rsidP="00C32160">
      <w:pPr>
        <w:spacing w:after="200" w:line="360" w:lineRule="auto"/>
        <w:jc w:val="both"/>
        <w:rPr>
          <w:rFonts w:ascii="Arial" w:hAnsi="Arial" w:cs="Arial"/>
          <w:kern w:val="0"/>
          <w:sz w:val="22"/>
        </w:rPr>
      </w:pPr>
    </w:p>
    <w:p w14:paraId="48DC1489" w14:textId="77777777" w:rsidR="00C32160" w:rsidRPr="00A95740" w:rsidRDefault="00A95740" w:rsidP="00A95740">
      <w:pPr>
        <w:pStyle w:val="ListParagraph"/>
        <w:numPr>
          <w:ilvl w:val="0"/>
          <w:numId w:val="1"/>
        </w:numPr>
        <w:spacing w:after="200" w:line="360" w:lineRule="auto"/>
        <w:jc w:val="both"/>
        <w:rPr>
          <w:rFonts w:ascii="Arial" w:hAnsi="Arial" w:cs="Arial"/>
          <w:b/>
          <w:kern w:val="0"/>
        </w:rPr>
      </w:pPr>
      <w:r w:rsidRPr="00A95740">
        <w:rPr>
          <w:rFonts w:ascii="Arial" w:hAnsi="Arial" w:cs="Arial"/>
          <w:b/>
          <w:kern w:val="0"/>
        </w:rPr>
        <w:t>ŽIVOTOPIS</w:t>
      </w:r>
    </w:p>
    <w:p w14:paraId="3E0CA589" w14:textId="77777777" w:rsidR="007A671F" w:rsidRDefault="00A95740" w:rsidP="00C32160">
      <w:pPr>
        <w:spacing w:after="200" w:line="360" w:lineRule="auto"/>
        <w:jc w:val="both"/>
        <w:rPr>
          <w:rFonts w:ascii="Arial" w:hAnsi="Arial" w:cs="Arial"/>
          <w:kern w:val="0"/>
          <w:sz w:val="22"/>
        </w:rPr>
      </w:pPr>
      <w:r>
        <w:rPr>
          <w:rFonts w:ascii="Arial" w:hAnsi="Arial" w:cs="Arial"/>
          <w:kern w:val="0"/>
          <w:sz w:val="22"/>
        </w:rPr>
        <w:t>Rođen sam 21.5.1997. u Mostaru. U Širokome Brijegu završio sam Gimnaziju fra Dominika Mandića 2016. godine</w:t>
      </w:r>
      <w:r w:rsidR="007A671F">
        <w:rPr>
          <w:rFonts w:ascii="Arial" w:hAnsi="Arial" w:cs="Arial"/>
          <w:kern w:val="0"/>
          <w:sz w:val="22"/>
        </w:rPr>
        <w:t xml:space="preserve"> </w:t>
      </w:r>
      <w:r>
        <w:rPr>
          <w:rFonts w:ascii="Arial" w:hAnsi="Arial" w:cs="Arial"/>
          <w:kern w:val="0"/>
          <w:sz w:val="22"/>
        </w:rPr>
        <w:t xml:space="preserve">te sam iste godine upisao Medicinski fakultet u Zagrebu. </w:t>
      </w:r>
      <w:r w:rsidR="00847F53">
        <w:rPr>
          <w:rFonts w:ascii="Arial" w:hAnsi="Arial" w:cs="Arial"/>
          <w:kern w:val="0"/>
          <w:sz w:val="22"/>
        </w:rPr>
        <w:t xml:space="preserve">Dobitnik sam Dekanove nagrade za najboljeg studenta prve godine studija medicine. Kroz svoje akademsko obrazovanje sudjelovao sam u radu Studentske sekcije za neuroznanost te udruge CroMSIC. </w:t>
      </w:r>
      <w:r w:rsidR="007A671F">
        <w:rPr>
          <w:rFonts w:ascii="Arial" w:hAnsi="Arial" w:cs="Arial"/>
          <w:kern w:val="0"/>
          <w:sz w:val="22"/>
        </w:rPr>
        <w:t xml:space="preserve">Bio sam demonstrator na kolegijima Anatomija, Medicinska kemija i biokemija 1 i 2, Medicinska biologija, Medicinska mikrobiologija i Patofiziologija. Trenutno sam student 6. godine s težinskim prosjekom ocjena 4,986. Volontirao sam u epidemiološkom call centru, a tokom pandemije radio sam na PCR testiranju, brzom antigenskom testiranju te cijepljenju protiv COVID-19. </w:t>
      </w:r>
    </w:p>
    <w:p w14:paraId="0637437A" w14:textId="77777777" w:rsidR="00C32160" w:rsidRDefault="00965DA1" w:rsidP="00C32160">
      <w:pPr>
        <w:spacing w:after="200" w:line="360" w:lineRule="auto"/>
        <w:jc w:val="both"/>
        <w:rPr>
          <w:rFonts w:ascii="Arial" w:hAnsi="Arial" w:cs="Arial"/>
          <w:kern w:val="0"/>
          <w:sz w:val="22"/>
        </w:rPr>
      </w:pPr>
      <w:r>
        <w:rPr>
          <w:rFonts w:ascii="Arial" w:hAnsi="Arial" w:cs="Arial"/>
          <w:kern w:val="0"/>
          <w:sz w:val="22"/>
        </w:rPr>
        <w:t xml:space="preserve">Sudjelovao sam i na raznim kongresima od kojih bih izdvojio </w:t>
      </w:r>
      <w:r w:rsidR="007A671F">
        <w:rPr>
          <w:rFonts w:ascii="Arial" w:hAnsi="Arial" w:cs="Arial"/>
          <w:kern w:val="0"/>
          <w:sz w:val="22"/>
        </w:rPr>
        <w:t>poster-izlaganje istraživanja na temu „Akutni učinak</w:t>
      </w:r>
      <w:r>
        <w:rPr>
          <w:rFonts w:ascii="Arial" w:hAnsi="Arial" w:cs="Arial"/>
          <w:kern w:val="0"/>
          <w:sz w:val="22"/>
        </w:rPr>
        <w:t xml:space="preserve"> oralne galaktoze i antagonista GLP1 receptora na razinu proteina u hipotalamusu </w:t>
      </w:r>
      <w:r w:rsidR="007A671F">
        <w:rPr>
          <w:rFonts w:ascii="Arial" w:hAnsi="Arial" w:cs="Arial"/>
          <w:kern w:val="0"/>
          <w:sz w:val="22"/>
        </w:rPr>
        <w:t xml:space="preserve">štakorskog modela sporadične Alzheimerove bolesti“ pod mentorstvom dr. sc. Ane Knezović na skupštini Hrvatskog društva farmakologa. Tečno govorim engleski, a služim se njemačkim i španjolskim jezikom. </w:t>
      </w:r>
    </w:p>
    <w:p w14:paraId="11245679" w14:textId="77777777" w:rsidR="00C32160" w:rsidRDefault="00C32160" w:rsidP="00C32160">
      <w:pPr>
        <w:spacing w:after="200" w:line="360" w:lineRule="auto"/>
        <w:jc w:val="both"/>
        <w:rPr>
          <w:rFonts w:ascii="Arial" w:hAnsi="Arial" w:cs="Arial"/>
          <w:kern w:val="0"/>
          <w:sz w:val="22"/>
        </w:rPr>
      </w:pPr>
    </w:p>
    <w:p w14:paraId="3A160772" w14:textId="77777777" w:rsidR="00C32160" w:rsidRDefault="00C32160" w:rsidP="00C32160">
      <w:pPr>
        <w:spacing w:after="200" w:line="360" w:lineRule="auto"/>
        <w:jc w:val="both"/>
        <w:rPr>
          <w:rFonts w:ascii="Arial" w:hAnsi="Arial" w:cs="Arial"/>
          <w:kern w:val="0"/>
          <w:sz w:val="22"/>
        </w:rPr>
      </w:pPr>
    </w:p>
    <w:p w14:paraId="7A286FAF" w14:textId="77777777" w:rsidR="00C32160" w:rsidRDefault="00C32160" w:rsidP="00C32160">
      <w:pPr>
        <w:spacing w:after="200" w:line="360" w:lineRule="auto"/>
        <w:jc w:val="both"/>
        <w:rPr>
          <w:rFonts w:ascii="Arial" w:hAnsi="Arial" w:cs="Arial"/>
          <w:kern w:val="0"/>
          <w:sz w:val="22"/>
        </w:rPr>
      </w:pPr>
    </w:p>
    <w:p w14:paraId="7C519384" w14:textId="77777777" w:rsidR="00C32160" w:rsidRPr="00E67D98" w:rsidRDefault="00C32160" w:rsidP="00C32160">
      <w:pPr>
        <w:spacing w:after="200" w:line="360" w:lineRule="auto"/>
        <w:jc w:val="both"/>
        <w:rPr>
          <w:rFonts w:ascii="Arial" w:hAnsi="Arial" w:cs="Arial"/>
          <w:kern w:val="0"/>
          <w:sz w:val="22"/>
        </w:rPr>
      </w:pPr>
    </w:p>
    <w:p w14:paraId="60953466" w14:textId="77777777" w:rsidR="005021C1" w:rsidRPr="00E67D98" w:rsidRDefault="005021C1" w:rsidP="005B7518">
      <w:pPr>
        <w:spacing w:after="200" w:line="360" w:lineRule="auto"/>
        <w:rPr>
          <w:rFonts w:ascii="Arial" w:hAnsi="Arial" w:cs="Arial"/>
          <w:kern w:val="0"/>
          <w:sz w:val="22"/>
        </w:rPr>
      </w:pPr>
    </w:p>
    <w:p w14:paraId="57081A39" w14:textId="77777777" w:rsidR="005021C1" w:rsidRPr="00E67D98" w:rsidRDefault="005021C1" w:rsidP="005B7518">
      <w:pPr>
        <w:spacing w:after="200" w:line="360" w:lineRule="auto"/>
        <w:rPr>
          <w:rFonts w:ascii="Arial" w:hAnsi="Arial" w:cs="Arial"/>
          <w:kern w:val="0"/>
          <w:sz w:val="22"/>
        </w:rPr>
      </w:pPr>
    </w:p>
    <w:p w14:paraId="6CE2EF7F" w14:textId="77777777" w:rsidR="005021C1" w:rsidRPr="0016621E" w:rsidRDefault="00E87ED5" w:rsidP="0016621E">
      <w:pPr>
        <w:widowControl/>
        <w:spacing w:line="360" w:lineRule="auto"/>
        <w:rPr>
          <w:rFonts w:ascii="Arial" w:hAnsi="Arial" w:cs="Arial"/>
          <w:sz w:val="20"/>
          <w:szCs w:val="20"/>
          <w:lang w:val="en-US"/>
        </w:rPr>
      </w:pPr>
      <w:r w:rsidRPr="00191237">
        <w:rPr>
          <w:rFonts w:ascii="Arial" w:hAnsi="Arial" w:cs="Arial"/>
          <w:sz w:val="20"/>
          <w:szCs w:val="20"/>
          <w:lang w:val="en-US"/>
        </w:rPr>
        <w:t xml:space="preserve"> </w:t>
      </w:r>
    </w:p>
    <w:sectPr w:rsidR="005021C1" w:rsidRPr="0016621E" w:rsidSect="00D82215">
      <w:footerReference w:type="default" r:id="rId13"/>
      <w:footerReference w:type="first" r:id="rId14"/>
      <w:pgSz w:w="12240" w:h="15840"/>
      <w:pgMar w:top="1440" w:right="1440" w:bottom="1440" w:left="1440" w:header="0" w:footer="0" w:gutter="0"/>
      <w:pgNumType w:start="1" w:chapStyle="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ECCF" w14:textId="77777777" w:rsidR="00B455A0" w:rsidRDefault="00B455A0" w:rsidP="00916185">
      <w:r>
        <w:separator/>
      </w:r>
    </w:p>
  </w:endnote>
  <w:endnote w:type="continuationSeparator" w:id="0">
    <w:p w14:paraId="32D5DB47" w14:textId="77777777" w:rsidR="00B455A0" w:rsidRDefault="00B455A0" w:rsidP="0091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Calibri Light">
    <w:altName w:val="Calibri"/>
    <w:charset w:val="00"/>
    <w:family w:val="swiss"/>
    <w:pitch w:val="variable"/>
    <w:sig w:usb0="00000001"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14CB6" w14:textId="3F8C6FE4" w:rsidR="009312CD" w:rsidRDefault="009312CD" w:rsidP="00A65D67">
    <w:pPr>
      <w:pStyle w:val="Footer"/>
    </w:pPr>
  </w:p>
  <w:p w14:paraId="6058BAE8" w14:textId="77777777" w:rsidR="009312CD" w:rsidRDefault="00931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36C4" w14:textId="77777777" w:rsidR="009312CD" w:rsidRDefault="009312CD">
    <w:pPr>
      <w:pStyle w:val="Footer"/>
      <w:jc w:val="right"/>
    </w:pPr>
  </w:p>
  <w:p w14:paraId="4382EC8C" w14:textId="77777777" w:rsidR="009312CD" w:rsidRDefault="00931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92667"/>
      <w:docPartObj>
        <w:docPartGallery w:val="Page Numbers (Bottom of Page)"/>
        <w:docPartUnique/>
      </w:docPartObj>
    </w:sdtPr>
    <w:sdtEndPr/>
    <w:sdtContent>
      <w:p w14:paraId="6526BD44" w14:textId="7301A881" w:rsidR="009312CD" w:rsidRDefault="009312CD">
        <w:pPr>
          <w:pStyle w:val="Footer"/>
          <w:jc w:val="right"/>
        </w:pPr>
        <w:r>
          <w:fldChar w:fldCharType="begin"/>
        </w:r>
        <w:r>
          <w:instrText>PAGE   \* MERGEFORMAT</w:instrText>
        </w:r>
        <w:r>
          <w:fldChar w:fldCharType="separate"/>
        </w:r>
        <w:r w:rsidR="005016BE">
          <w:rPr>
            <w:noProof/>
          </w:rPr>
          <w:t>3</w:t>
        </w:r>
        <w:r>
          <w:fldChar w:fldCharType="end"/>
        </w:r>
      </w:p>
    </w:sdtContent>
  </w:sdt>
  <w:p w14:paraId="368377C0" w14:textId="77777777" w:rsidR="009312CD" w:rsidRDefault="00931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886307"/>
      <w:docPartObj>
        <w:docPartGallery w:val="Page Numbers (Bottom of Page)"/>
        <w:docPartUnique/>
      </w:docPartObj>
    </w:sdtPr>
    <w:sdtEndPr/>
    <w:sdtContent>
      <w:p w14:paraId="11976280" w14:textId="0E121ABE" w:rsidR="009312CD" w:rsidRDefault="009312CD">
        <w:pPr>
          <w:pStyle w:val="Footer"/>
          <w:jc w:val="right"/>
        </w:pPr>
        <w:r>
          <w:fldChar w:fldCharType="begin"/>
        </w:r>
        <w:r>
          <w:instrText>PAGE   \* MERGEFORMAT</w:instrText>
        </w:r>
        <w:r>
          <w:fldChar w:fldCharType="separate"/>
        </w:r>
        <w:r w:rsidR="005016BE">
          <w:rPr>
            <w:noProof/>
          </w:rPr>
          <w:t>1</w:t>
        </w:r>
        <w:r>
          <w:fldChar w:fldCharType="end"/>
        </w:r>
      </w:p>
    </w:sdtContent>
  </w:sdt>
  <w:p w14:paraId="47C4C5E7" w14:textId="77777777" w:rsidR="009312CD" w:rsidRDefault="00931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A5C3A" w14:textId="77777777" w:rsidR="00B455A0" w:rsidRDefault="00B455A0" w:rsidP="00916185">
      <w:r>
        <w:separator/>
      </w:r>
    </w:p>
  </w:footnote>
  <w:footnote w:type="continuationSeparator" w:id="0">
    <w:p w14:paraId="2375CA7C" w14:textId="77777777" w:rsidR="00B455A0" w:rsidRDefault="00B455A0" w:rsidP="00916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56"/>
    <w:multiLevelType w:val="hybridMultilevel"/>
    <w:tmpl w:val="4B9C1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3DA49F3"/>
    <w:multiLevelType w:val="hybridMultilevel"/>
    <w:tmpl w:val="A998C06C"/>
    <w:lvl w:ilvl="0" w:tplc="AC6661F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7B8F60B2"/>
    <w:multiLevelType w:val="multilevel"/>
    <w:tmpl w:val="3014F53E"/>
    <w:lvl w:ilvl="0">
      <w:start w:val="1"/>
      <w:numFmt w:val="decimal"/>
      <w:pStyle w:val="headingmoji"/>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C1"/>
    <w:rsid w:val="00060FE8"/>
    <w:rsid w:val="000E243B"/>
    <w:rsid w:val="00104A30"/>
    <w:rsid w:val="0016621E"/>
    <w:rsid w:val="00191237"/>
    <w:rsid w:val="002A4F14"/>
    <w:rsid w:val="002C2135"/>
    <w:rsid w:val="00313911"/>
    <w:rsid w:val="00341685"/>
    <w:rsid w:val="00392F18"/>
    <w:rsid w:val="00396813"/>
    <w:rsid w:val="003C176D"/>
    <w:rsid w:val="003F7C01"/>
    <w:rsid w:val="00430CCC"/>
    <w:rsid w:val="004A7986"/>
    <w:rsid w:val="004D7A0F"/>
    <w:rsid w:val="004F1C7F"/>
    <w:rsid w:val="005016BE"/>
    <w:rsid w:val="005021C1"/>
    <w:rsid w:val="005B7518"/>
    <w:rsid w:val="006274D8"/>
    <w:rsid w:val="007161F7"/>
    <w:rsid w:val="00720AD0"/>
    <w:rsid w:val="0072278B"/>
    <w:rsid w:val="007A671F"/>
    <w:rsid w:val="007F5A00"/>
    <w:rsid w:val="0083228C"/>
    <w:rsid w:val="00847F53"/>
    <w:rsid w:val="00892B45"/>
    <w:rsid w:val="008C73DA"/>
    <w:rsid w:val="00916185"/>
    <w:rsid w:val="009312CD"/>
    <w:rsid w:val="00941368"/>
    <w:rsid w:val="00965DA1"/>
    <w:rsid w:val="009D3E6E"/>
    <w:rsid w:val="009F5A75"/>
    <w:rsid w:val="00A65D67"/>
    <w:rsid w:val="00A95740"/>
    <w:rsid w:val="00B455A0"/>
    <w:rsid w:val="00B7694D"/>
    <w:rsid w:val="00BD45CD"/>
    <w:rsid w:val="00C10451"/>
    <w:rsid w:val="00C32160"/>
    <w:rsid w:val="00C70424"/>
    <w:rsid w:val="00CA041A"/>
    <w:rsid w:val="00CA6B3B"/>
    <w:rsid w:val="00CB4B6C"/>
    <w:rsid w:val="00CD3E6E"/>
    <w:rsid w:val="00D5497E"/>
    <w:rsid w:val="00D82215"/>
    <w:rsid w:val="00E01B14"/>
    <w:rsid w:val="00E5296A"/>
    <w:rsid w:val="00E67D98"/>
    <w:rsid w:val="00E87ED5"/>
    <w:rsid w:val="00EA1B7F"/>
    <w:rsid w:val="00EA1BF9"/>
    <w:rsid w:val="00F160AB"/>
    <w:rsid w:val="00F4578C"/>
    <w:rsid w:val="00F83C02"/>
    <w:rsid w:val="00FC12C0"/>
    <w:rsid w:val="00FD2DE0"/>
    <w:rsid w:val="00FF11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beration Serif" w:hAnsi="Liberation Serif" w:cs="Liberation Serif"/>
      <w:kern w:val="2"/>
      <w:sz w:val="24"/>
      <w:szCs w:val="24"/>
      <w:lang w:eastAsia="hr-HR" w:bidi="hi-IN"/>
    </w:rPr>
  </w:style>
  <w:style w:type="paragraph" w:styleId="Heading1">
    <w:name w:val="heading 1"/>
    <w:basedOn w:val="Normal"/>
    <w:next w:val="Normal"/>
    <w:link w:val="Heading1Char"/>
    <w:uiPriority w:val="9"/>
    <w:qFormat/>
    <w:rsid w:val="00FF1184"/>
    <w:pPr>
      <w:keepNext/>
      <w:keepLines/>
      <w:widowControl/>
      <w:suppressAutoHyphens w:val="0"/>
      <w:spacing w:before="240" w:line="480"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Heading2">
    <w:name w:val="heading 2"/>
    <w:basedOn w:val="Normal"/>
    <w:next w:val="Normal"/>
    <w:link w:val="Heading2Char"/>
    <w:uiPriority w:val="9"/>
    <w:unhideWhenUsed/>
    <w:qFormat/>
    <w:rsid w:val="004F1C7F"/>
    <w:pPr>
      <w:keepNext/>
      <w:keepLines/>
      <w:spacing w:before="200"/>
      <w:outlineLvl w:val="1"/>
    </w:pPr>
    <w:rPr>
      <w:rFonts w:asciiTheme="majorHAnsi" w:eastAsiaTheme="majorEastAsia" w:hAnsiTheme="majorHAnsi" w:cs="Mangal"/>
      <w:b/>
      <w:bCs/>
      <w:color w:val="4472C4"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erijeenospominjanje1">
    <w:name w:val="Neriješeno spominjanje1"/>
    <w:basedOn w:val="DefaultParagraphFont"/>
    <w:uiPriority w:val="99"/>
    <w:semiHidden/>
    <w:unhideWhenUsed/>
    <w:qFormat/>
    <w:rsid w:val="00AA50C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ind w:left="720"/>
      <w:contextualSpacing/>
    </w:pPr>
    <w:rPr>
      <w:rFonts w:cs="Mangal"/>
      <w:szCs w:val="21"/>
    </w:rPr>
  </w:style>
  <w:style w:type="paragraph" w:styleId="BalloonText">
    <w:name w:val="Balloon Text"/>
    <w:basedOn w:val="Normal"/>
    <w:link w:val="BalloonTextChar"/>
    <w:uiPriority w:val="99"/>
    <w:semiHidden/>
    <w:unhideWhenUsed/>
    <w:rsid w:val="00FF1184"/>
    <w:rPr>
      <w:rFonts w:ascii="Tahoma" w:hAnsi="Tahoma" w:cs="Mangal"/>
      <w:sz w:val="16"/>
      <w:szCs w:val="14"/>
    </w:rPr>
  </w:style>
  <w:style w:type="character" w:customStyle="1" w:styleId="BalloonTextChar">
    <w:name w:val="Balloon Text Char"/>
    <w:basedOn w:val="DefaultParagraphFont"/>
    <w:link w:val="BalloonText"/>
    <w:uiPriority w:val="99"/>
    <w:semiHidden/>
    <w:rsid w:val="00FF1184"/>
    <w:rPr>
      <w:rFonts w:ascii="Tahoma" w:hAnsi="Tahoma" w:cs="Mangal"/>
      <w:kern w:val="2"/>
      <w:sz w:val="16"/>
      <w:szCs w:val="14"/>
      <w:lang w:eastAsia="hr-HR" w:bidi="hi-IN"/>
    </w:rPr>
  </w:style>
  <w:style w:type="character" w:customStyle="1" w:styleId="Heading1Char">
    <w:name w:val="Heading 1 Char"/>
    <w:basedOn w:val="DefaultParagraphFont"/>
    <w:link w:val="Heading1"/>
    <w:uiPriority w:val="9"/>
    <w:rsid w:val="00FF1184"/>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sid w:val="00FF1184"/>
    <w:rPr>
      <w:rFonts w:ascii="Calibri-Bold" w:hAnsi="Calibri-Bold" w:hint="default"/>
      <w:b/>
      <w:bCs/>
      <w:i w:val="0"/>
      <w:iCs w:val="0"/>
      <w:color w:val="222222"/>
      <w:sz w:val="26"/>
      <w:szCs w:val="26"/>
    </w:rPr>
  </w:style>
  <w:style w:type="paragraph" w:styleId="Header">
    <w:name w:val="header"/>
    <w:basedOn w:val="Normal"/>
    <w:link w:val="HeaderChar"/>
    <w:uiPriority w:val="99"/>
    <w:unhideWhenUsed/>
    <w:rsid w:val="00916185"/>
    <w:pPr>
      <w:tabs>
        <w:tab w:val="center" w:pos="4536"/>
        <w:tab w:val="right" w:pos="9072"/>
      </w:tabs>
    </w:pPr>
    <w:rPr>
      <w:rFonts w:cs="Mangal"/>
      <w:szCs w:val="21"/>
    </w:rPr>
  </w:style>
  <w:style w:type="character" w:customStyle="1" w:styleId="HeaderChar">
    <w:name w:val="Header Char"/>
    <w:basedOn w:val="DefaultParagraphFont"/>
    <w:link w:val="Header"/>
    <w:uiPriority w:val="99"/>
    <w:rsid w:val="00916185"/>
    <w:rPr>
      <w:rFonts w:ascii="Liberation Serif" w:hAnsi="Liberation Serif" w:cs="Mangal"/>
      <w:kern w:val="2"/>
      <w:sz w:val="24"/>
      <w:szCs w:val="21"/>
      <w:lang w:eastAsia="hr-HR" w:bidi="hi-IN"/>
    </w:rPr>
  </w:style>
  <w:style w:type="paragraph" w:styleId="Footer">
    <w:name w:val="footer"/>
    <w:basedOn w:val="Normal"/>
    <w:link w:val="FooterChar"/>
    <w:uiPriority w:val="99"/>
    <w:unhideWhenUsed/>
    <w:rsid w:val="00916185"/>
    <w:pPr>
      <w:tabs>
        <w:tab w:val="center" w:pos="4536"/>
        <w:tab w:val="right" w:pos="9072"/>
      </w:tabs>
    </w:pPr>
    <w:rPr>
      <w:rFonts w:cs="Mangal"/>
      <w:szCs w:val="21"/>
    </w:rPr>
  </w:style>
  <w:style w:type="character" w:customStyle="1" w:styleId="FooterChar">
    <w:name w:val="Footer Char"/>
    <w:basedOn w:val="DefaultParagraphFont"/>
    <w:link w:val="Footer"/>
    <w:uiPriority w:val="99"/>
    <w:rsid w:val="00916185"/>
    <w:rPr>
      <w:rFonts w:ascii="Liberation Serif" w:hAnsi="Liberation Serif" w:cs="Mangal"/>
      <w:kern w:val="2"/>
      <w:sz w:val="24"/>
      <w:szCs w:val="21"/>
      <w:lang w:eastAsia="hr-HR" w:bidi="hi-IN"/>
    </w:rPr>
  </w:style>
  <w:style w:type="table" w:styleId="MediumShading1-Accent5">
    <w:name w:val="Medium Shading 1 Accent 5"/>
    <w:basedOn w:val="TableNormal"/>
    <w:uiPriority w:val="63"/>
    <w:rsid w:val="00CD3E6E"/>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CD3E6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List2-Accent5">
    <w:name w:val="Medium List 2 Accent 5"/>
    <w:basedOn w:val="TableNormal"/>
    <w:uiPriority w:val="66"/>
    <w:rsid w:val="00CD3E6E"/>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CD3E6E"/>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CD3E6E"/>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5">
    <w:name w:val="Colorful Grid Accent 5"/>
    <w:basedOn w:val="TableNormal"/>
    <w:uiPriority w:val="73"/>
    <w:rsid w:val="00CD3E6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styleId="TOCHeading">
    <w:name w:val="TOC Heading"/>
    <w:basedOn w:val="Heading1"/>
    <w:next w:val="Normal"/>
    <w:uiPriority w:val="39"/>
    <w:unhideWhenUsed/>
    <w:qFormat/>
    <w:rsid w:val="00E01B14"/>
    <w:pPr>
      <w:spacing w:before="480" w:after="480" w:line="276" w:lineRule="auto"/>
      <w:outlineLvl w:val="9"/>
    </w:pPr>
    <w:rPr>
      <w:b/>
      <w:bCs/>
      <w:sz w:val="28"/>
      <w:szCs w:val="28"/>
      <w:lang w:val="en-US"/>
    </w:rPr>
  </w:style>
  <w:style w:type="paragraph" w:styleId="TOC1">
    <w:name w:val="toc 1"/>
    <w:basedOn w:val="Normal"/>
    <w:next w:val="Normal"/>
    <w:autoRedefine/>
    <w:uiPriority w:val="39"/>
    <w:unhideWhenUsed/>
    <w:rsid w:val="00E01B14"/>
    <w:pPr>
      <w:widowControl/>
      <w:suppressAutoHyphens w:val="0"/>
      <w:spacing w:before="120" w:line="257" w:lineRule="auto"/>
    </w:pPr>
    <w:rPr>
      <w:rFonts w:ascii="Times New Roman" w:hAnsi="Times New Roman" w:cstheme="minorHAnsi"/>
      <w:b/>
      <w:bCs/>
      <w:i/>
      <w:iCs/>
      <w:kern w:val="0"/>
      <w:lang w:eastAsia="en-US" w:bidi="ar-SA"/>
    </w:rPr>
  </w:style>
  <w:style w:type="paragraph" w:styleId="TOC2">
    <w:name w:val="toc 2"/>
    <w:basedOn w:val="Normal"/>
    <w:next w:val="Normal"/>
    <w:autoRedefine/>
    <w:uiPriority w:val="39"/>
    <w:unhideWhenUsed/>
    <w:rsid w:val="00F4578C"/>
    <w:pPr>
      <w:widowControl/>
      <w:tabs>
        <w:tab w:val="left" w:pos="880"/>
        <w:tab w:val="right" w:leader="dot" w:pos="9062"/>
      </w:tabs>
      <w:suppressAutoHyphens w:val="0"/>
      <w:spacing w:before="120" w:line="257" w:lineRule="auto"/>
      <w:ind w:left="220"/>
    </w:pPr>
    <w:rPr>
      <w:rFonts w:ascii="Arial" w:eastAsia="Times New Roman" w:hAnsi="Arial" w:cs="Arial"/>
      <w:b/>
      <w:bCs/>
      <w:noProof/>
      <w:kern w:val="0"/>
      <w:sz w:val="22"/>
      <w:szCs w:val="22"/>
      <w:lang w:eastAsia="en-US" w:bidi="ar-SA"/>
    </w:rPr>
  </w:style>
  <w:style w:type="paragraph" w:customStyle="1" w:styleId="element-animated">
    <w:name w:val="element-animated"/>
    <w:basedOn w:val="Normal"/>
    <w:rsid w:val="00FC12C0"/>
    <w:pPr>
      <w:widowControl/>
      <w:suppressAutoHyphens w:val="0"/>
      <w:spacing w:before="100" w:beforeAutospacing="1" w:after="100" w:afterAutospacing="1"/>
    </w:pPr>
    <w:rPr>
      <w:rFonts w:ascii="Times New Roman" w:eastAsia="Times New Roman" w:hAnsi="Times New Roman" w:cs="Times New Roman"/>
      <w:kern w:val="0"/>
      <w:lang w:bidi="ar-SA"/>
    </w:rPr>
  </w:style>
  <w:style w:type="character" w:styleId="Strong">
    <w:name w:val="Strong"/>
    <w:basedOn w:val="DefaultParagraphFont"/>
    <w:uiPriority w:val="22"/>
    <w:qFormat/>
    <w:rsid w:val="00FC12C0"/>
    <w:rPr>
      <w:b/>
      <w:bCs/>
    </w:rPr>
  </w:style>
  <w:style w:type="character" w:customStyle="1" w:styleId="Heading2Char">
    <w:name w:val="Heading 2 Char"/>
    <w:basedOn w:val="DefaultParagraphFont"/>
    <w:link w:val="Heading2"/>
    <w:uiPriority w:val="9"/>
    <w:rsid w:val="004F1C7F"/>
    <w:rPr>
      <w:rFonts w:asciiTheme="majorHAnsi" w:eastAsiaTheme="majorEastAsia" w:hAnsiTheme="majorHAnsi" w:cs="Mangal"/>
      <w:b/>
      <w:bCs/>
      <w:color w:val="4472C4" w:themeColor="accent1"/>
      <w:kern w:val="2"/>
      <w:sz w:val="26"/>
      <w:szCs w:val="23"/>
      <w:lang w:eastAsia="hr-HR" w:bidi="hi-IN"/>
    </w:rPr>
  </w:style>
  <w:style w:type="paragraph" w:customStyle="1" w:styleId="Style1">
    <w:name w:val="Style1"/>
    <w:basedOn w:val="Heading2"/>
    <w:link w:val="Style1Char"/>
    <w:qFormat/>
    <w:rsid w:val="004F1C7F"/>
    <w:pPr>
      <w:spacing w:after="200" w:line="360" w:lineRule="auto"/>
      <w:ind w:left="720" w:hanging="360"/>
    </w:pPr>
    <w:rPr>
      <w:rFonts w:ascii="Arial" w:hAnsi="Arial" w:cs="Arial"/>
      <w:b w:val="0"/>
      <w:color w:val="000000" w:themeColor="text1"/>
      <w:sz w:val="24"/>
      <w:szCs w:val="22"/>
    </w:rPr>
  </w:style>
  <w:style w:type="paragraph" w:customStyle="1" w:styleId="headingmoji">
    <w:name w:val="heading moji"/>
    <w:basedOn w:val="Heading2"/>
    <w:link w:val="headingmojiChar"/>
    <w:qFormat/>
    <w:rsid w:val="004F1C7F"/>
    <w:pPr>
      <w:widowControl/>
      <w:numPr>
        <w:numId w:val="1"/>
      </w:numPr>
      <w:suppressAutoHyphens w:val="0"/>
      <w:spacing w:after="160" w:line="360" w:lineRule="auto"/>
      <w:jc w:val="both"/>
    </w:pPr>
    <w:rPr>
      <w:rFonts w:ascii="Arial" w:hAnsi="Arial" w:cs="Arial"/>
      <w:color w:val="000000" w:themeColor="text1"/>
      <w:kern w:val="0"/>
      <w:sz w:val="24"/>
      <w:szCs w:val="22"/>
      <w:lang w:eastAsia="en-US" w:bidi="ar-SA"/>
    </w:rPr>
  </w:style>
  <w:style w:type="character" w:customStyle="1" w:styleId="Style1Char">
    <w:name w:val="Style1 Char"/>
    <w:basedOn w:val="Heading2Char"/>
    <w:link w:val="Style1"/>
    <w:rsid w:val="004F1C7F"/>
    <w:rPr>
      <w:rFonts w:ascii="Arial" w:eastAsiaTheme="majorEastAsia" w:hAnsi="Arial" w:cs="Arial"/>
      <w:b w:val="0"/>
      <w:bCs/>
      <w:color w:val="000000" w:themeColor="text1"/>
      <w:kern w:val="2"/>
      <w:sz w:val="24"/>
      <w:szCs w:val="23"/>
      <w:lang w:eastAsia="hr-HR" w:bidi="hi-IN"/>
    </w:rPr>
  </w:style>
  <w:style w:type="paragraph" w:customStyle="1" w:styleId="mojmoj">
    <w:name w:val="mojmoj"/>
    <w:basedOn w:val="Heading1"/>
    <w:link w:val="mojmojChar"/>
    <w:qFormat/>
    <w:rsid w:val="004F1C7F"/>
    <w:rPr>
      <w:rFonts w:ascii="Arial" w:hAnsi="Arial"/>
      <w:b/>
      <w:color w:val="000000" w:themeColor="text1"/>
      <w:sz w:val="24"/>
    </w:rPr>
  </w:style>
  <w:style w:type="character" w:customStyle="1" w:styleId="headingmojiChar">
    <w:name w:val="heading moji Char"/>
    <w:basedOn w:val="Heading2Char"/>
    <w:link w:val="headingmoji"/>
    <w:rsid w:val="004F1C7F"/>
    <w:rPr>
      <w:rFonts w:ascii="Arial" w:eastAsiaTheme="majorEastAsia" w:hAnsi="Arial" w:cs="Arial"/>
      <w:b/>
      <w:bCs/>
      <w:color w:val="000000" w:themeColor="text1"/>
      <w:kern w:val="2"/>
      <w:sz w:val="24"/>
      <w:szCs w:val="23"/>
      <w:lang w:eastAsia="hr-HR" w:bidi="hi-IN"/>
    </w:rPr>
  </w:style>
  <w:style w:type="character" w:customStyle="1" w:styleId="mojmojChar">
    <w:name w:val="mojmoj Char"/>
    <w:basedOn w:val="Heading1Char"/>
    <w:link w:val="mojmoj"/>
    <w:rsid w:val="004F1C7F"/>
    <w:rPr>
      <w:rFonts w:ascii="Arial" w:eastAsiaTheme="majorEastAsia" w:hAnsi="Arial" w:cstheme="majorBidi"/>
      <w:b/>
      <w:color w:val="000000" w:themeColor="text1"/>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beration Serif" w:hAnsi="Liberation Serif" w:cs="Liberation Serif"/>
      <w:kern w:val="2"/>
      <w:sz w:val="24"/>
      <w:szCs w:val="24"/>
      <w:lang w:eastAsia="hr-HR" w:bidi="hi-IN"/>
    </w:rPr>
  </w:style>
  <w:style w:type="paragraph" w:styleId="Heading1">
    <w:name w:val="heading 1"/>
    <w:basedOn w:val="Normal"/>
    <w:next w:val="Normal"/>
    <w:link w:val="Heading1Char"/>
    <w:uiPriority w:val="9"/>
    <w:qFormat/>
    <w:rsid w:val="00FF1184"/>
    <w:pPr>
      <w:keepNext/>
      <w:keepLines/>
      <w:widowControl/>
      <w:suppressAutoHyphens w:val="0"/>
      <w:spacing w:before="240" w:line="480"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Heading2">
    <w:name w:val="heading 2"/>
    <w:basedOn w:val="Normal"/>
    <w:next w:val="Normal"/>
    <w:link w:val="Heading2Char"/>
    <w:uiPriority w:val="9"/>
    <w:unhideWhenUsed/>
    <w:qFormat/>
    <w:rsid w:val="004F1C7F"/>
    <w:pPr>
      <w:keepNext/>
      <w:keepLines/>
      <w:spacing w:before="200"/>
      <w:outlineLvl w:val="1"/>
    </w:pPr>
    <w:rPr>
      <w:rFonts w:asciiTheme="majorHAnsi" w:eastAsiaTheme="majorEastAsia" w:hAnsiTheme="majorHAnsi" w:cs="Mangal"/>
      <w:b/>
      <w:bCs/>
      <w:color w:val="4472C4"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erijeenospominjanje1">
    <w:name w:val="Neriješeno spominjanje1"/>
    <w:basedOn w:val="DefaultParagraphFont"/>
    <w:uiPriority w:val="99"/>
    <w:semiHidden/>
    <w:unhideWhenUsed/>
    <w:qFormat/>
    <w:rsid w:val="00AA50C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ind w:left="720"/>
      <w:contextualSpacing/>
    </w:pPr>
    <w:rPr>
      <w:rFonts w:cs="Mangal"/>
      <w:szCs w:val="21"/>
    </w:rPr>
  </w:style>
  <w:style w:type="paragraph" w:styleId="BalloonText">
    <w:name w:val="Balloon Text"/>
    <w:basedOn w:val="Normal"/>
    <w:link w:val="BalloonTextChar"/>
    <w:uiPriority w:val="99"/>
    <w:semiHidden/>
    <w:unhideWhenUsed/>
    <w:rsid w:val="00FF1184"/>
    <w:rPr>
      <w:rFonts w:ascii="Tahoma" w:hAnsi="Tahoma" w:cs="Mangal"/>
      <w:sz w:val="16"/>
      <w:szCs w:val="14"/>
    </w:rPr>
  </w:style>
  <w:style w:type="character" w:customStyle="1" w:styleId="BalloonTextChar">
    <w:name w:val="Balloon Text Char"/>
    <w:basedOn w:val="DefaultParagraphFont"/>
    <w:link w:val="BalloonText"/>
    <w:uiPriority w:val="99"/>
    <w:semiHidden/>
    <w:rsid w:val="00FF1184"/>
    <w:rPr>
      <w:rFonts w:ascii="Tahoma" w:hAnsi="Tahoma" w:cs="Mangal"/>
      <w:kern w:val="2"/>
      <w:sz w:val="16"/>
      <w:szCs w:val="14"/>
      <w:lang w:eastAsia="hr-HR" w:bidi="hi-IN"/>
    </w:rPr>
  </w:style>
  <w:style w:type="character" w:customStyle="1" w:styleId="Heading1Char">
    <w:name w:val="Heading 1 Char"/>
    <w:basedOn w:val="DefaultParagraphFont"/>
    <w:link w:val="Heading1"/>
    <w:uiPriority w:val="9"/>
    <w:rsid w:val="00FF1184"/>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sid w:val="00FF1184"/>
    <w:rPr>
      <w:rFonts w:ascii="Calibri-Bold" w:hAnsi="Calibri-Bold" w:hint="default"/>
      <w:b/>
      <w:bCs/>
      <w:i w:val="0"/>
      <w:iCs w:val="0"/>
      <w:color w:val="222222"/>
      <w:sz w:val="26"/>
      <w:szCs w:val="26"/>
    </w:rPr>
  </w:style>
  <w:style w:type="paragraph" w:styleId="Header">
    <w:name w:val="header"/>
    <w:basedOn w:val="Normal"/>
    <w:link w:val="HeaderChar"/>
    <w:uiPriority w:val="99"/>
    <w:unhideWhenUsed/>
    <w:rsid w:val="00916185"/>
    <w:pPr>
      <w:tabs>
        <w:tab w:val="center" w:pos="4536"/>
        <w:tab w:val="right" w:pos="9072"/>
      </w:tabs>
    </w:pPr>
    <w:rPr>
      <w:rFonts w:cs="Mangal"/>
      <w:szCs w:val="21"/>
    </w:rPr>
  </w:style>
  <w:style w:type="character" w:customStyle="1" w:styleId="HeaderChar">
    <w:name w:val="Header Char"/>
    <w:basedOn w:val="DefaultParagraphFont"/>
    <w:link w:val="Header"/>
    <w:uiPriority w:val="99"/>
    <w:rsid w:val="00916185"/>
    <w:rPr>
      <w:rFonts w:ascii="Liberation Serif" w:hAnsi="Liberation Serif" w:cs="Mangal"/>
      <w:kern w:val="2"/>
      <w:sz w:val="24"/>
      <w:szCs w:val="21"/>
      <w:lang w:eastAsia="hr-HR" w:bidi="hi-IN"/>
    </w:rPr>
  </w:style>
  <w:style w:type="paragraph" w:styleId="Footer">
    <w:name w:val="footer"/>
    <w:basedOn w:val="Normal"/>
    <w:link w:val="FooterChar"/>
    <w:uiPriority w:val="99"/>
    <w:unhideWhenUsed/>
    <w:rsid w:val="00916185"/>
    <w:pPr>
      <w:tabs>
        <w:tab w:val="center" w:pos="4536"/>
        <w:tab w:val="right" w:pos="9072"/>
      </w:tabs>
    </w:pPr>
    <w:rPr>
      <w:rFonts w:cs="Mangal"/>
      <w:szCs w:val="21"/>
    </w:rPr>
  </w:style>
  <w:style w:type="character" w:customStyle="1" w:styleId="FooterChar">
    <w:name w:val="Footer Char"/>
    <w:basedOn w:val="DefaultParagraphFont"/>
    <w:link w:val="Footer"/>
    <w:uiPriority w:val="99"/>
    <w:rsid w:val="00916185"/>
    <w:rPr>
      <w:rFonts w:ascii="Liberation Serif" w:hAnsi="Liberation Serif" w:cs="Mangal"/>
      <w:kern w:val="2"/>
      <w:sz w:val="24"/>
      <w:szCs w:val="21"/>
      <w:lang w:eastAsia="hr-HR" w:bidi="hi-IN"/>
    </w:rPr>
  </w:style>
  <w:style w:type="table" w:styleId="MediumShading1-Accent5">
    <w:name w:val="Medium Shading 1 Accent 5"/>
    <w:basedOn w:val="TableNormal"/>
    <w:uiPriority w:val="63"/>
    <w:rsid w:val="00CD3E6E"/>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Grid3-Accent5">
    <w:name w:val="Medium Grid 3 Accent 5"/>
    <w:basedOn w:val="TableNormal"/>
    <w:uiPriority w:val="69"/>
    <w:rsid w:val="00CD3E6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List2-Accent5">
    <w:name w:val="Medium List 2 Accent 5"/>
    <w:basedOn w:val="TableNormal"/>
    <w:uiPriority w:val="66"/>
    <w:rsid w:val="00CD3E6E"/>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CD3E6E"/>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CD3E6E"/>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5">
    <w:name w:val="Colorful Grid Accent 5"/>
    <w:basedOn w:val="TableNormal"/>
    <w:uiPriority w:val="73"/>
    <w:rsid w:val="00CD3E6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styleId="TOCHeading">
    <w:name w:val="TOC Heading"/>
    <w:basedOn w:val="Heading1"/>
    <w:next w:val="Normal"/>
    <w:uiPriority w:val="39"/>
    <w:unhideWhenUsed/>
    <w:qFormat/>
    <w:rsid w:val="00E01B14"/>
    <w:pPr>
      <w:spacing w:before="480" w:after="480" w:line="276" w:lineRule="auto"/>
      <w:outlineLvl w:val="9"/>
    </w:pPr>
    <w:rPr>
      <w:b/>
      <w:bCs/>
      <w:sz w:val="28"/>
      <w:szCs w:val="28"/>
      <w:lang w:val="en-US"/>
    </w:rPr>
  </w:style>
  <w:style w:type="paragraph" w:styleId="TOC1">
    <w:name w:val="toc 1"/>
    <w:basedOn w:val="Normal"/>
    <w:next w:val="Normal"/>
    <w:autoRedefine/>
    <w:uiPriority w:val="39"/>
    <w:unhideWhenUsed/>
    <w:rsid w:val="00E01B14"/>
    <w:pPr>
      <w:widowControl/>
      <w:suppressAutoHyphens w:val="0"/>
      <w:spacing w:before="120" w:line="257" w:lineRule="auto"/>
    </w:pPr>
    <w:rPr>
      <w:rFonts w:ascii="Times New Roman" w:hAnsi="Times New Roman" w:cstheme="minorHAnsi"/>
      <w:b/>
      <w:bCs/>
      <w:i/>
      <w:iCs/>
      <w:kern w:val="0"/>
      <w:lang w:eastAsia="en-US" w:bidi="ar-SA"/>
    </w:rPr>
  </w:style>
  <w:style w:type="paragraph" w:styleId="TOC2">
    <w:name w:val="toc 2"/>
    <w:basedOn w:val="Normal"/>
    <w:next w:val="Normal"/>
    <w:autoRedefine/>
    <w:uiPriority w:val="39"/>
    <w:unhideWhenUsed/>
    <w:rsid w:val="00F4578C"/>
    <w:pPr>
      <w:widowControl/>
      <w:tabs>
        <w:tab w:val="left" w:pos="880"/>
        <w:tab w:val="right" w:leader="dot" w:pos="9062"/>
      </w:tabs>
      <w:suppressAutoHyphens w:val="0"/>
      <w:spacing w:before="120" w:line="257" w:lineRule="auto"/>
      <w:ind w:left="220"/>
    </w:pPr>
    <w:rPr>
      <w:rFonts w:ascii="Arial" w:eastAsia="Times New Roman" w:hAnsi="Arial" w:cs="Arial"/>
      <w:b/>
      <w:bCs/>
      <w:noProof/>
      <w:kern w:val="0"/>
      <w:sz w:val="22"/>
      <w:szCs w:val="22"/>
      <w:lang w:eastAsia="en-US" w:bidi="ar-SA"/>
    </w:rPr>
  </w:style>
  <w:style w:type="paragraph" w:customStyle="1" w:styleId="element-animated">
    <w:name w:val="element-animated"/>
    <w:basedOn w:val="Normal"/>
    <w:rsid w:val="00FC12C0"/>
    <w:pPr>
      <w:widowControl/>
      <w:suppressAutoHyphens w:val="0"/>
      <w:spacing w:before="100" w:beforeAutospacing="1" w:after="100" w:afterAutospacing="1"/>
    </w:pPr>
    <w:rPr>
      <w:rFonts w:ascii="Times New Roman" w:eastAsia="Times New Roman" w:hAnsi="Times New Roman" w:cs="Times New Roman"/>
      <w:kern w:val="0"/>
      <w:lang w:bidi="ar-SA"/>
    </w:rPr>
  </w:style>
  <w:style w:type="character" w:styleId="Strong">
    <w:name w:val="Strong"/>
    <w:basedOn w:val="DefaultParagraphFont"/>
    <w:uiPriority w:val="22"/>
    <w:qFormat/>
    <w:rsid w:val="00FC12C0"/>
    <w:rPr>
      <w:b/>
      <w:bCs/>
    </w:rPr>
  </w:style>
  <w:style w:type="character" w:customStyle="1" w:styleId="Heading2Char">
    <w:name w:val="Heading 2 Char"/>
    <w:basedOn w:val="DefaultParagraphFont"/>
    <w:link w:val="Heading2"/>
    <w:uiPriority w:val="9"/>
    <w:rsid w:val="004F1C7F"/>
    <w:rPr>
      <w:rFonts w:asciiTheme="majorHAnsi" w:eastAsiaTheme="majorEastAsia" w:hAnsiTheme="majorHAnsi" w:cs="Mangal"/>
      <w:b/>
      <w:bCs/>
      <w:color w:val="4472C4" w:themeColor="accent1"/>
      <w:kern w:val="2"/>
      <w:sz w:val="26"/>
      <w:szCs w:val="23"/>
      <w:lang w:eastAsia="hr-HR" w:bidi="hi-IN"/>
    </w:rPr>
  </w:style>
  <w:style w:type="paragraph" w:customStyle="1" w:styleId="Style1">
    <w:name w:val="Style1"/>
    <w:basedOn w:val="Heading2"/>
    <w:link w:val="Style1Char"/>
    <w:qFormat/>
    <w:rsid w:val="004F1C7F"/>
    <w:pPr>
      <w:spacing w:after="200" w:line="360" w:lineRule="auto"/>
      <w:ind w:left="720" w:hanging="360"/>
    </w:pPr>
    <w:rPr>
      <w:rFonts w:ascii="Arial" w:hAnsi="Arial" w:cs="Arial"/>
      <w:b w:val="0"/>
      <w:color w:val="000000" w:themeColor="text1"/>
      <w:sz w:val="24"/>
      <w:szCs w:val="22"/>
    </w:rPr>
  </w:style>
  <w:style w:type="paragraph" w:customStyle="1" w:styleId="headingmoji">
    <w:name w:val="heading moji"/>
    <w:basedOn w:val="Heading2"/>
    <w:link w:val="headingmojiChar"/>
    <w:qFormat/>
    <w:rsid w:val="004F1C7F"/>
    <w:pPr>
      <w:widowControl/>
      <w:numPr>
        <w:numId w:val="1"/>
      </w:numPr>
      <w:suppressAutoHyphens w:val="0"/>
      <w:spacing w:after="160" w:line="360" w:lineRule="auto"/>
      <w:jc w:val="both"/>
    </w:pPr>
    <w:rPr>
      <w:rFonts w:ascii="Arial" w:hAnsi="Arial" w:cs="Arial"/>
      <w:color w:val="000000" w:themeColor="text1"/>
      <w:kern w:val="0"/>
      <w:sz w:val="24"/>
      <w:szCs w:val="22"/>
      <w:lang w:eastAsia="en-US" w:bidi="ar-SA"/>
    </w:rPr>
  </w:style>
  <w:style w:type="character" w:customStyle="1" w:styleId="Style1Char">
    <w:name w:val="Style1 Char"/>
    <w:basedOn w:val="Heading2Char"/>
    <w:link w:val="Style1"/>
    <w:rsid w:val="004F1C7F"/>
    <w:rPr>
      <w:rFonts w:ascii="Arial" w:eastAsiaTheme="majorEastAsia" w:hAnsi="Arial" w:cs="Arial"/>
      <w:b w:val="0"/>
      <w:bCs/>
      <w:color w:val="000000" w:themeColor="text1"/>
      <w:kern w:val="2"/>
      <w:sz w:val="24"/>
      <w:szCs w:val="23"/>
      <w:lang w:eastAsia="hr-HR" w:bidi="hi-IN"/>
    </w:rPr>
  </w:style>
  <w:style w:type="paragraph" w:customStyle="1" w:styleId="mojmoj">
    <w:name w:val="mojmoj"/>
    <w:basedOn w:val="Heading1"/>
    <w:link w:val="mojmojChar"/>
    <w:qFormat/>
    <w:rsid w:val="004F1C7F"/>
    <w:rPr>
      <w:rFonts w:ascii="Arial" w:hAnsi="Arial"/>
      <w:b/>
      <w:color w:val="000000" w:themeColor="text1"/>
      <w:sz w:val="24"/>
    </w:rPr>
  </w:style>
  <w:style w:type="character" w:customStyle="1" w:styleId="headingmojiChar">
    <w:name w:val="heading moji Char"/>
    <w:basedOn w:val="Heading2Char"/>
    <w:link w:val="headingmoji"/>
    <w:rsid w:val="004F1C7F"/>
    <w:rPr>
      <w:rFonts w:ascii="Arial" w:eastAsiaTheme="majorEastAsia" w:hAnsi="Arial" w:cs="Arial"/>
      <w:b/>
      <w:bCs/>
      <w:color w:val="000000" w:themeColor="text1"/>
      <w:kern w:val="2"/>
      <w:sz w:val="24"/>
      <w:szCs w:val="23"/>
      <w:lang w:eastAsia="hr-HR" w:bidi="hi-IN"/>
    </w:rPr>
  </w:style>
  <w:style w:type="character" w:customStyle="1" w:styleId="mojmojChar">
    <w:name w:val="mojmoj Char"/>
    <w:basedOn w:val="Heading1Char"/>
    <w:link w:val="mojmoj"/>
    <w:rsid w:val="004F1C7F"/>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39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med.ncbi.nlm.nih.gov/353721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roundedCorners val="0"/>
  <c:style val="2"/>
  <c:chart>
    <c:title>
      <c:tx>
        <c:rich>
          <a:bodyPr rot="0"/>
          <a:lstStyle/>
          <a:p>
            <a:pPr>
              <a:defRPr lang="hr-HR" sz="1200" b="1" strike="noStrike" spc="-1">
                <a:solidFill>
                  <a:srgbClr val="44546A"/>
                </a:solidFill>
                <a:latin typeface="Arial" pitchFamily="34" charset="0"/>
                <a:cs typeface="Arial" pitchFamily="34" charset="0"/>
              </a:defRPr>
            </a:pPr>
            <a:r>
              <a:rPr lang="hr-HR" sz="1200" b="1" strike="noStrike" spc="-1">
                <a:solidFill>
                  <a:srgbClr val="44546A"/>
                </a:solidFill>
                <a:latin typeface="Arial" pitchFamily="34" charset="0"/>
                <a:cs typeface="Arial" pitchFamily="34" charset="0"/>
              </a:rPr>
              <a:t>Zastupljenost kožnih eflorescencija u bolesnika s IgAV-om</a:t>
            </a:r>
          </a:p>
        </c:rich>
      </c:tx>
      <c:overlay val="0"/>
      <c:spPr>
        <a:noFill/>
        <a:ln w="0">
          <a:noFill/>
        </a:ln>
      </c:spPr>
    </c:title>
    <c:autoTitleDeleted val="0"/>
    <c:view3D>
      <c:rotX val="30"/>
      <c:rotY val="0"/>
      <c:rAngAx val="0"/>
      <c:perspective val="3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Column2</c:v>
                </c:pt>
              </c:strCache>
            </c:strRef>
          </c:tx>
          <c:spPr>
            <a:solidFill>
              <a:srgbClr val="4472C4"/>
            </a:solidFill>
            <a:ln w="0">
              <a:noFill/>
            </a:ln>
          </c:spPr>
          <c:dPt>
            <c:idx val="0"/>
            <c:bubble3D val="0"/>
            <c:spPr>
              <a:gradFill>
                <a:gsLst>
                  <a:gs pos="0">
                    <a:srgbClr val="6082CA"/>
                  </a:gs>
                  <a:gs pos="100000">
                    <a:srgbClr val="3D6FC9"/>
                  </a:gs>
                </a:gsLst>
                <a:lin ang="5400000"/>
              </a:gradFill>
              <a:ln w="0">
                <a:noFill/>
              </a:ln>
            </c:spPr>
            <c:extLst xmlns:c16r2="http://schemas.microsoft.com/office/drawing/2015/06/chart">
              <c:ext xmlns:c16="http://schemas.microsoft.com/office/drawing/2014/chart" uri="{C3380CC4-5D6E-409C-BE32-E72D297353CC}">
                <c16:uniqueId val="{00000001-9031-4F47-8009-A7533DA1AF0D}"/>
              </c:ext>
            </c:extLst>
          </c:dPt>
          <c:dPt>
            <c:idx val="1"/>
            <c:bubble3D val="0"/>
            <c:spPr>
              <a:gradFill>
                <a:gsLst>
                  <a:gs pos="0">
                    <a:srgbClr val="F08C56"/>
                  </a:gs>
                  <a:gs pos="100000">
                    <a:srgbClr val="F57A27"/>
                  </a:gs>
                </a:gsLst>
                <a:lin ang="5400000"/>
              </a:gradFill>
              <a:ln w="0">
                <a:noFill/>
              </a:ln>
            </c:spPr>
            <c:extLst xmlns:c16r2="http://schemas.microsoft.com/office/drawing/2015/06/chart">
              <c:ext xmlns:c16="http://schemas.microsoft.com/office/drawing/2014/chart" uri="{C3380CC4-5D6E-409C-BE32-E72D297353CC}">
                <c16:uniqueId val="{00000003-9031-4F47-8009-A7533DA1AF0D}"/>
              </c:ext>
            </c:extLst>
          </c:dPt>
          <c:dPt>
            <c:idx val="2"/>
            <c:bubble3D val="0"/>
            <c:spPr>
              <a:gradFill>
                <a:gsLst>
                  <a:gs pos="0">
                    <a:srgbClr val="AEAEAE"/>
                  </a:gs>
                  <a:gs pos="100000">
                    <a:srgbClr val="A4A4A4"/>
                  </a:gs>
                </a:gsLst>
                <a:lin ang="5400000"/>
              </a:gradFill>
              <a:ln w="0">
                <a:noFill/>
              </a:ln>
            </c:spPr>
            <c:extLst xmlns:c16r2="http://schemas.microsoft.com/office/drawing/2015/06/chart">
              <c:ext xmlns:c16="http://schemas.microsoft.com/office/drawing/2014/chart" uri="{C3380CC4-5D6E-409C-BE32-E72D297353CC}">
                <c16:uniqueId val="{00000005-9031-4F47-8009-A7533DA1AF0D}"/>
              </c:ext>
            </c:extLst>
          </c:dPt>
          <c:dPt>
            <c:idx val="3"/>
            <c:bubble3D val="0"/>
            <c:spPr>
              <a:gradFill>
                <a:gsLst>
                  <a:gs pos="0">
                    <a:srgbClr val="FFC54B"/>
                  </a:gs>
                  <a:gs pos="100000">
                    <a:srgbClr val="FFBF00"/>
                  </a:gs>
                </a:gsLst>
                <a:lin ang="5400000"/>
              </a:gradFill>
              <a:ln w="0">
                <a:noFill/>
              </a:ln>
            </c:spPr>
            <c:extLst xmlns:c16r2="http://schemas.microsoft.com/office/drawing/2015/06/chart">
              <c:ext xmlns:c16="http://schemas.microsoft.com/office/drawing/2014/chart" uri="{C3380CC4-5D6E-409C-BE32-E72D297353CC}">
                <c16:uniqueId val="{00000007-9031-4F47-8009-A7533DA1AF0D}"/>
              </c:ext>
            </c:extLst>
          </c:dPt>
          <c:dPt>
            <c:idx val="4"/>
            <c:bubble3D val="0"/>
            <c:spPr>
              <a:gradFill>
                <a:gsLst>
                  <a:gs pos="0">
                    <a:srgbClr val="71A6DA"/>
                  </a:gs>
                  <a:gs pos="100000">
                    <a:srgbClr val="549ADA"/>
                  </a:gs>
                </a:gsLst>
                <a:lin ang="5400000"/>
              </a:gradFill>
              <a:ln w="0">
                <a:noFill/>
              </a:ln>
            </c:spPr>
            <c:extLst xmlns:c16r2="http://schemas.microsoft.com/office/drawing/2015/06/chart">
              <c:ext xmlns:c16="http://schemas.microsoft.com/office/drawing/2014/chart" uri="{C3380CC4-5D6E-409C-BE32-E72D297353CC}">
                <c16:uniqueId val="{00000009-9031-4F47-8009-A7533DA1AF0D}"/>
              </c:ext>
            </c:extLst>
          </c:dPt>
          <c:dPt>
            <c:idx val="5"/>
            <c:bubble3D val="0"/>
            <c:spPr>
              <a:gradFill>
                <a:gsLst>
                  <a:gs pos="0">
                    <a:srgbClr val="80B761"/>
                  </a:gs>
                  <a:gs pos="100000">
                    <a:srgbClr val="6FB142"/>
                  </a:gs>
                </a:gsLst>
                <a:lin ang="5400000"/>
              </a:gradFill>
              <a:ln w="0">
                <a:noFill/>
              </a:ln>
            </c:spPr>
            <c:extLst xmlns:c16r2="http://schemas.microsoft.com/office/drawing/2015/06/chart">
              <c:ext xmlns:c16="http://schemas.microsoft.com/office/drawing/2014/chart" uri="{C3380CC4-5D6E-409C-BE32-E72D297353CC}">
                <c16:uniqueId val="{0000000B-9031-4F47-8009-A7533DA1AF0D}"/>
              </c:ext>
            </c:extLst>
          </c:dPt>
          <c:dLbls>
            <c:spPr>
              <a:noFill/>
              <a:ln>
                <a:noFill/>
              </a:ln>
              <a:effectLst/>
            </c:spPr>
            <c:txPr>
              <a:bodyPr wrap="none"/>
              <a:lstStyle/>
              <a:p>
                <a:pPr>
                  <a:defRPr sz="1000" b="0" strike="noStrike" spc="-1">
                    <a:solidFill>
                      <a:srgbClr val="000000"/>
                    </a:solidFill>
                    <a:latin typeface="Calibri"/>
                  </a:defRPr>
                </a:pPr>
                <a:endParaRPr lang="sr-Latn-RS"/>
              </a:p>
            </c:txPr>
            <c:dLblPos val="bestFit"/>
            <c:showLegendKey val="0"/>
            <c:showVal val="0"/>
            <c:showCatName val="0"/>
            <c:showSerName val="0"/>
            <c:showPercent val="0"/>
            <c:showBubbleSize val="1"/>
            <c:separator>; </c:separator>
            <c:showLeaderLines val="0"/>
            <c:extLst xmlns:c16r2="http://schemas.microsoft.com/office/drawing/2015/06/chart">
              <c:ext xmlns:c15="http://schemas.microsoft.com/office/drawing/2012/chart" uri="{CE6537A1-D6FC-4f65-9D91-7224C49458BB}"/>
            </c:extLst>
          </c:dLbls>
          <c:cat>
            <c:strRef>
              <c:f>categories</c:f>
              <c:strCache>
                <c:ptCount val="6"/>
                <c:pt idx="0">
                  <c:v>izolirane petehije</c:v>
                </c:pt>
                <c:pt idx="1">
                  <c:v>purpura s makulama</c:v>
                </c:pt>
                <c:pt idx="2">
                  <c:v>purpura s papulama</c:v>
                </c:pt>
                <c:pt idx="3">
                  <c:v>purpura s hematomima</c:v>
                </c:pt>
                <c:pt idx="4">
                  <c:v>purpura s nekrozama</c:v>
                </c:pt>
                <c:pt idx="5">
                  <c:v>purpura s ulceracijama</c:v>
                </c:pt>
              </c:strCache>
            </c:strRef>
          </c:cat>
          <c:val>
            <c:numRef>
              <c:f>0</c:f>
              <c:numCache>
                <c:formatCode>General</c:formatCode>
                <c:ptCount val="6"/>
                <c:pt idx="0">
                  <c:v>82</c:v>
                </c:pt>
                <c:pt idx="1">
                  <c:v>15</c:v>
                </c:pt>
                <c:pt idx="2">
                  <c:v>122</c:v>
                </c:pt>
                <c:pt idx="3">
                  <c:v>4</c:v>
                </c:pt>
                <c:pt idx="4">
                  <c:v>2</c:v>
                </c:pt>
                <c:pt idx="5">
                  <c:v>9</c:v>
                </c:pt>
              </c:numCache>
            </c:numRef>
          </c:val>
          <c:extLst xmlns:c16r2="http://schemas.microsoft.com/office/drawing/2015/06/chart">
            <c:ext xmlns:c16="http://schemas.microsoft.com/office/drawing/2014/chart" uri="{C3380CC4-5D6E-409C-BE32-E72D297353CC}">
              <c16:uniqueId val="{0000000C-9031-4F47-8009-A7533DA1AF0D}"/>
            </c:ext>
          </c:extLst>
        </c:ser>
        <c:dLbls>
          <c:showLegendKey val="0"/>
          <c:showVal val="0"/>
          <c:showCatName val="0"/>
          <c:showSerName val="0"/>
          <c:showPercent val="0"/>
          <c:showBubbleSize val="0"/>
          <c:showLeaderLines val="0"/>
        </c:dLbls>
      </c:pie3DChart>
    </c:plotArea>
    <c:legend>
      <c:legendPos val="b"/>
      <c:layout>
        <c:manualLayout>
          <c:xMode val="edge"/>
          <c:yMode val="edge"/>
          <c:x val="7.6673540807399063E-2"/>
          <c:y val="0.75168473898164356"/>
          <c:w val="0.84748239803357917"/>
          <c:h val="0.22009021430027007"/>
        </c:manualLayout>
      </c:layout>
      <c:overlay val="0"/>
      <c:spPr>
        <a:noFill/>
        <a:ln w="0">
          <a:noFill/>
        </a:ln>
      </c:spPr>
      <c:txPr>
        <a:bodyPr/>
        <a:lstStyle/>
        <a:p>
          <a:pPr>
            <a:defRPr sz="1000" b="0" strike="noStrike" spc="-1">
              <a:solidFill>
                <a:srgbClr val="44546A"/>
              </a:solidFill>
              <a:latin typeface="Arial" pitchFamily="34" charset="0"/>
              <a:cs typeface="Arial" pitchFamily="34" charset="0"/>
            </a:defRPr>
          </a:pPr>
          <a:endParaRPr lang="sr-Latn-RS"/>
        </a:p>
      </c:txPr>
    </c:legend>
    <c:plotVisOnly val="1"/>
    <c:dispBlanksAs val="gap"/>
    <c:showDLblsOverMax val="1"/>
  </c:chart>
  <c:spPr>
    <a:solidFill>
      <a:srgbClr val="FFFFFF"/>
    </a:solidFill>
    <a:ln w="9360">
      <a:solidFill>
        <a:srgbClr val="E0E5EB"/>
      </a:solidFill>
      <a:round/>
    </a:ln>
  </c:sp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07617-04EB-43BB-9BBC-7B47FFC6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22</Pages>
  <Words>5371</Words>
  <Characters>30616</Characters>
  <Application>Microsoft Office Word</Application>
  <DocSecurity>0</DocSecurity>
  <Lines>255</Lines>
  <Paragraphs>71</Paragraphs>
  <ScaleCrop>false</ScaleCrop>
  <HeadingPairs>
    <vt:vector size="6" baseType="variant">
      <vt:variant>
        <vt:lpstr>Title</vt:lpstr>
      </vt:variant>
      <vt:variant>
        <vt:i4>1</vt:i4>
      </vt:variant>
      <vt:variant>
        <vt:lpstr>Headings</vt:lpstr>
      </vt:variant>
      <vt:variant>
        <vt:i4>17</vt:i4>
      </vt:variant>
      <vt:variant>
        <vt:lpstr>Naslov</vt:lpstr>
      </vt:variant>
      <vt:variant>
        <vt:i4>1</vt:i4>
      </vt:variant>
    </vt:vector>
  </HeadingPairs>
  <TitlesOfParts>
    <vt:vector size="19" baseType="lpstr">
      <vt:lpstr/>
      <vt:lpstr>Sveučilište u Zagrebu</vt:lpstr>
      <vt:lpstr>Medicinski fakultet</vt:lpstr>
      <vt:lpstr>Ante Vidović</vt:lpstr>
      <vt:lpstr>UTJECAJ KOŽNIH MANIFESTACIJA NA KLINIČKE ZNAČAJKE U IgA VASKULITISU</vt:lpstr>
      <vt:lpstr/>
      <vt:lpstr>    </vt:lpstr>
      <vt:lpstr>    UVOD</vt:lpstr>
      <vt:lpstr>    OPĆI I SPECIFIČNI CILJEVI RADA</vt:lpstr>
      <vt:lpstr>    ISPITANICI I METODE</vt:lpstr>
      <vt:lpstr>    REZULTATI</vt:lpstr>
      <vt:lpstr>    RASPRAVA                                                                        </vt:lpstr>
      <vt:lpstr>    ZAKLJUČCI</vt:lpstr>
      <vt:lpstr>    ZAHVALE</vt:lpstr>
      <vt:lpstr>    POPIS LITERATURE</vt:lpstr>
      <vt:lpstr>    SAŽETAK</vt:lpstr>
      <vt:lpstr>UTJECAJ KOŽNIH MANIFESTACIJA NA KLINIČKE ZNAČAJKE U IgA VASKULITISU</vt:lpstr>
      <vt:lpstr>    SUMMARY</vt:lpstr>
      <vt:lpstr/>
    </vt:vector>
  </TitlesOfParts>
  <Company/>
  <LinksUpToDate>false</LinksUpToDate>
  <CharactersWithSpaces>35916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Held</dc:creator>
  <dc:description/>
  <cp:lastModifiedBy>DELL</cp:lastModifiedBy>
  <cp:revision>18</cp:revision>
  <dcterms:created xsi:type="dcterms:W3CDTF">2022-05-18T20:34:00Z</dcterms:created>
  <dcterms:modified xsi:type="dcterms:W3CDTF">2022-06-23T21:55:00Z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