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4272" w14:textId="77777777" w:rsidR="00B92FBB" w:rsidRDefault="008A09CC">
      <w:pPr>
        <w:spacing w:before="240" w:after="120" w:line="288" w:lineRule="auto"/>
        <w:jc w:val="center"/>
        <w:rPr>
          <w:sz w:val="28"/>
          <w:szCs w:val="28"/>
        </w:rPr>
      </w:pPr>
      <w:r>
        <w:rPr>
          <w:sz w:val="28"/>
          <w:szCs w:val="28"/>
        </w:rPr>
        <w:t>SVEUČILIŠTE U ZAGREBU</w:t>
      </w:r>
    </w:p>
    <w:p w14:paraId="25A4E476" w14:textId="77777777" w:rsidR="00B92FBB" w:rsidRDefault="008A09CC">
      <w:pPr>
        <w:spacing w:before="240" w:after="120" w:line="288" w:lineRule="auto"/>
        <w:jc w:val="center"/>
        <w:rPr>
          <w:sz w:val="28"/>
          <w:szCs w:val="28"/>
        </w:rPr>
      </w:pPr>
      <w:r>
        <w:rPr>
          <w:sz w:val="28"/>
          <w:szCs w:val="28"/>
        </w:rPr>
        <w:t>FAKULTET ORGANIZACIJE I INFORMATIKE</w:t>
      </w:r>
    </w:p>
    <w:p w14:paraId="41DD3C90" w14:textId="77777777" w:rsidR="00B92FBB" w:rsidRDefault="008A09CC">
      <w:pPr>
        <w:spacing w:before="240" w:after="120" w:line="288" w:lineRule="auto"/>
        <w:jc w:val="center"/>
        <w:rPr>
          <w:sz w:val="28"/>
          <w:szCs w:val="28"/>
        </w:rPr>
      </w:pPr>
      <w:r>
        <w:rPr>
          <w:sz w:val="28"/>
          <w:szCs w:val="28"/>
        </w:rPr>
        <w:t>V A R A Ž D I N</w:t>
      </w:r>
    </w:p>
    <w:p w14:paraId="5F6934E8" w14:textId="77777777" w:rsidR="00B92FBB" w:rsidRDefault="008A09CC">
      <w:pPr>
        <w:spacing w:before="240" w:after="120" w:line="288" w:lineRule="auto"/>
      </w:pPr>
      <w:r>
        <w:t xml:space="preserve"> </w:t>
      </w:r>
    </w:p>
    <w:p w14:paraId="621F84E4" w14:textId="77777777" w:rsidR="00B92FBB" w:rsidRDefault="008A09CC">
      <w:pPr>
        <w:spacing w:before="240" w:after="120" w:line="288" w:lineRule="auto"/>
      </w:pPr>
      <w:r>
        <w:t xml:space="preserve"> </w:t>
      </w:r>
    </w:p>
    <w:p w14:paraId="6E3A0C25" w14:textId="77777777" w:rsidR="00B92FBB" w:rsidRDefault="008A09CC">
      <w:pPr>
        <w:spacing w:before="240" w:after="120" w:line="288" w:lineRule="auto"/>
        <w:rPr>
          <w:b/>
          <w:sz w:val="28"/>
          <w:szCs w:val="28"/>
        </w:rPr>
      </w:pPr>
      <w:r>
        <w:rPr>
          <w:b/>
          <w:sz w:val="28"/>
          <w:szCs w:val="28"/>
        </w:rPr>
        <w:t xml:space="preserve"> </w:t>
      </w:r>
    </w:p>
    <w:p w14:paraId="43F0E82B" w14:textId="77777777" w:rsidR="00B92FBB" w:rsidRDefault="008A09CC">
      <w:pPr>
        <w:spacing w:before="240" w:after="120" w:line="288" w:lineRule="auto"/>
        <w:rPr>
          <w:b/>
          <w:sz w:val="32"/>
          <w:szCs w:val="32"/>
        </w:rPr>
      </w:pPr>
      <w:r>
        <w:rPr>
          <w:b/>
          <w:sz w:val="32"/>
          <w:szCs w:val="32"/>
        </w:rPr>
        <w:t>Petra Taradi</w:t>
      </w:r>
    </w:p>
    <w:p w14:paraId="0C0795DC" w14:textId="77777777" w:rsidR="00B92FBB" w:rsidRDefault="008A09CC">
      <w:pPr>
        <w:spacing w:before="240" w:after="120" w:line="288" w:lineRule="auto"/>
      </w:pPr>
      <w:r>
        <w:t xml:space="preserve"> </w:t>
      </w:r>
    </w:p>
    <w:p w14:paraId="1A0CE367" w14:textId="77777777" w:rsidR="00B92FBB" w:rsidRDefault="008A09CC">
      <w:pPr>
        <w:spacing w:before="240" w:after="120" w:line="288" w:lineRule="auto"/>
      </w:pPr>
      <w:r>
        <w:t xml:space="preserve"> </w:t>
      </w:r>
    </w:p>
    <w:p w14:paraId="7B7CAF05" w14:textId="77777777" w:rsidR="00B92FBB" w:rsidRDefault="008A09CC">
      <w:pPr>
        <w:spacing w:before="240" w:after="120" w:line="288" w:lineRule="auto"/>
      </w:pPr>
      <w:r>
        <w:t xml:space="preserve">  </w:t>
      </w:r>
    </w:p>
    <w:p w14:paraId="79535364" w14:textId="77777777" w:rsidR="00B92FBB" w:rsidRDefault="008A09CC">
      <w:pPr>
        <w:spacing w:before="240" w:after="120" w:line="288" w:lineRule="auto"/>
      </w:pPr>
      <w:r>
        <w:t xml:space="preserve"> </w:t>
      </w:r>
    </w:p>
    <w:p w14:paraId="0CB317D8" w14:textId="77777777" w:rsidR="00B92FBB" w:rsidRDefault="00B92FBB">
      <w:pPr>
        <w:spacing w:before="240" w:after="120" w:line="288" w:lineRule="auto"/>
      </w:pPr>
    </w:p>
    <w:p w14:paraId="4DA67E54" w14:textId="1A2A8C9B" w:rsidR="00B92FBB" w:rsidRDefault="00F36C13">
      <w:pPr>
        <w:spacing w:before="240" w:after="120" w:line="288" w:lineRule="auto"/>
        <w:jc w:val="center"/>
        <w:rPr>
          <w:sz w:val="44"/>
          <w:szCs w:val="44"/>
        </w:rPr>
      </w:pPr>
      <w:r>
        <w:rPr>
          <w:sz w:val="44"/>
          <w:szCs w:val="44"/>
        </w:rPr>
        <w:t>ANALIZA UTJECAJA</w:t>
      </w:r>
      <w:r w:rsidR="008A09CC">
        <w:rPr>
          <w:sz w:val="44"/>
          <w:szCs w:val="44"/>
        </w:rPr>
        <w:t xml:space="preserve"> FINANCIJSKE POLUGE </w:t>
      </w:r>
      <w:r>
        <w:rPr>
          <w:sz w:val="44"/>
          <w:szCs w:val="44"/>
        </w:rPr>
        <w:t>NA</w:t>
      </w:r>
      <w:r w:rsidR="008A09CC">
        <w:rPr>
          <w:sz w:val="44"/>
          <w:szCs w:val="44"/>
        </w:rPr>
        <w:t xml:space="preserve"> LIKVIDNOST PODUZEĆA </w:t>
      </w:r>
      <w:r>
        <w:rPr>
          <w:sz w:val="44"/>
          <w:szCs w:val="44"/>
        </w:rPr>
        <w:t>U RH U DABRANIM SEKTORIMA</w:t>
      </w:r>
    </w:p>
    <w:p w14:paraId="07493396" w14:textId="77777777" w:rsidR="00B92FBB" w:rsidRDefault="008A09CC">
      <w:pPr>
        <w:spacing w:before="240" w:after="120" w:line="288" w:lineRule="auto"/>
        <w:jc w:val="center"/>
      </w:pPr>
      <w:r>
        <w:t xml:space="preserve">  </w:t>
      </w:r>
    </w:p>
    <w:p w14:paraId="1E4CB785" w14:textId="77777777" w:rsidR="00B92FBB" w:rsidRDefault="00B92FBB">
      <w:pPr>
        <w:spacing w:before="240" w:after="120" w:line="288" w:lineRule="auto"/>
      </w:pPr>
    </w:p>
    <w:p w14:paraId="00291B5F" w14:textId="77777777" w:rsidR="00B92FBB" w:rsidRDefault="00B92FBB">
      <w:pPr>
        <w:spacing w:before="240" w:after="120" w:line="288" w:lineRule="auto"/>
      </w:pPr>
    </w:p>
    <w:p w14:paraId="440BCBE0" w14:textId="77777777" w:rsidR="00B92FBB" w:rsidRDefault="00B92FBB">
      <w:pPr>
        <w:spacing w:before="240" w:after="120" w:line="288" w:lineRule="auto"/>
      </w:pPr>
    </w:p>
    <w:p w14:paraId="13992B58" w14:textId="77777777" w:rsidR="00B92FBB" w:rsidRDefault="00B92FBB">
      <w:pPr>
        <w:spacing w:before="240" w:after="120" w:line="288" w:lineRule="auto"/>
      </w:pPr>
    </w:p>
    <w:p w14:paraId="76207E18" w14:textId="77777777" w:rsidR="00B92FBB" w:rsidRDefault="00B92FBB">
      <w:pPr>
        <w:spacing w:before="240" w:after="120" w:line="288" w:lineRule="auto"/>
      </w:pPr>
    </w:p>
    <w:p w14:paraId="57926896" w14:textId="77777777" w:rsidR="00B92FBB" w:rsidRDefault="008A09CC">
      <w:pPr>
        <w:spacing w:before="240" w:after="120" w:line="288" w:lineRule="auto"/>
      </w:pPr>
      <w:r>
        <w:t xml:space="preserve"> </w:t>
      </w:r>
    </w:p>
    <w:p w14:paraId="26C324BA" w14:textId="77777777" w:rsidR="00B92FBB" w:rsidRDefault="008A09CC">
      <w:pPr>
        <w:spacing w:before="240" w:after="120" w:line="360" w:lineRule="auto"/>
        <w:jc w:val="center"/>
        <w:rPr>
          <w:sz w:val="28"/>
          <w:szCs w:val="28"/>
        </w:rPr>
      </w:pPr>
      <w:r>
        <w:rPr>
          <w:sz w:val="28"/>
          <w:szCs w:val="28"/>
        </w:rPr>
        <w:t>Zagreb, 2025.</w:t>
      </w:r>
    </w:p>
    <w:p w14:paraId="2764AC11" w14:textId="214086DE" w:rsidR="00E44B69" w:rsidRDefault="008A09CC" w:rsidP="00B0671A">
      <w:pPr>
        <w:spacing w:before="240" w:after="120" w:line="360" w:lineRule="auto"/>
        <w:jc w:val="both"/>
        <w:rPr>
          <w:i/>
        </w:rPr>
      </w:pPr>
      <w:r>
        <w:rPr>
          <w:i/>
        </w:rPr>
        <w:lastRenderedPageBreak/>
        <w:t xml:space="preserve">Ovaj rad izrađen je na Fakultetu organizacije i informatike u Varaždinu pod vodstvom doc.dr.sc. Ivane </w:t>
      </w:r>
      <w:proofErr w:type="spellStart"/>
      <w:r>
        <w:rPr>
          <w:i/>
        </w:rPr>
        <w:t>Đunđek</w:t>
      </w:r>
      <w:proofErr w:type="spellEnd"/>
      <w:r>
        <w:rPr>
          <w:i/>
        </w:rPr>
        <w:t xml:space="preserve"> i predan je na natječaj za dodjelu Rektorove nagrade u akademskoj godini 2024./2025.</w:t>
      </w:r>
      <w:r w:rsidR="00B0671A">
        <w:rPr>
          <w:i/>
        </w:rPr>
        <w:t xml:space="preserve"> </w:t>
      </w:r>
    </w:p>
    <w:p w14:paraId="4382BB1B" w14:textId="77777777" w:rsidR="00E44B69" w:rsidRDefault="00E44B69">
      <w:pPr>
        <w:rPr>
          <w:i/>
        </w:rPr>
      </w:pPr>
      <w:r>
        <w:rPr>
          <w:i/>
        </w:rPr>
        <w:br w:type="page"/>
      </w:r>
    </w:p>
    <w:p w14:paraId="7ED3DFE0" w14:textId="44DA4AF1" w:rsidR="00B0671A" w:rsidRDefault="00E44B69" w:rsidP="00E44B69">
      <w:pPr>
        <w:rPr>
          <w:b/>
          <w:bCs/>
          <w:sz w:val="32"/>
          <w:szCs w:val="32"/>
        </w:rPr>
      </w:pPr>
      <w:r w:rsidRPr="00E44B69">
        <w:rPr>
          <w:b/>
          <w:bCs/>
          <w:sz w:val="32"/>
          <w:szCs w:val="32"/>
        </w:rPr>
        <w:lastRenderedPageBreak/>
        <w:t>Popis i objašnjenje kratica korištenih u radu</w:t>
      </w:r>
    </w:p>
    <w:p w14:paraId="67A2DBE7" w14:textId="77777777" w:rsidR="00E44B69" w:rsidRPr="00E44B69" w:rsidRDefault="00E44B69" w:rsidP="00E44B69">
      <w:pPr>
        <w:rPr>
          <w:b/>
          <w:bCs/>
          <w:sz w:val="32"/>
          <w:szCs w:val="32"/>
        </w:rPr>
      </w:pPr>
    </w:p>
    <w:p w14:paraId="5B2D49B5" w14:textId="2E922BD9" w:rsidR="00E44B69" w:rsidRDefault="00E44B69" w:rsidP="001233CD">
      <w:pPr>
        <w:spacing w:before="240" w:after="120" w:line="360" w:lineRule="auto"/>
        <w:jc w:val="both"/>
        <w:rPr>
          <w:iCs/>
        </w:rPr>
      </w:pPr>
      <w:r>
        <w:rPr>
          <w:iCs/>
        </w:rPr>
        <w:t xml:space="preserve">KTL – koeficijent tekuće likvidnosti </w:t>
      </w:r>
    </w:p>
    <w:p w14:paraId="063B4DE7" w14:textId="1986532D" w:rsidR="00E44B69" w:rsidRDefault="00E44B69" w:rsidP="001233CD">
      <w:pPr>
        <w:spacing w:before="240" w:after="120" w:line="360" w:lineRule="auto"/>
        <w:jc w:val="both"/>
        <w:rPr>
          <w:iCs/>
        </w:rPr>
      </w:pPr>
      <w:r>
        <w:rPr>
          <w:iCs/>
        </w:rPr>
        <w:t xml:space="preserve">DER – odnos duga i glavnice </w:t>
      </w:r>
    </w:p>
    <w:p w14:paraId="15A26A19" w14:textId="46467F16" w:rsidR="00E44B69" w:rsidRDefault="00E44B69" w:rsidP="001233CD">
      <w:pPr>
        <w:spacing w:before="240" w:after="120" w:line="360" w:lineRule="auto"/>
        <w:jc w:val="both"/>
        <w:rPr>
          <w:iCs/>
        </w:rPr>
      </w:pPr>
      <w:r>
        <w:rPr>
          <w:iCs/>
        </w:rPr>
        <w:t xml:space="preserve">ROA – profitabilnost imovine </w:t>
      </w:r>
    </w:p>
    <w:p w14:paraId="10494B9A" w14:textId="51319334" w:rsidR="00E44B69" w:rsidRDefault="00E44B69" w:rsidP="001233CD">
      <w:pPr>
        <w:spacing w:before="240" w:after="120" w:line="360" w:lineRule="auto"/>
        <w:jc w:val="both"/>
        <w:rPr>
          <w:iCs/>
        </w:rPr>
      </w:pPr>
      <w:r>
        <w:rPr>
          <w:iCs/>
        </w:rPr>
        <w:t xml:space="preserve">ROE – profitabilnost kapitala </w:t>
      </w:r>
    </w:p>
    <w:p w14:paraId="0C2FBD5F" w14:textId="75E91205" w:rsidR="00E44B69" w:rsidRDefault="00E44B69" w:rsidP="001233CD">
      <w:pPr>
        <w:spacing w:before="240" w:after="120" w:line="360" w:lineRule="auto"/>
        <w:jc w:val="both"/>
        <w:rPr>
          <w:iCs/>
        </w:rPr>
      </w:pPr>
      <w:r>
        <w:rPr>
          <w:iCs/>
        </w:rPr>
        <w:t xml:space="preserve">KI – kapitalna intenzivnost </w:t>
      </w:r>
    </w:p>
    <w:p w14:paraId="3C122607" w14:textId="77777777" w:rsidR="00E44B69" w:rsidRDefault="00E44B69" w:rsidP="001233CD">
      <w:pPr>
        <w:spacing w:before="240" w:after="120" w:line="360" w:lineRule="auto"/>
        <w:jc w:val="both"/>
        <w:rPr>
          <w:iCs/>
        </w:rPr>
      </w:pPr>
      <w:r>
        <w:rPr>
          <w:iCs/>
        </w:rPr>
        <w:t>PP – postotna promjena u prihodima od prodaje</w:t>
      </w:r>
    </w:p>
    <w:p w14:paraId="31D14A98" w14:textId="22373C54" w:rsidR="001233CD" w:rsidRPr="00E44B69" w:rsidRDefault="00E44B69" w:rsidP="001233CD">
      <w:pPr>
        <w:spacing w:before="240" w:after="120" w:line="360" w:lineRule="auto"/>
        <w:jc w:val="both"/>
        <w:rPr>
          <w:iCs/>
        </w:rPr>
      </w:pPr>
      <w:r>
        <w:rPr>
          <w:iCs/>
        </w:rPr>
        <w:t xml:space="preserve"> </w:t>
      </w:r>
      <w:r w:rsidR="008A09CC">
        <w:rPr>
          <w:i/>
        </w:rPr>
        <w:br/>
      </w:r>
    </w:p>
    <w:p w14:paraId="225C2C24" w14:textId="77777777" w:rsidR="001233CD" w:rsidRDefault="001233CD" w:rsidP="001233CD">
      <w:pPr>
        <w:spacing w:before="240" w:after="120" w:line="360" w:lineRule="auto"/>
        <w:jc w:val="both"/>
      </w:pPr>
    </w:p>
    <w:p w14:paraId="12D3E3FA" w14:textId="77777777" w:rsidR="001233CD" w:rsidRDefault="001233CD" w:rsidP="001233CD">
      <w:pPr>
        <w:spacing w:before="240" w:after="120" w:line="360" w:lineRule="auto"/>
        <w:jc w:val="both"/>
      </w:pPr>
    </w:p>
    <w:p w14:paraId="05BAAD2B" w14:textId="77777777" w:rsidR="001233CD" w:rsidRDefault="001233CD" w:rsidP="001233CD">
      <w:pPr>
        <w:spacing w:before="240" w:after="120" w:line="360" w:lineRule="auto"/>
        <w:jc w:val="both"/>
      </w:pPr>
    </w:p>
    <w:p w14:paraId="2DB6AC48" w14:textId="77777777" w:rsidR="001233CD" w:rsidRDefault="001233CD" w:rsidP="001233CD">
      <w:pPr>
        <w:spacing w:before="240" w:after="120" w:line="360" w:lineRule="auto"/>
        <w:jc w:val="both"/>
      </w:pPr>
    </w:p>
    <w:p w14:paraId="064B1A84" w14:textId="77777777" w:rsidR="001233CD" w:rsidRDefault="001233CD" w:rsidP="001233CD">
      <w:pPr>
        <w:spacing w:before="240" w:after="120" w:line="360" w:lineRule="auto"/>
        <w:jc w:val="both"/>
      </w:pPr>
    </w:p>
    <w:p w14:paraId="1277B993" w14:textId="77777777" w:rsidR="001233CD" w:rsidRDefault="001233CD" w:rsidP="001233CD">
      <w:pPr>
        <w:spacing w:before="240" w:after="120" w:line="360" w:lineRule="auto"/>
        <w:jc w:val="both"/>
      </w:pPr>
    </w:p>
    <w:p w14:paraId="09C9733B" w14:textId="77777777" w:rsidR="001233CD" w:rsidRDefault="001233CD" w:rsidP="001233CD">
      <w:pPr>
        <w:spacing w:before="240" w:after="120" w:line="360" w:lineRule="auto"/>
        <w:jc w:val="both"/>
      </w:pPr>
    </w:p>
    <w:p w14:paraId="5CA4F164" w14:textId="77777777" w:rsidR="001233CD" w:rsidRDefault="001233CD" w:rsidP="001233CD">
      <w:pPr>
        <w:spacing w:before="240" w:after="120" w:line="360" w:lineRule="auto"/>
        <w:jc w:val="both"/>
      </w:pPr>
    </w:p>
    <w:p w14:paraId="690BD2A9" w14:textId="77777777" w:rsidR="001233CD" w:rsidRDefault="001233CD" w:rsidP="001233CD">
      <w:pPr>
        <w:spacing w:before="240" w:after="120" w:line="360" w:lineRule="auto"/>
        <w:jc w:val="both"/>
      </w:pPr>
    </w:p>
    <w:p w14:paraId="08B13F68" w14:textId="77777777" w:rsidR="001233CD" w:rsidRDefault="001233CD" w:rsidP="001233CD">
      <w:pPr>
        <w:spacing w:before="240" w:after="120" w:line="360" w:lineRule="auto"/>
        <w:jc w:val="both"/>
      </w:pPr>
    </w:p>
    <w:p w14:paraId="581FC34B" w14:textId="77777777" w:rsidR="001233CD" w:rsidRDefault="001233CD" w:rsidP="001233CD">
      <w:pPr>
        <w:spacing w:before="240" w:after="120" w:line="360" w:lineRule="auto"/>
        <w:jc w:val="both"/>
      </w:pPr>
    </w:p>
    <w:p w14:paraId="27806F66" w14:textId="77777777" w:rsidR="001233CD" w:rsidRDefault="001233CD" w:rsidP="001233CD">
      <w:pPr>
        <w:spacing w:before="240" w:after="120" w:line="360" w:lineRule="auto"/>
        <w:jc w:val="both"/>
      </w:pPr>
    </w:p>
    <w:p w14:paraId="778E4A72" w14:textId="77777777" w:rsidR="00392718" w:rsidRDefault="00392718" w:rsidP="00F65449">
      <w:pPr>
        <w:widowControl w:val="0"/>
        <w:tabs>
          <w:tab w:val="right" w:leader="dot" w:pos="12000"/>
        </w:tabs>
        <w:spacing w:before="60" w:line="240" w:lineRule="auto"/>
        <w:rPr>
          <w:b/>
          <w:sz w:val="36"/>
          <w:szCs w:val="36"/>
        </w:rPr>
      </w:pPr>
      <w:bookmarkStart w:id="0" w:name="_exeg1grkyvi7" w:colFirst="0" w:colLast="0"/>
      <w:bookmarkEnd w:id="0"/>
    </w:p>
    <w:p w14:paraId="26DBE985" w14:textId="3FAD5478" w:rsidR="00F65449" w:rsidRDefault="008A09CC" w:rsidP="00F65449">
      <w:pPr>
        <w:widowControl w:val="0"/>
        <w:tabs>
          <w:tab w:val="right" w:leader="dot" w:pos="12000"/>
        </w:tabs>
        <w:spacing w:before="60" w:line="240" w:lineRule="auto"/>
        <w:rPr>
          <w:b/>
          <w:sz w:val="36"/>
          <w:szCs w:val="36"/>
        </w:rPr>
      </w:pPr>
      <w:r>
        <w:rPr>
          <w:b/>
          <w:sz w:val="36"/>
          <w:szCs w:val="36"/>
        </w:rPr>
        <w:lastRenderedPageBreak/>
        <w:t>Sadržaj</w:t>
      </w:r>
    </w:p>
    <w:bookmarkStart w:id="1" w:name="_7tjxrhohf80q" w:colFirst="0" w:colLast="0" w:displacedByCustomXml="next"/>
    <w:bookmarkEnd w:id="1" w:displacedByCustomXml="next"/>
    <w:sdt>
      <w:sdtPr>
        <w:rPr>
          <w:rFonts w:ascii="Arial" w:eastAsia="Arial" w:hAnsi="Arial" w:cs="Arial"/>
          <w:color w:val="auto"/>
          <w:sz w:val="22"/>
          <w:szCs w:val="22"/>
          <w:lang w:val="hr" w:eastAsia="en-US"/>
        </w:rPr>
        <w:id w:val="2139673624"/>
        <w:docPartObj>
          <w:docPartGallery w:val="Table of Contents"/>
          <w:docPartUnique/>
        </w:docPartObj>
      </w:sdtPr>
      <w:sdtEndPr>
        <w:rPr>
          <w:b/>
          <w:bCs/>
        </w:rPr>
      </w:sdtEndPr>
      <w:sdtContent>
        <w:p w14:paraId="1331BCEC" w14:textId="121603DC" w:rsidR="00F65449" w:rsidRDefault="00F65449">
          <w:pPr>
            <w:pStyle w:val="TOCNaslov"/>
          </w:pPr>
        </w:p>
        <w:p w14:paraId="1EE9013C" w14:textId="360E5F8C" w:rsidR="006B4230" w:rsidRDefault="00F65449">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r>
            <w:fldChar w:fldCharType="begin"/>
          </w:r>
          <w:r>
            <w:instrText xml:space="preserve"> TOC \o "1-3" \h \z \u </w:instrText>
          </w:r>
          <w:r>
            <w:fldChar w:fldCharType="separate"/>
          </w:r>
          <w:hyperlink w:anchor="_Toc207275875" w:history="1">
            <w:r w:rsidR="006B4230" w:rsidRPr="00DD7BA6">
              <w:rPr>
                <w:rStyle w:val="Hiperveza"/>
                <w:noProof/>
              </w:rPr>
              <w:t>1.</w:t>
            </w:r>
            <w:r w:rsidR="006B4230">
              <w:rPr>
                <w:rFonts w:asciiTheme="minorHAnsi" w:eastAsiaTheme="minorEastAsia" w:hAnsiTheme="minorHAnsi" w:cstheme="minorBidi"/>
                <w:noProof/>
                <w:kern w:val="2"/>
                <w:sz w:val="24"/>
                <w:szCs w:val="24"/>
                <w:lang w:val="hr-HR" w:eastAsia="hr-HR"/>
                <w14:ligatures w14:val="standardContextual"/>
              </w:rPr>
              <w:tab/>
            </w:r>
            <w:r w:rsidR="006B4230" w:rsidRPr="00DD7BA6">
              <w:rPr>
                <w:rStyle w:val="Hiperveza"/>
                <w:noProof/>
              </w:rPr>
              <w:t>Uvod</w:t>
            </w:r>
            <w:r w:rsidR="006B4230">
              <w:rPr>
                <w:noProof/>
                <w:webHidden/>
              </w:rPr>
              <w:tab/>
            </w:r>
            <w:r w:rsidR="006B4230">
              <w:rPr>
                <w:noProof/>
                <w:webHidden/>
              </w:rPr>
              <w:fldChar w:fldCharType="begin"/>
            </w:r>
            <w:r w:rsidR="006B4230">
              <w:rPr>
                <w:noProof/>
                <w:webHidden/>
              </w:rPr>
              <w:instrText xml:space="preserve"> PAGEREF _Toc207275875 \h </w:instrText>
            </w:r>
            <w:r w:rsidR="006B4230">
              <w:rPr>
                <w:noProof/>
                <w:webHidden/>
              </w:rPr>
            </w:r>
            <w:r w:rsidR="006B4230">
              <w:rPr>
                <w:noProof/>
                <w:webHidden/>
              </w:rPr>
              <w:fldChar w:fldCharType="separate"/>
            </w:r>
            <w:r w:rsidR="006B4230">
              <w:rPr>
                <w:noProof/>
                <w:webHidden/>
              </w:rPr>
              <w:t>1</w:t>
            </w:r>
            <w:r w:rsidR="006B4230">
              <w:rPr>
                <w:noProof/>
                <w:webHidden/>
              </w:rPr>
              <w:fldChar w:fldCharType="end"/>
            </w:r>
          </w:hyperlink>
        </w:p>
        <w:p w14:paraId="6BE11431" w14:textId="6B0D376C"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76" w:history="1">
            <w:r w:rsidRPr="00DD7BA6">
              <w:rPr>
                <w:rStyle w:val="Hiperveza"/>
                <w:noProof/>
              </w:rPr>
              <w:t>1.1.</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Problem istraživanja</w:t>
            </w:r>
            <w:r>
              <w:rPr>
                <w:noProof/>
                <w:webHidden/>
              </w:rPr>
              <w:tab/>
            </w:r>
            <w:r>
              <w:rPr>
                <w:noProof/>
                <w:webHidden/>
              </w:rPr>
              <w:fldChar w:fldCharType="begin"/>
            </w:r>
            <w:r>
              <w:rPr>
                <w:noProof/>
                <w:webHidden/>
              </w:rPr>
              <w:instrText xml:space="preserve"> PAGEREF _Toc207275876 \h </w:instrText>
            </w:r>
            <w:r>
              <w:rPr>
                <w:noProof/>
                <w:webHidden/>
              </w:rPr>
            </w:r>
            <w:r>
              <w:rPr>
                <w:noProof/>
                <w:webHidden/>
              </w:rPr>
              <w:fldChar w:fldCharType="separate"/>
            </w:r>
            <w:r>
              <w:rPr>
                <w:noProof/>
                <w:webHidden/>
              </w:rPr>
              <w:t>1</w:t>
            </w:r>
            <w:r>
              <w:rPr>
                <w:noProof/>
                <w:webHidden/>
              </w:rPr>
              <w:fldChar w:fldCharType="end"/>
            </w:r>
          </w:hyperlink>
        </w:p>
        <w:p w14:paraId="34D07AE3" w14:textId="1C93D727"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77" w:history="1">
            <w:r w:rsidRPr="00DD7BA6">
              <w:rPr>
                <w:rStyle w:val="Hiperveza"/>
                <w:noProof/>
              </w:rPr>
              <w:t>1.2.</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Predmet istraživanja</w:t>
            </w:r>
            <w:r>
              <w:rPr>
                <w:noProof/>
                <w:webHidden/>
              </w:rPr>
              <w:tab/>
            </w:r>
            <w:r>
              <w:rPr>
                <w:noProof/>
                <w:webHidden/>
              </w:rPr>
              <w:fldChar w:fldCharType="begin"/>
            </w:r>
            <w:r>
              <w:rPr>
                <w:noProof/>
                <w:webHidden/>
              </w:rPr>
              <w:instrText xml:space="preserve"> PAGEREF _Toc207275877 \h </w:instrText>
            </w:r>
            <w:r>
              <w:rPr>
                <w:noProof/>
                <w:webHidden/>
              </w:rPr>
            </w:r>
            <w:r>
              <w:rPr>
                <w:noProof/>
                <w:webHidden/>
              </w:rPr>
              <w:fldChar w:fldCharType="separate"/>
            </w:r>
            <w:r>
              <w:rPr>
                <w:noProof/>
                <w:webHidden/>
              </w:rPr>
              <w:t>2</w:t>
            </w:r>
            <w:r>
              <w:rPr>
                <w:noProof/>
                <w:webHidden/>
              </w:rPr>
              <w:fldChar w:fldCharType="end"/>
            </w:r>
          </w:hyperlink>
        </w:p>
        <w:p w14:paraId="3D071D46" w14:textId="2FFC9D7F"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78" w:history="1">
            <w:r w:rsidRPr="00DD7BA6">
              <w:rPr>
                <w:rStyle w:val="Hiperveza"/>
                <w:noProof/>
              </w:rPr>
              <w:t>1.3.</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Ciljevi istraživanja</w:t>
            </w:r>
            <w:r>
              <w:rPr>
                <w:noProof/>
                <w:webHidden/>
              </w:rPr>
              <w:tab/>
            </w:r>
            <w:r>
              <w:rPr>
                <w:noProof/>
                <w:webHidden/>
              </w:rPr>
              <w:fldChar w:fldCharType="begin"/>
            </w:r>
            <w:r>
              <w:rPr>
                <w:noProof/>
                <w:webHidden/>
              </w:rPr>
              <w:instrText xml:space="preserve"> PAGEREF _Toc207275878 \h </w:instrText>
            </w:r>
            <w:r>
              <w:rPr>
                <w:noProof/>
                <w:webHidden/>
              </w:rPr>
            </w:r>
            <w:r>
              <w:rPr>
                <w:noProof/>
                <w:webHidden/>
              </w:rPr>
              <w:fldChar w:fldCharType="separate"/>
            </w:r>
            <w:r>
              <w:rPr>
                <w:noProof/>
                <w:webHidden/>
              </w:rPr>
              <w:t>3</w:t>
            </w:r>
            <w:r>
              <w:rPr>
                <w:noProof/>
                <w:webHidden/>
              </w:rPr>
              <w:fldChar w:fldCharType="end"/>
            </w:r>
          </w:hyperlink>
        </w:p>
        <w:p w14:paraId="54FAD2DB" w14:textId="7CE3FEBD"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79" w:history="1">
            <w:r w:rsidRPr="00DD7BA6">
              <w:rPr>
                <w:rStyle w:val="Hiperveza"/>
                <w:noProof/>
              </w:rPr>
              <w:t>1.4.</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Doprinos istraživanja</w:t>
            </w:r>
            <w:r>
              <w:rPr>
                <w:noProof/>
                <w:webHidden/>
              </w:rPr>
              <w:tab/>
            </w:r>
            <w:r>
              <w:rPr>
                <w:noProof/>
                <w:webHidden/>
              </w:rPr>
              <w:fldChar w:fldCharType="begin"/>
            </w:r>
            <w:r>
              <w:rPr>
                <w:noProof/>
                <w:webHidden/>
              </w:rPr>
              <w:instrText xml:space="preserve"> PAGEREF _Toc207275879 \h </w:instrText>
            </w:r>
            <w:r>
              <w:rPr>
                <w:noProof/>
                <w:webHidden/>
              </w:rPr>
            </w:r>
            <w:r>
              <w:rPr>
                <w:noProof/>
                <w:webHidden/>
              </w:rPr>
              <w:fldChar w:fldCharType="separate"/>
            </w:r>
            <w:r>
              <w:rPr>
                <w:noProof/>
                <w:webHidden/>
              </w:rPr>
              <w:t>4</w:t>
            </w:r>
            <w:r>
              <w:rPr>
                <w:noProof/>
                <w:webHidden/>
              </w:rPr>
              <w:fldChar w:fldCharType="end"/>
            </w:r>
          </w:hyperlink>
        </w:p>
        <w:p w14:paraId="3577FFE3" w14:textId="7B5E90A3"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0" w:history="1">
            <w:r w:rsidRPr="00DD7BA6">
              <w:rPr>
                <w:rStyle w:val="Hiperveza"/>
                <w:noProof/>
              </w:rPr>
              <w:t>1.5.</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Istraživačke hipoteze</w:t>
            </w:r>
            <w:r>
              <w:rPr>
                <w:noProof/>
                <w:webHidden/>
              </w:rPr>
              <w:tab/>
            </w:r>
            <w:r>
              <w:rPr>
                <w:noProof/>
                <w:webHidden/>
              </w:rPr>
              <w:fldChar w:fldCharType="begin"/>
            </w:r>
            <w:r>
              <w:rPr>
                <w:noProof/>
                <w:webHidden/>
              </w:rPr>
              <w:instrText xml:space="preserve"> PAGEREF _Toc207275880 \h </w:instrText>
            </w:r>
            <w:r>
              <w:rPr>
                <w:noProof/>
                <w:webHidden/>
              </w:rPr>
            </w:r>
            <w:r>
              <w:rPr>
                <w:noProof/>
                <w:webHidden/>
              </w:rPr>
              <w:fldChar w:fldCharType="separate"/>
            </w:r>
            <w:r>
              <w:rPr>
                <w:noProof/>
                <w:webHidden/>
              </w:rPr>
              <w:t>4</w:t>
            </w:r>
            <w:r>
              <w:rPr>
                <w:noProof/>
                <w:webHidden/>
              </w:rPr>
              <w:fldChar w:fldCharType="end"/>
            </w:r>
          </w:hyperlink>
        </w:p>
        <w:p w14:paraId="57A0899F" w14:textId="22DFEA24"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1" w:history="1">
            <w:r w:rsidRPr="00DD7BA6">
              <w:rPr>
                <w:rStyle w:val="Hiperveza"/>
                <w:noProof/>
              </w:rPr>
              <w:t>1.6.</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Metodologija istraživanja</w:t>
            </w:r>
            <w:r>
              <w:rPr>
                <w:noProof/>
                <w:webHidden/>
              </w:rPr>
              <w:tab/>
            </w:r>
            <w:r>
              <w:rPr>
                <w:noProof/>
                <w:webHidden/>
              </w:rPr>
              <w:fldChar w:fldCharType="begin"/>
            </w:r>
            <w:r>
              <w:rPr>
                <w:noProof/>
                <w:webHidden/>
              </w:rPr>
              <w:instrText xml:space="preserve"> PAGEREF _Toc207275881 \h </w:instrText>
            </w:r>
            <w:r>
              <w:rPr>
                <w:noProof/>
                <w:webHidden/>
              </w:rPr>
            </w:r>
            <w:r>
              <w:rPr>
                <w:noProof/>
                <w:webHidden/>
              </w:rPr>
              <w:fldChar w:fldCharType="separate"/>
            </w:r>
            <w:r>
              <w:rPr>
                <w:noProof/>
                <w:webHidden/>
              </w:rPr>
              <w:t>6</w:t>
            </w:r>
            <w:r>
              <w:rPr>
                <w:noProof/>
                <w:webHidden/>
              </w:rPr>
              <w:fldChar w:fldCharType="end"/>
            </w:r>
          </w:hyperlink>
        </w:p>
        <w:p w14:paraId="44CC70A7" w14:textId="6A876C38"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2" w:history="1">
            <w:r w:rsidRPr="00DD7BA6">
              <w:rPr>
                <w:rStyle w:val="Hiperveza"/>
                <w:noProof/>
              </w:rPr>
              <w:t>1.7.</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Struktura i sadržaj rada</w:t>
            </w:r>
            <w:r>
              <w:rPr>
                <w:noProof/>
                <w:webHidden/>
              </w:rPr>
              <w:tab/>
            </w:r>
            <w:r>
              <w:rPr>
                <w:noProof/>
                <w:webHidden/>
              </w:rPr>
              <w:fldChar w:fldCharType="begin"/>
            </w:r>
            <w:r>
              <w:rPr>
                <w:noProof/>
                <w:webHidden/>
              </w:rPr>
              <w:instrText xml:space="preserve"> PAGEREF _Toc207275882 \h </w:instrText>
            </w:r>
            <w:r>
              <w:rPr>
                <w:noProof/>
                <w:webHidden/>
              </w:rPr>
            </w:r>
            <w:r>
              <w:rPr>
                <w:noProof/>
                <w:webHidden/>
              </w:rPr>
              <w:fldChar w:fldCharType="separate"/>
            </w:r>
            <w:r>
              <w:rPr>
                <w:noProof/>
                <w:webHidden/>
              </w:rPr>
              <w:t>7</w:t>
            </w:r>
            <w:r>
              <w:rPr>
                <w:noProof/>
                <w:webHidden/>
              </w:rPr>
              <w:fldChar w:fldCharType="end"/>
            </w:r>
          </w:hyperlink>
        </w:p>
        <w:p w14:paraId="720A92FA" w14:textId="4D3FF80A"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3" w:history="1">
            <w:r w:rsidRPr="00DD7BA6">
              <w:rPr>
                <w:rStyle w:val="Hiperveza"/>
                <w:noProof/>
              </w:rPr>
              <w:t>2.</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Teorijski okvir</w:t>
            </w:r>
            <w:r>
              <w:rPr>
                <w:noProof/>
                <w:webHidden/>
              </w:rPr>
              <w:tab/>
            </w:r>
            <w:r>
              <w:rPr>
                <w:noProof/>
                <w:webHidden/>
              </w:rPr>
              <w:fldChar w:fldCharType="begin"/>
            </w:r>
            <w:r>
              <w:rPr>
                <w:noProof/>
                <w:webHidden/>
              </w:rPr>
              <w:instrText xml:space="preserve"> PAGEREF _Toc207275883 \h </w:instrText>
            </w:r>
            <w:r>
              <w:rPr>
                <w:noProof/>
                <w:webHidden/>
              </w:rPr>
            </w:r>
            <w:r>
              <w:rPr>
                <w:noProof/>
                <w:webHidden/>
              </w:rPr>
              <w:fldChar w:fldCharType="separate"/>
            </w:r>
            <w:r>
              <w:rPr>
                <w:noProof/>
                <w:webHidden/>
              </w:rPr>
              <w:t>9</w:t>
            </w:r>
            <w:r>
              <w:rPr>
                <w:noProof/>
                <w:webHidden/>
              </w:rPr>
              <w:fldChar w:fldCharType="end"/>
            </w:r>
          </w:hyperlink>
        </w:p>
        <w:p w14:paraId="1AB578A2" w14:textId="7BF68871" w:rsidR="006B4230" w:rsidRDefault="006B4230">
          <w:pPr>
            <w:pStyle w:val="Sadraj3"/>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4" w:history="1">
            <w:r w:rsidRPr="00DD7BA6">
              <w:rPr>
                <w:rStyle w:val="Hiperveza"/>
                <w:noProof/>
              </w:rPr>
              <w:t>2.1. Pojam i mjerenje financijske poluge</w:t>
            </w:r>
            <w:r>
              <w:rPr>
                <w:noProof/>
                <w:webHidden/>
              </w:rPr>
              <w:tab/>
            </w:r>
            <w:r>
              <w:rPr>
                <w:noProof/>
                <w:webHidden/>
              </w:rPr>
              <w:fldChar w:fldCharType="begin"/>
            </w:r>
            <w:r>
              <w:rPr>
                <w:noProof/>
                <w:webHidden/>
              </w:rPr>
              <w:instrText xml:space="preserve"> PAGEREF _Toc207275884 \h </w:instrText>
            </w:r>
            <w:r>
              <w:rPr>
                <w:noProof/>
                <w:webHidden/>
              </w:rPr>
            </w:r>
            <w:r>
              <w:rPr>
                <w:noProof/>
                <w:webHidden/>
              </w:rPr>
              <w:fldChar w:fldCharType="separate"/>
            </w:r>
            <w:r>
              <w:rPr>
                <w:noProof/>
                <w:webHidden/>
              </w:rPr>
              <w:t>9</w:t>
            </w:r>
            <w:r>
              <w:rPr>
                <w:noProof/>
                <w:webHidden/>
              </w:rPr>
              <w:fldChar w:fldCharType="end"/>
            </w:r>
          </w:hyperlink>
        </w:p>
        <w:p w14:paraId="3EE1A369" w14:textId="34D690E2" w:rsidR="006B4230" w:rsidRDefault="006B4230">
          <w:pPr>
            <w:pStyle w:val="Sadraj3"/>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5" w:history="1">
            <w:r w:rsidRPr="00DD7BA6">
              <w:rPr>
                <w:rStyle w:val="Hiperveza"/>
                <w:noProof/>
              </w:rPr>
              <w:t>2.2. Definicija i važnost upravljanja likvidnošću</w:t>
            </w:r>
            <w:r>
              <w:rPr>
                <w:noProof/>
                <w:webHidden/>
              </w:rPr>
              <w:tab/>
            </w:r>
            <w:r>
              <w:rPr>
                <w:noProof/>
                <w:webHidden/>
              </w:rPr>
              <w:fldChar w:fldCharType="begin"/>
            </w:r>
            <w:r>
              <w:rPr>
                <w:noProof/>
                <w:webHidden/>
              </w:rPr>
              <w:instrText xml:space="preserve"> PAGEREF _Toc207275885 \h </w:instrText>
            </w:r>
            <w:r>
              <w:rPr>
                <w:noProof/>
                <w:webHidden/>
              </w:rPr>
            </w:r>
            <w:r>
              <w:rPr>
                <w:noProof/>
                <w:webHidden/>
              </w:rPr>
              <w:fldChar w:fldCharType="separate"/>
            </w:r>
            <w:r>
              <w:rPr>
                <w:noProof/>
                <w:webHidden/>
              </w:rPr>
              <w:t>10</w:t>
            </w:r>
            <w:r>
              <w:rPr>
                <w:noProof/>
                <w:webHidden/>
              </w:rPr>
              <w:fldChar w:fldCharType="end"/>
            </w:r>
          </w:hyperlink>
        </w:p>
        <w:p w14:paraId="7146D4B3" w14:textId="3C09BD87" w:rsidR="006B4230" w:rsidRDefault="006B4230">
          <w:pPr>
            <w:pStyle w:val="Sadraj3"/>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6" w:history="1">
            <w:r w:rsidRPr="00DD7BA6">
              <w:rPr>
                <w:rStyle w:val="Hiperveza"/>
                <w:noProof/>
              </w:rPr>
              <w:t>2.3. Odnos između financijske poluge i likvidnosti u teoriji</w:t>
            </w:r>
            <w:r>
              <w:rPr>
                <w:noProof/>
                <w:webHidden/>
              </w:rPr>
              <w:tab/>
            </w:r>
            <w:r>
              <w:rPr>
                <w:noProof/>
                <w:webHidden/>
              </w:rPr>
              <w:fldChar w:fldCharType="begin"/>
            </w:r>
            <w:r>
              <w:rPr>
                <w:noProof/>
                <w:webHidden/>
              </w:rPr>
              <w:instrText xml:space="preserve"> PAGEREF _Toc207275886 \h </w:instrText>
            </w:r>
            <w:r>
              <w:rPr>
                <w:noProof/>
                <w:webHidden/>
              </w:rPr>
            </w:r>
            <w:r>
              <w:rPr>
                <w:noProof/>
                <w:webHidden/>
              </w:rPr>
              <w:fldChar w:fldCharType="separate"/>
            </w:r>
            <w:r>
              <w:rPr>
                <w:noProof/>
                <w:webHidden/>
              </w:rPr>
              <w:t>11</w:t>
            </w:r>
            <w:r>
              <w:rPr>
                <w:noProof/>
                <w:webHidden/>
              </w:rPr>
              <w:fldChar w:fldCharType="end"/>
            </w:r>
          </w:hyperlink>
        </w:p>
        <w:p w14:paraId="455AC3E6" w14:textId="382823F4" w:rsidR="006B4230" w:rsidRDefault="006B4230">
          <w:pPr>
            <w:pStyle w:val="Sadraj3"/>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7" w:history="1">
            <w:r w:rsidRPr="00DD7BA6">
              <w:rPr>
                <w:rStyle w:val="Hiperveza"/>
                <w:noProof/>
              </w:rPr>
              <w:t>2.4. Teorijski pregled kontrolnih varijabli</w:t>
            </w:r>
            <w:r>
              <w:rPr>
                <w:noProof/>
                <w:webHidden/>
              </w:rPr>
              <w:tab/>
            </w:r>
            <w:r>
              <w:rPr>
                <w:noProof/>
                <w:webHidden/>
              </w:rPr>
              <w:fldChar w:fldCharType="begin"/>
            </w:r>
            <w:r>
              <w:rPr>
                <w:noProof/>
                <w:webHidden/>
              </w:rPr>
              <w:instrText xml:space="preserve"> PAGEREF _Toc207275887 \h </w:instrText>
            </w:r>
            <w:r>
              <w:rPr>
                <w:noProof/>
                <w:webHidden/>
              </w:rPr>
            </w:r>
            <w:r>
              <w:rPr>
                <w:noProof/>
                <w:webHidden/>
              </w:rPr>
              <w:fldChar w:fldCharType="separate"/>
            </w:r>
            <w:r>
              <w:rPr>
                <w:noProof/>
                <w:webHidden/>
              </w:rPr>
              <w:t>12</w:t>
            </w:r>
            <w:r>
              <w:rPr>
                <w:noProof/>
                <w:webHidden/>
              </w:rPr>
              <w:fldChar w:fldCharType="end"/>
            </w:r>
          </w:hyperlink>
        </w:p>
        <w:p w14:paraId="461A258C" w14:textId="2665F1A9"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8" w:history="1">
            <w:r w:rsidRPr="00DD7BA6">
              <w:rPr>
                <w:rStyle w:val="Hiperveza"/>
                <w:noProof/>
              </w:rPr>
              <w:t>3.</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Pregled relevantnih istraživanja</w:t>
            </w:r>
            <w:r>
              <w:rPr>
                <w:noProof/>
                <w:webHidden/>
              </w:rPr>
              <w:tab/>
            </w:r>
            <w:r>
              <w:rPr>
                <w:noProof/>
                <w:webHidden/>
              </w:rPr>
              <w:fldChar w:fldCharType="begin"/>
            </w:r>
            <w:r>
              <w:rPr>
                <w:noProof/>
                <w:webHidden/>
              </w:rPr>
              <w:instrText xml:space="preserve"> PAGEREF _Toc207275888 \h </w:instrText>
            </w:r>
            <w:r>
              <w:rPr>
                <w:noProof/>
                <w:webHidden/>
              </w:rPr>
            </w:r>
            <w:r>
              <w:rPr>
                <w:noProof/>
                <w:webHidden/>
              </w:rPr>
              <w:fldChar w:fldCharType="separate"/>
            </w:r>
            <w:r>
              <w:rPr>
                <w:noProof/>
                <w:webHidden/>
              </w:rPr>
              <w:t>14</w:t>
            </w:r>
            <w:r>
              <w:rPr>
                <w:noProof/>
                <w:webHidden/>
              </w:rPr>
              <w:fldChar w:fldCharType="end"/>
            </w:r>
          </w:hyperlink>
        </w:p>
        <w:p w14:paraId="741F4146" w14:textId="59C4AB0A" w:rsidR="006B4230" w:rsidRDefault="006B4230">
          <w:pPr>
            <w:pStyle w:val="Sadraj3"/>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89" w:history="1">
            <w:r w:rsidRPr="00DD7BA6">
              <w:rPr>
                <w:rStyle w:val="Hiperveza"/>
                <w:noProof/>
              </w:rPr>
              <w:t>3.1. Istraživanja provedena u Hrvatskoj</w:t>
            </w:r>
            <w:r>
              <w:rPr>
                <w:noProof/>
                <w:webHidden/>
              </w:rPr>
              <w:tab/>
            </w:r>
            <w:r>
              <w:rPr>
                <w:noProof/>
                <w:webHidden/>
              </w:rPr>
              <w:fldChar w:fldCharType="begin"/>
            </w:r>
            <w:r>
              <w:rPr>
                <w:noProof/>
                <w:webHidden/>
              </w:rPr>
              <w:instrText xml:space="preserve"> PAGEREF _Toc207275889 \h </w:instrText>
            </w:r>
            <w:r>
              <w:rPr>
                <w:noProof/>
                <w:webHidden/>
              </w:rPr>
            </w:r>
            <w:r>
              <w:rPr>
                <w:noProof/>
                <w:webHidden/>
              </w:rPr>
              <w:fldChar w:fldCharType="separate"/>
            </w:r>
            <w:r>
              <w:rPr>
                <w:noProof/>
                <w:webHidden/>
              </w:rPr>
              <w:t>14</w:t>
            </w:r>
            <w:r>
              <w:rPr>
                <w:noProof/>
                <w:webHidden/>
              </w:rPr>
              <w:fldChar w:fldCharType="end"/>
            </w:r>
          </w:hyperlink>
        </w:p>
        <w:p w14:paraId="6E181D54" w14:textId="52D88FC4" w:rsidR="006B4230" w:rsidRDefault="006B4230">
          <w:pPr>
            <w:pStyle w:val="Sadraj3"/>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0" w:history="1">
            <w:r w:rsidRPr="00DD7BA6">
              <w:rPr>
                <w:rStyle w:val="Hiperveza"/>
                <w:noProof/>
              </w:rPr>
              <w:t>3.2. Međunarodna istraživanja</w:t>
            </w:r>
            <w:r>
              <w:rPr>
                <w:noProof/>
                <w:webHidden/>
              </w:rPr>
              <w:tab/>
            </w:r>
            <w:r>
              <w:rPr>
                <w:noProof/>
                <w:webHidden/>
              </w:rPr>
              <w:fldChar w:fldCharType="begin"/>
            </w:r>
            <w:r>
              <w:rPr>
                <w:noProof/>
                <w:webHidden/>
              </w:rPr>
              <w:instrText xml:space="preserve"> PAGEREF _Toc207275890 \h </w:instrText>
            </w:r>
            <w:r>
              <w:rPr>
                <w:noProof/>
                <w:webHidden/>
              </w:rPr>
            </w:r>
            <w:r>
              <w:rPr>
                <w:noProof/>
                <w:webHidden/>
              </w:rPr>
              <w:fldChar w:fldCharType="separate"/>
            </w:r>
            <w:r>
              <w:rPr>
                <w:noProof/>
                <w:webHidden/>
              </w:rPr>
              <w:t>14</w:t>
            </w:r>
            <w:r>
              <w:rPr>
                <w:noProof/>
                <w:webHidden/>
              </w:rPr>
              <w:fldChar w:fldCharType="end"/>
            </w:r>
          </w:hyperlink>
        </w:p>
        <w:p w14:paraId="2E2A05F2" w14:textId="5EE91779"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1" w:history="1">
            <w:r w:rsidRPr="00DD7BA6">
              <w:rPr>
                <w:rStyle w:val="Hiperveza"/>
                <w:noProof/>
              </w:rPr>
              <w:t>4.</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Istraživanje utjecaja financijske poluge na likvidnost poduzeća</w:t>
            </w:r>
            <w:r>
              <w:rPr>
                <w:noProof/>
                <w:webHidden/>
              </w:rPr>
              <w:tab/>
            </w:r>
            <w:r>
              <w:rPr>
                <w:noProof/>
                <w:webHidden/>
              </w:rPr>
              <w:fldChar w:fldCharType="begin"/>
            </w:r>
            <w:r>
              <w:rPr>
                <w:noProof/>
                <w:webHidden/>
              </w:rPr>
              <w:instrText xml:space="preserve"> PAGEREF _Toc207275891 \h </w:instrText>
            </w:r>
            <w:r>
              <w:rPr>
                <w:noProof/>
                <w:webHidden/>
              </w:rPr>
            </w:r>
            <w:r>
              <w:rPr>
                <w:noProof/>
                <w:webHidden/>
              </w:rPr>
              <w:fldChar w:fldCharType="separate"/>
            </w:r>
            <w:r>
              <w:rPr>
                <w:noProof/>
                <w:webHidden/>
              </w:rPr>
              <w:t>16</w:t>
            </w:r>
            <w:r>
              <w:rPr>
                <w:noProof/>
                <w:webHidden/>
              </w:rPr>
              <w:fldChar w:fldCharType="end"/>
            </w:r>
          </w:hyperlink>
        </w:p>
        <w:p w14:paraId="1D32D415" w14:textId="55F3FC04"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2" w:history="1">
            <w:r w:rsidRPr="00DD7BA6">
              <w:rPr>
                <w:rStyle w:val="Hiperveza"/>
                <w:noProof/>
              </w:rPr>
              <w:t>4.1.</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Opis uzorka</w:t>
            </w:r>
            <w:r>
              <w:rPr>
                <w:noProof/>
                <w:webHidden/>
              </w:rPr>
              <w:tab/>
            </w:r>
            <w:r>
              <w:rPr>
                <w:noProof/>
                <w:webHidden/>
              </w:rPr>
              <w:fldChar w:fldCharType="begin"/>
            </w:r>
            <w:r>
              <w:rPr>
                <w:noProof/>
                <w:webHidden/>
              </w:rPr>
              <w:instrText xml:space="preserve"> PAGEREF _Toc207275892 \h </w:instrText>
            </w:r>
            <w:r>
              <w:rPr>
                <w:noProof/>
                <w:webHidden/>
              </w:rPr>
            </w:r>
            <w:r>
              <w:rPr>
                <w:noProof/>
                <w:webHidden/>
              </w:rPr>
              <w:fldChar w:fldCharType="separate"/>
            </w:r>
            <w:r>
              <w:rPr>
                <w:noProof/>
                <w:webHidden/>
              </w:rPr>
              <w:t>16</w:t>
            </w:r>
            <w:r>
              <w:rPr>
                <w:noProof/>
                <w:webHidden/>
              </w:rPr>
              <w:fldChar w:fldCharType="end"/>
            </w:r>
          </w:hyperlink>
        </w:p>
        <w:p w14:paraId="41FEE1D3" w14:textId="133BC8CC"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3" w:history="1">
            <w:r w:rsidRPr="00DD7BA6">
              <w:rPr>
                <w:rStyle w:val="Hiperveza"/>
                <w:noProof/>
              </w:rPr>
              <w:t>4.2.</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Područje C - Prerađivačka industrija</w:t>
            </w:r>
            <w:r>
              <w:rPr>
                <w:noProof/>
                <w:webHidden/>
              </w:rPr>
              <w:tab/>
            </w:r>
            <w:r>
              <w:rPr>
                <w:noProof/>
                <w:webHidden/>
              </w:rPr>
              <w:fldChar w:fldCharType="begin"/>
            </w:r>
            <w:r>
              <w:rPr>
                <w:noProof/>
                <w:webHidden/>
              </w:rPr>
              <w:instrText xml:space="preserve"> PAGEREF _Toc207275893 \h </w:instrText>
            </w:r>
            <w:r>
              <w:rPr>
                <w:noProof/>
                <w:webHidden/>
              </w:rPr>
            </w:r>
            <w:r>
              <w:rPr>
                <w:noProof/>
                <w:webHidden/>
              </w:rPr>
              <w:fldChar w:fldCharType="separate"/>
            </w:r>
            <w:r>
              <w:rPr>
                <w:noProof/>
                <w:webHidden/>
              </w:rPr>
              <w:t>16</w:t>
            </w:r>
            <w:r>
              <w:rPr>
                <w:noProof/>
                <w:webHidden/>
              </w:rPr>
              <w:fldChar w:fldCharType="end"/>
            </w:r>
          </w:hyperlink>
        </w:p>
        <w:p w14:paraId="6A2A3E55" w14:textId="59B4708B"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4" w:history="1">
            <w:r w:rsidRPr="00DD7BA6">
              <w:rPr>
                <w:rStyle w:val="Hiperveza"/>
                <w:noProof/>
              </w:rPr>
              <w:t>4.3.</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Područje H - Prijevoz i skladištenje</w:t>
            </w:r>
            <w:r>
              <w:rPr>
                <w:noProof/>
                <w:webHidden/>
              </w:rPr>
              <w:tab/>
            </w:r>
            <w:r>
              <w:rPr>
                <w:noProof/>
                <w:webHidden/>
              </w:rPr>
              <w:fldChar w:fldCharType="begin"/>
            </w:r>
            <w:r>
              <w:rPr>
                <w:noProof/>
                <w:webHidden/>
              </w:rPr>
              <w:instrText xml:space="preserve"> PAGEREF _Toc207275894 \h </w:instrText>
            </w:r>
            <w:r>
              <w:rPr>
                <w:noProof/>
                <w:webHidden/>
              </w:rPr>
            </w:r>
            <w:r>
              <w:rPr>
                <w:noProof/>
                <w:webHidden/>
              </w:rPr>
              <w:fldChar w:fldCharType="separate"/>
            </w:r>
            <w:r>
              <w:rPr>
                <w:noProof/>
                <w:webHidden/>
              </w:rPr>
              <w:t>23</w:t>
            </w:r>
            <w:r>
              <w:rPr>
                <w:noProof/>
                <w:webHidden/>
              </w:rPr>
              <w:fldChar w:fldCharType="end"/>
            </w:r>
          </w:hyperlink>
        </w:p>
        <w:p w14:paraId="71A6252F" w14:textId="2E153D6E"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5" w:history="1">
            <w:r w:rsidRPr="00DD7BA6">
              <w:rPr>
                <w:rStyle w:val="Hiperveza"/>
                <w:noProof/>
              </w:rPr>
              <w:t>4.4.</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Područje I - Djelatnosti pružanja smještaja te pripreme i usluživanja hrane</w:t>
            </w:r>
            <w:r>
              <w:rPr>
                <w:noProof/>
                <w:webHidden/>
              </w:rPr>
              <w:tab/>
            </w:r>
            <w:r>
              <w:rPr>
                <w:noProof/>
                <w:webHidden/>
              </w:rPr>
              <w:fldChar w:fldCharType="begin"/>
            </w:r>
            <w:r>
              <w:rPr>
                <w:noProof/>
                <w:webHidden/>
              </w:rPr>
              <w:instrText xml:space="preserve"> PAGEREF _Toc207275895 \h </w:instrText>
            </w:r>
            <w:r>
              <w:rPr>
                <w:noProof/>
                <w:webHidden/>
              </w:rPr>
            </w:r>
            <w:r>
              <w:rPr>
                <w:noProof/>
                <w:webHidden/>
              </w:rPr>
              <w:fldChar w:fldCharType="separate"/>
            </w:r>
            <w:r>
              <w:rPr>
                <w:noProof/>
                <w:webHidden/>
              </w:rPr>
              <w:t>32</w:t>
            </w:r>
            <w:r>
              <w:rPr>
                <w:noProof/>
                <w:webHidden/>
              </w:rPr>
              <w:fldChar w:fldCharType="end"/>
            </w:r>
          </w:hyperlink>
        </w:p>
        <w:p w14:paraId="0DED61E8" w14:textId="2C477141" w:rsidR="006B4230" w:rsidRDefault="006B4230">
          <w:pPr>
            <w:pStyle w:val="Sadraj3"/>
            <w:tabs>
              <w:tab w:val="left" w:pos="120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6" w:history="1">
            <w:r w:rsidRPr="00DD7BA6">
              <w:rPr>
                <w:rStyle w:val="Hiperveza"/>
                <w:noProof/>
              </w:rPr>
              <w:t>4.5.</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Područje N - Administrativne i pomoćne uslužne djelatnosti</w:t>
            </w:r>
            <w:r>
              <w:rPr>
                <w:noProof/>
                <w:webHidden/>
              </w:rPr>
              <w:tab/>
            </w:r>
            <w:r>
              <w:rPr>
                <w:noProof/>
                <w:webHidden/>
              </w:rPr>
              <w:fldChar w:fldCharType="begin"/>
            </w:r>
            <w:r>
              <w:rPr>
                <w:noProof/>
                <w:webHidden/>
              </w:rPr>
              <w:instrText xml:space="preserve"> PAGEREF _Toc207275896 \h </w:instrText>
            </w:r>
            <w:r>
              <w:rPr>
                <w:noProof/>
                <w:webHidden/>
              </w:rPr>
            </w:r>
            <w:r>
              <w:rPr>
                <w:noProof/>
                <w:webHidden/>
              </w:rPr>
              <w:fldChar w:fldCharType="separate"/>
            </w:r>
            <w:r>
              <w:rPr>
                <w:noProof/>
                <w:webHidden/>
              </w:rPr>
              <w:t>40</w:t>
            </w:r>
            <w:r>
              <w:rPr>
                <w:noProof/>
                <w:webHidden/>
              </w:rPr>
              <w:fldChar w:fldCharType="end"/>
            </w:r>
          </w:hyperlink>
        </w:p>
        <w:p w14:paraId="66D1AF0F" w14:textId="1B566971"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7" w:history="1">
            <w:r w:rsidRPr="00DD7BA6">
              <w:rPr>
                <w:rStyle w:val="Hiperveza"/>
                <w:noProof/>
              </w:rPr>
              <w:t>5.</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Rezultati istraživanja</w:t>
            </w:r>
            <w:r>
              <w:rPr>
                <w:noProof/>
                <w:webHidden/>
              </w:rPr>
              <w:tab/>
            </w:r>
            <w:r>
              <w:rPr>
                <w:noProof/>
                <w:webHidden/>
              </w:rPr>
              <w:fldChar w:fldCharType="begin"/>
            </w:r>
            <w:r>
              <w:rPr>
                <w:noProof/>
                <w:webHidden/>
              </w:rPr>
              <w:instrText xml:space="preserve"> PAGEREF _Toc207275897 \h </w:instrText>
            </w:r>
            <w:r>
              <w:rPr>
                <w:noProof/>
                <w:webHidden/>
              </w:rPr>
            </w:r>
            <w:r>
              <w:rPr>
                <w:noProof/>
                <w:webHidden/>
              </w:rPr>
              <w:fldChar w:fldCharType="separate"/>
            </w:r>
            <w:r>
              <w:rPr>
                <w:noProof/>
                <w:webHidden/>
              </w:rPr>
              <w:t>48</w:t>
            </w:r>
            <w:r>
              <w:rPr>
                <w:noProof/>
                <w:webHidden/>
              </w:rPr>
              <w:fldChar w:fldCharType="end"/>
            </w:r>
          </w:hyperlink>
        </w:p>
        <w:p w14:paraId="1535D1FB" w14:textId="73D59D25"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8" w:history="1">
            <w:r w:rsidRPr="00DD7BA6">
              <w:rPr>
                <w:rStyle w:val="Hiperveza"/>
                <w:noProof/>
              </w:rPr>
              <w:t>6.</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Ograničenja istraživanja</w:t>
            </w:r>
            <w:r>
              <w:rPr>
                <w:noProof/>
                <w:webHidden/>
              </w:rPr>
              <w:tab/>
            </w:r>
            <w:r>
              <w:rPr>
                <w:noProof/>
                <w:webHidden/>
              </w:rPr>
              <w:fldChar w:fldCharType="begin"/>
            </w:r>
            <w:r>
              <w:rPr>
                <w:noProof/>
                <w:webHidden/>
              </w:rPr>
              <w:instrText xml:space="preserve"> PAGEREF _Toc207275898 \h </w:instrText>
            </w:r>
            <w:r>
              <w:rPr>
                <w:noProof/>
                <w:webHidden/>
              </w:rPr>
            </w:r>
            <w:r>
              <w:rPr>
                <w:noProof/>
                <w:webHidden/>
              </w:rPr>
              <w:fldChar w:fldCharType="separate"/>
            </w:r>
            <w:r>
              <w:rPr>
                <w:noProof/>
                <w:webHidden/>
              </w:rPr>
              <w:t>52</w:t>
            </w:r>
            <w:r>
              <w:rPr>
                <w:noProof/>
                <w:webHidden/>
              </w:rPr>
              <w:fldChar w:fldCharType="end"/>
            </w:r>
          </w:hyperlink>
        </w:p>
        <w:p w14:paraId="4CC54381" w14:textId="794570CB"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899" w:history="1">
            <w:r w:rsidRPr="00DD7BA6">
              <w:rPr>
                <w:rStyle w:val="Hiperveza"/>
                <w:noProof/>
              </w:rPr>
              <w:t>7.</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Strategijske preporuke i implikacije za praksu</w:t>
            </w:r>
            <w:r>
              <w:rPr>
                <w:noProof/>
                <w:webHidden/>
              </w:rPr>
              <w:tab/>
            </w:r>
            <w:r>
              <w:rPr>
                <w:noProof/>
                <w:webHidden/>
              </w:rPr>
              <w:fldChar w:fldCharType="begin"/>
            </w:r>
            <w:r>
              <w:rPr>
                <w:noProof/>
                <w:webHidden/>
              </w:rPr>
              <w:instrText xml:space="preserve"> PAGEREF _Toc207275899 \h </w:instrText>
            </w:r>
            <w:r>
              <w:rPr>
                <w:noProof/>
                <w:webHidden/>
              </w:rPr>
            </w:r>
            <w:r>
              <w:rPr>
                <w:noProof/>
                <w:webHidden/>
              </w:rPr>
              <w:fldChar w:fldCharType="separate"/>
            </w:r>
            <w:r>
              <w:rPr>
                <w:noProof/>
                <w:webHidden/>
              </w:rPr>
              <w:t>53</w:t>
            </w:r>
            <w:r>
              <w:rPr>
                <w:noProof/>
                <w:webHidden/>
              </w:rPr>
              <w:fldChar w:fldCharType="end"/>
            </w:r>
          </w:hyperlink>
        </w:p>
        <w:p w14:paraId="46BB83FB" w14:textId="752840F4"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0" w:history="1">
            <w:r w:rsidRPr="00DD7BA6">
              <w:rPr>
                <w:rStyle w:val="Hiperveza"/>
                <w:noProof/>
              </w:rPr>
              <w:t>8.</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Zaključak</w:t>
            </w:r>
            <w:r>
              <w:rPr>
                <w:noProof/>
                <w:webHidden/>
              </w:rPr>
              <w:tab/>
            </w:r>
            <w:r>
              <w:rPr>
                <w:noProof/>
                <w:webHidden/>
              </w:rPr>
              <w:fldChar w:fldCharType="begin"/>
            </w:r>
            <w:r>
              <w:rPr>
                <w:noProof/>
                <w:webHidden/>
              </w:rPr>
              <w:instrText xml:space="preserve"> PAGEREF _Toc207275900 \h </w:instrText>
            </w:r>
            <w:r>
              <w:rPr>
                <w:noProof/>
                <w:webHidden/>
              </w:rPr>
            </w:r>
            <w:r>
              <w:rPr>
                <w:noProof/>
                <w:webHidden/>
              </w:rPr>
              <w:fldChar w:fldCharType="separate"/>
            </w:r>
            <w:r>
              <w:rPr>
                <w:noProof/>
                <w:webHidden/>
              </w:rPr>
              <w:t>55</w:t>
            </w:r>
            <w:r>
              <w:rPr>
                <w:noProof/>
                <w:webHidden/>
              </w:rPr>
              <w:fldChar w:fldCharType="end"/>
            </w:r>
          </w:hyperlink>
        </w:p>
        <w:p w14:paraId="22C2FF0A" w14:textId="489460CE" w:rsidR="006B4230" w:rsidRDefault="006B4230">
          <w:pPr>
            <w:pStyle w:val="Sadraj2"/>
            <w:tabs>
              <w:tab w:val="left" w:pos="72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1" w:history="1">
            <w:r w:rsidRPr="00DD7BA6">
              <w:rPr>
                <w:rStyle w:val="Hiperveza"/>
                <w:noProof/>
              </w:rPr>
              <w:t>9.</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Popis literature</w:t>
            </w:r>
            <w:r>
              <w:rPr>
                <w:noProof/>
                <w:webHidden/>
              </w:rPr>
              <w:tab/>
            </w:r>
            <w:r>
              <w:rPr>
                <w:noProof/>
                <w:webHidden/>
              </w:rPr>
              <w:fldChar w:fldCharType="begin"/>
            </w:r>
            <w:r>
              <w:rPr>
                <w:noProof/>
                <w:webHidden/>
              </w:rPr>
              <w:instrText xml:space="preserve"> PAGEREF _Toc207275901 \h </w:instrText>
            </w:r>
            <w:r>
              <w:rPr>
                <w:noProof/>
                <w:webHidden/>
              </w:rPr>
            </w:r>
            <w:r>
              <w:rPr>
                <w:noProof/>
                <w:webHidden/>
              </w:rPr>
              <w:fldChar w:fldCharType="separate"/>
            </w:r>
            <w:r>
              <w:rPr>
                <w:noProof/>
                <w:webHidden/>
              </w:rPr>
              <w:t>57</w:t>
            </w:r>
            <w:r>
              <w:rPr>
                <w:noProof/>
                <w:webHidden/>
              </w:rPr>
              <w:fldChar w:fldCharType="end"/>
            </w:r>
          </w:hyperlink>
        </w:p>
        <w:p w14:paraId="2DBEE7B8" w14:textId="2019869D" w:rsidR="006B4230" w:rsidRDefault="006B4230">
          <w:pPr>
            <w:pStyle w:val="Sadraj2"/>
            <w:tabs>
              <w:tab w:val="left" w:pos="96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2" w:history="1">
            <w:r w:rsidRPr="00DD7BA6">
              <w:rPr>
                <w:rStyle w:val="Hiperveza"/>
                <w:noProof/>
              </w:rPr>
              <w:t>10.</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Sažetak</w:t>
            </w:r>
            <w:r>
              <w:rPr>
                <w:noProof/>
                <w:webHidden/>
              </w:rPr>
              <w:tab/>
            </w:r>
            <w:r>
              <w:rPr>
                <w:noProof/>
                <w:webHidden/>
              </w:rPr>
              <w:fldChar w:fldCharType="begin"/>
            </w:r>
            <w:r>
              <w:rPr>
                <w:noProof/>
                <w:webHidden/>
              </w:rPr>
              <w:instrText xml:space="preserve"> PAGEREF _Toc207275902 \h </w:instrText>
            </w:r>
            <w:r>
              <w:rPr>
                <w:noProof/>
                <w:webHidden/>
              </w:rPr>
            </w:r>
            <w:r>
              <w:rPr>
                <w:noProof/>
                <w:webHidden/>
              </w:rPr>
              <w:fldChar w:fldCharType="separate"/>
            </w:r>
            <w:r>
              <w:rPr>
                <w:noProof/>
                <w:webHidden/>
              </w:rPr>
              <w:t>61</w:t>
            </w:r>
            <w:r>
              <w:rPr>
                <w:noProof/>
                <w:webHidden/>
              </w:rPr>
              <w:fldChar w:fldCharType="end"/>
            </w:r>
          </w:hyperlink>
        </w:p>
        <w:p w14:paraId="0FCC4375" w14:textId="6255C7CA" w:rsidR="006B4230" w:rsidRDefault="006B4230">
          <w:pPr>
            <w:pStyle w:val="Sadraj2"/>
            <w:tabs>
              <w:tab w:val="left" w:pos="96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3" w:history="1">
            <w:r w:rsidRPr="00DD7BA6">
              <w:rPr>
                <w:rStyle w:val="Hiperveza"/>
                <w:noProof/>
              </w:rPr>
              <w:t>11.</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Summary</w:t>
            </w:r>
            <w:r>
              <w:rPr>
                <w:noProof/>
                <w:webHidden/>
              </w:rPr>
              <w:tab/>
            </w:r>
            <w:r>
              <w:rPr>
                <w:noProof/>
                <w:webHidden/>
              </w:rPr>
              <w:fldChar w:fldCharType="begin"/>
            </w:r>
            <w:r>
              <w:rPr>
                <w:noProof/>
                <w:webHidden/>
              </w:rPr>
              <w:instrText xml:space="preserve"> PAGEREF _Toc207275903 \h </w:instrText>
            </w:r>
            <w:r>
              <w:rPr>
                <w:noProof/>
                <w:webHidden/>
              </w:rPr>
            </w:r>
            <w:r>
              <w:rPr>
                <w:noProof/>
                <w:webHidden/>
              </w:rPr>
              <w:fldChar w:fldCharType="separate"/>
            </w:r>
            <w:r>
              <w:rPr>
                <w:noProof/>
                <w:webHidden/>
              </w:rPr>
              <w:t>62</w:t>
            </w:r>
            <w:r>
              <w:rPr>
                <w:noProof/>
                <w:webHidden/>
              </w:rPr>
              <w:fldChar w:fldCharType="end"/>
            </w:r>
          </w:hyperlink>
        </w:p>
        <w:p w14:paraId="2A44892A" w14:textId="63F6CEDC" w:rsidR="006B4230" w:rsidRDefault="006B4230">
          <w:pPr>
            <w:pStyle w:val="Sadraj2"/>
            <w:tabs>
              <w:tab w:val="left" w:pos="960"/>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4" w:history="1">
            <w:r w:rsidRPr="00DD7BA6">
              <w:rPr>
                <w:rStyle w:val="Hiperveza"/>
                <w:noProof/>
              </w:rPr>
              <w:t>12.</w:t>
            </w:r>
            <w:r>
              <w:rPr>
                <w:rFonts w:asciiTheme="minorHAnsi" w:eastAsiaTheme="minorEastAsia" w:hAnsiTheme="minorHAnsi" w:cstheme="minorBidi"/>
                <w:noProof/>
                <w:kern w:val="2"/>
                <w:sz w:val="24"/>
                <w:szCs w:val="24"/>
                <w:lang w:val="hr-HR" w:eastAsia="hr-HR"/>
                <w14:ligatures w14:val="standardContextual"/>
              </w:rPr>
              <w:tab/>
            </w:r>
            <w:r w:rsidRPr="00DD7BA6">
              <w:rPr>
                <w:rStyle w:val="Hiperveza"/>
                <w:noProof/>
              </w:rPr>
              <w:t>Zahvale</w:t>
            </w:r>
            <w:r>
              <w:rPr>
                <w:noProof/>
                <w:webHidden/>
              </w:rPr>
              <w:tab/>
            </w:r>
            <w:r>
              <w:rPr>
                <w:noProof/>
                <w:webHidden/>
              </w:rPr>
              <w:fldChar w:fldCharType="begin"/>
            </w:r>
            <w:r>
              <w:rPr>
                <w:noProof/>
                <w:webHidden/>
              </w:rPr>
              <w:instrText xml:space="preserve"> PAGEREF _Toc207275904 \h </w:instrText>
            </w:r>
            <w:r>
              <w:rPr>
                <w:noProof/>
                <w:webHidden/>
              </w:rPr>
            </w:r>
            <w:r>
              <w:rPr>
                <w:noProof/>
                <w:webHidden/>
              </w:rPr>
              <w:fldChar w:fldCharType="separate"/>
            </w:r>
            <w:r>
              <w:rPr>
                <w:noProof/>
                <w:webHidden/>
              </w:rPr>
              <w:t>63</w:t>
            </w:r>
            <w:r>
              <w:rPr>
                <w:noProof/>
                <w:webHidden/>
              </w:rPr>
              <w:fldChar w:fldCharType="end"/>
            </w:r>
          </w:hyperlink>
        </w:p>
        <w:p w14:paraId="224EE9CD" w14:textId="2D426F0C" w:rsidR="006B4230" w:rsidRDefault="006B4230">
          <w:pPr>
            <w:pStyle w:val="Sadraj2"/>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5" w:history="1">
            <w:r w:rsidRPr="00DD7BA6">
              <w:rPr>
                <w:rStyle w:val="Hiperveza"/>
                <w:noProof/>
              </w:rPr>
              <w:t>Popis slika</w:t>
            </w:r>
            <w:r>
              <w:rPr>
                <w:noProof/>
                <w:webHidden/>
              </w:rPr>
              <w:tab/>
            </w:r>
            <w:r>
              <w:rPr>
                <w:noProof/>
                <w:webHidden/>
              </w:rPr>
              <w:fldChar w:fldCharType="begin"/>
            </w:r>
            <w:r>
              <w:rPr>
                <w:noProof/>
                <w:webHidden/>
              </w:rPr>
              <w:instrText xml:space="preserve"> PAGEREF _Toc207275905 \h </w:instrText>
            </w:r>
            <w:r>
              <w:rPr>
                <w:noProof/>
                <w:webHidden/>
              </w:rPr>
            </w:r>
            <w:r>
              <w:rPr>
                <w:noProof/>
                <w:webHidden/>
              </w:rPr>
              <w:fldChar w:fldCharType="separate"/>
            </w:r>
            <w:r>
              <w:rPr>
                <w:noProof/>
                <w:webHidden/>
              </w:rPr>
              <w:t>64</w:t>
            </w:r>
            <w:r>
              <w:rPr>
                <w:noProof/>
                <w:webHidden/>
              </w:rPr>
              <w:fldChar w:fldCharType="end"/>
            </w:r>
          </w:hyperlink>
        </w:p>
        <w:p w14:paraId="486C1345" w14:textId="7FF3848B" w:rsidR="006B4230" w:rsidRDefault="006B4230">
          <w:pPr>
            <w:pStyle w:val="Sadraj2"/>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6" w:history="1">
            <w:r w:rsidRPr="00DD7BA6">
              <w:rPr>
                <w:rStyle w:val="Hiperveza"/>
                <w:noProof/>
              </w:rPr>
              <w:t>Popis tablica</w:t>
            </w:r>
            <w:r>
              <w:rPr>
                <w:noProof/>
                <w:webHidden/>
              </w:rPr>
              <w:tab/>
            </w:r>
            <w:r>
              <w:rPr>
                <w:noProof/>
                <w:webHidden/>
              </w:rPr>
              <w:fldChar w:fldCharType="begin"/>
            </w:r>
            <w:r>
              <w:rPr>
                <w:noProof/>
                <w:webHidden/>
              </w:rPr>
              <w:instrText xml:space="preserve"> PAGEREF _Toc207275906 \h </w:instrText>
            </w:r>
            <w:r>
              <w:rPr>
                <w:noProof/>
                <w:webHidden/>
              </w:rPr>
            </w:r>
            <w:r>
              <w:rPr>
                <w:noProof/>
                <w:webHidden/>
              </w:rPr>
              <w:fldChar w:fldCharType="separate"/>
            </w:r>
            <w:r>
              <w:rPr>
                <w:noProof/>
                <w:webHidden/>
              </w:rPr>
              <w:t>65</w:t>
            </w:r>
            <w:r>
              <w:rPr>
                <w:noProof/>
                <w:webHidden/>
              </w:rPr>
              <w:fldChar w:fldCharType="end"/>
            </w:r>
          </w:hyperlink>
        </w:p>
        <w:p w14:paraId="752C27F0" w14:textId="36CF89EE" w:rsidR="006B4230" w:rsidRDefault="006B4230">
          <w:pPr>
            <w:pStyle w:val="Sadraj1"/>
            <w:tabs>
              <w:tab w:val="right" w:leader="dot" w:pos="9019"/>
            </w:tabs>
            <w:rPr>
              <w:rFonts w:asciiTheme="minorHAnsi" w:eastAsiaTheme="minorEastAsia" w:hAnsiTheme="minorHAnsi" w:cstheme="minorBidi"/>
              <w:noProof/>
              <w:kern w:val="2"/>
              <w:sz w:val="24"/>
              <w:szCs w:val="24"/>
              <w:lang w:val="hr-HR" w:eastAsia="hr-HR"/>
              <w14:ligatures w14:val="standardContextual"/>
            </w:rPr>
          </w:pPr>
          <w:hyperlink w:anchor="_Toc207275907" w:history="1">
            <w:r w:rsidRPr="00DD7BA6">
              <w:rPr>
                <w:rStyle w:val="Hiperveza"/>
                <w:b/>
                <w:bCs/>
                <w:noProof/>
              </w:rPr>
              <w:t>PRILOG 1. Popis poduzeća koja su uključena u istraživanje</w:t>
            </w:r>
            <w:r>
              <w:rPr>
                <w:noProof/>
                <w:webHidden/>
              </w:rPr>
              <w:tab/>
            </w:r>
            <w:r>
              <w:rPr>
                <w:noProof/>
                <w:webHidden/>
              </w:rPr>
              <w:fldChar w:fldCharType="begin"/>
            </w:r>
            <w:r>
              <w:rPr>
                <w:noProof/>
                <w:webHidden/>
              </w:rPr>
              <w:instrText xml:space="preserve"> PAGEREF _Toc207275907 \h </w:instrText>
            </w:r>
            <w:r>
              <w:rPr>
                <w:noProof/>
                <w:webHidden/>
              </w:rPr>
            </w:r>
            <w:r>
              <w:rPr>
                <w:noProof/>
                <w:webHidden/>
              </w:rPr>
              <w:fldChar w:fldCharType="separate"/>
            </w:r>
            <w:r>
              <w:rPr>
                <w:noProof/>
                <w:webHidden/>
              </w:rPr>
              <w:t>66</w:t>
            </w:r>
            <w:r>
              <w:rPr>
                <w:noProof/>
                <w:webHidden/>
              </w:rPr>
              <w:fldChar w:fldCharType="end"/>
            </w:r>
          </w:hyperlink>
        </w:p>
        <w:p w14:paraId="2E7639C7" w14:textId="3A051547" w:rsidR="001233CD" w:rsidRDefault="00F65449" w:rsidP="00C60235">
          <w:pPr>
            <w:sectPr w:rsidR="001233CD" w:rsidSect="001233CD">
              <w:footerReference w:type="default" r:id="rId8"/>
              <w:pgSz w:w="11909" w:h="16834"/>
              <w:pgMar w:top="1440" w:right="1440" w:bottom="1440" w:left="1440" w:header="720" w:footer="720" w:gutter="0"/>
              <w:cols w:space="720"/>
              <w:docGrid w:linePitch="299"/>
            </w:sectPr>
          </w:pPr>
          <w:r>
            <w:rPr>
              <w:b/>
              <w:bCs/>
            </w:rPr>
            <w:fldChar w:fldCharType="end"/>
          </w:r>
        </w:p>
      </w:sdtContent>
    </w:sdt>
    <w:bookmarkStart w:id="2" w:name="_h3uipcobfa" w:colFirst="0" w:colLast="0" w:displacedByCustomXml="prev"/>
    <w:bookmarkEnd w:id="2" w:displacedByCustomXml="prev"/>
    <w:p w14:paraId="0DE4C0E4" w14:textId="208DF279" w:rsidR="00B92FBB" w:rsidRDefault="008A09CC" w:rsidP="001233CD">
      <w:pPr>
        <w:pStyle w:val="Naslov2"/>
        <w:numPr>
          <w:ilvl w:val="0"/>
          <w:numId w:val="7"/>
        </w:numPr>
      </w:pPr>
      <w:bookmarkStart w:id="3" w:name="_Toc207275875"/>
      <w:r>
        <w:lastRenderedPageBreak/>
        <w:t>Uvod</w:t>
      </w:r>
      <w:bookmarkEnd w:id="3"/>
    </w:p>
    <w:p w14:paraId="0C4544B8" w14:textId="77777777" w:rsidR="003B17F7" w:rsidRPr="003B17F7" w:rsidRDefault="003B17F7" w:rsidP="003B17F7"/>
    <w:p w14:paraId="2A3D635E" w14:textId="4335E22C" w:rsidR="003B17F7" w:rsidRPr="00F36C13" w:rsidRDefault="00F36C13" w:rsidP="00F36C13">
      <w:pPr>
        <w:spacing w:line="360" w:lineRule="auto"/>
        <w:jc w:val="both"/>
      </w:pPr>
      <w:r w:rsidRPr="00A80B25">
        <w:t>Poduzeća danas posluju u okruženju koje se mijenja brže nego ikad</w:t>
      </w:r>
      <w:r w:rsidR="001A1609">
        <w:t>a</w:t>
      </w:r>
      <w:r w:rsidRPr="00A80B25">
        <w:t>. Tržišta su nepredvidiva, troškovi financiranja osciliraju, a globalni poremećaji ne biraju sektor ni veličinu poduzeća. U takvim</w:t>
      </w:r>
      <w:r w:rsidR="001A1609">
        <w:t xml:space="preserve"> je</w:t>
      </w:r>
      <w:r w:rsidRPr="00A80B25">
        <w:t xml:space="preserve"> okolnostima način na koji poduzeće upravlja zaduženjem i održava likvidnost presudan za njegovu stabilnost i dugoročni rast. Ovaj rad analizira hrvatska poduzeća u četiri sektora te kroz šesnaestogodišnje razdoblje prati njihove prilagodbe na gospodarske izazove i promjene.</w:t>
      </w:r>
    </w:p>
    <w:p w14:paraId="1BC8A74C" w14:textId="540DB9AE" w:rsidR="00B92FBB" w:rsidRDefault="008A09CC" w:rsidP="003B17F7">
      <w:pPr>
        <w:pStyle w:val="Naslov3"/>
        <w:numPr>
          <w:ilvl w:val="1"/>
          <w:numId w:val="7"/>
        </w:numPr>
      </w:pPr>
      <w:bookmarkStart w:id="4" w:name="_6u2kg7o9nlkb" w:colFirst="0" w:colLast="0"/>
      <w:bookmarkStart w:id="5" w:name="_Toc207275876"/>
      <w:bookmarkEnd w:id="4"/>
      <w:r>
        <w:t>Problem istraživanja</w:t>
      </w:r>
      <w:bookmarkEnd w:id="5"/>
    </w:p>
    <w:p w14:paraId="754786DD" w14:textId="77777777" w:rsidR="003B17F7" w:rsidRPr="003B17F7" w:rsidRDefault="003B17F7" w:rsidP="003B17F7"/>
    <w:p w14:paraId="7BC6D87C" w14:textId="60AFB77D" w:rsidR="00B92FBB" w:rsidRDefault="008A09CC">
      <w:pPr>
        <w:spacing w:line="360" w:lineRule="auto"/>
        <w:jc w:val="both"/>
      </w:pPr>
      <w:r>
        <w:t>Dugoročna</w:t>
      </w:r>
      <w:r w:rsidR="00EB19E9">
        <w:t xml:space="preserve"> se</w:t>
      </w:r>
      <w:r>
        <w:t xml:space="preserve"> financijska održivost poduzeća u velikoj mjeri oslanja na ravnotežu između stabilne strukture kapitala i dovoljno visoke razine likvidnosti. Taj odnos u praksi oblikuje koliko učinkovito poduzeće može podmirivati svoje obveze, ulagati u razvoj i nositi se s ekonomskim poremećajima</w:t>
      </w:r>
      <w:r w:rsidR="00F36C13">
        <w:t xml:space="preserve"> (</w:t>
      </w:r>
      <w:proofErr w:type="spellStart"/>
      <w:r w:rsidR="00F36C13" w:rsidRPr="00F36C13">
        <w:t>Brealey</w:t>
      </w:r>
      <w:proofErr w:type="spellEnd"/>
      <w:r w:rsidR="00F36C13" w:rsidRPr="00F36C13">
        <w:t>, Myers</w:t>
      </w:r>
      <w:r w:rsidR="00F36C13">
        <w:t xml:space="preserve"> i</w:t>
      </w:r>
      <w:r w:rsidR="00F36C13" w:rsidRPr="00F36C13">
        <w:t xml:space="preserve"> Allen, 2020</w:t>
      </w:r>
      <w:r w:rsidR="00F36C13">
        <w:t>, str. 436-439)</w:t>
      </w:r>
      <w:r>
        <w:t>. Iako je ova tema našla mjesto u međunarodnim istraživanjima, u hrvatskom kontekstu i dalje nedostaje dubljih analiza koje bi pratile kako se veza između zaduženosti i likvidnosti razvija kroz vrijeme, osobito unutar različitih djelatnosti.</w:t>
      </w:r>
    </w:p>
    <w:p w14:paraId="166C1100" w14:textId="77777777" w:rsidR="00B92FBB" w:rsidRDefault="00B92FBB">
      <w:pPr>
        <w:spacing w:line="360" w:lineRule="auto"/>
        <w:jc w:val="both"/>
      </w:pPr>
    </w:p>
    <w:p w14:paraId="4AD4DB88" w14:textId="282700A6" w:rsidR="00B92FBB" w:rsidRDefault="008A09CC">
      <w:pPr>
        <w:spacing w:line="360" w:lineRule="auto"/>
        <w:jc w:val="both"/>
      </w:pPr>
      <w:r>
        <w:t>Dosadašnja istraživanja često su se oslanjala na kratke vremenske okvire, analizirala pojedinačne sektore ili koristila statične modele koji ne zahvaćaju promjene kroz vrijeme</w:t>
      </w:r>
      <w:r w:rsidR="00FB251C">
        <w:t>. T</w:t>
      </w:r>
      <w:r>
        <w:t>akav pristup može biti koristan za osnovni pregled, ali ne otkriva dublje obrasce koji se dugoročno</w:t>
      </w:r>
      <w:r w:rsidR="00EB19E9">
        <w:t xml:space="preserve"> </w:t>
      </w:r>
      <w:r w:rsidR="00EB19E9">
        <w:t>razvijaju</w:t>
      </w:r>
      <w:r w:rsidR="00FB251C">
        <w:t xml:space="preserve">, </w:t>
      </w:r>
      <w:r>
        <w:t xml:space="preserve">niti omogućuje usporedbu među različitim granama gospodarstva. </w:t>
      </w:r>
      <w:r w:rsidR="00EB19E9">
        <w:t>U</w:t>
      </w:r>
      <w:r>
        <w:t xml:space="preserve">pravo su te razlike često ključne. Svaki sektor funkcionira </w:t>
      </w:r>
      <w:r w:rsidR="00EB19E9">
        <w:t>u</w:t>
      </w:r>
      <w:r>
        <w:t xml:space="preserve"> vlastitim okolnostima, sa specifičnim izazovima i rizicima, </w:t>
      </w:r>
      <w:r w:rsidR="00EB19E9">
        <w:t>stoga</w:t>
      </w:r>
      <w:r>
        <w:t xml:space="preserve"> je razumijevanje tih nijansi presudno </w:t>
      </w:r>
      <w:r w:rsidR="00EB19E9">
        <w:t xml:space="preserve">pri </w:t>
      </w:r>
      <w:r>
        <w:t>analiz</w:t>
      </w:r>
      <w:r w:rsidR="00EB19E9">
        <w:t>i</w:t>
      </w:r>
      <w:r>
        <w:t xml:space="preserve"> odnosa zaduženosti i likvidnosti u stvarnim uvjetima poslovanja</w:t>
      </w:r>
      <w:r w:rsidR="00FB251C">
        <w:t xml:space="preserve"> </w:t>
      </w:r>
      <w:r w:rsidR="00FB251C" w:rsidRPr="00FB251C">
        <w:t>(</w:t>
      </w:r>
      <w:proofErr w:type="spellStart"/>
      <w:r w:rsidR="00FB251C" w:rsidRPr="00FB251C">
        <w:t>Brealey</w:t>
      </w:r>
      <w:proofErr w:type="spellEnd"/>
      <w:r w:rsidR="00FB251C" w:rsidRPr="00FB251C">
        <w:t xml:space="preserve"> i suradnici, 2020, str. 792)</w:t>
      </w:r>
      <w:r>
        <w:t>.</w:t>
      </w:r>
    </w:p>
    <w:p w14:paraId="62F6C287" w14:textId="77777777" w:rsidR="00B92FBB" w:rsidRDefault="00B92FBB">
      <w:pPr>
        <w:spacing w:line="360" w:lineRule="auto"/>
        <w:jc w:val="both"/>
      </w:pPr>
    </w:p>
    <w:p w14:paraId="2F9191E1" w14:textId="09ECD87A" w:rsidR="00B92FBB" w:rsidRDefault="008A09CC">
      <w:pPr>
        <w:spacing w:line="360" w:lineRule="auto"/>
        <w:jc w:val="both"/>
      </w:pPr>
      <w:r>
        <w:t xml:space="preserve">U takvom kontekstu, izostanak cjelovitih i dugoročnih analiza stvara prazninu, ne samo u akademskom smislu, </w:t>
      </w:r>
      <w:r w:rsidR="008747CA">
        <w:t>već</w:t>
      </w:r>
      <w:r>
        <w:t xml:space="preserve"> i u praktičnom odlučivanju. Poznavanje dugoročnog utjecaja zaduženosti na likvidnost još </w:t>
      </w:r>
      <w:r w:rsidR="008747CA">
        <w:t xml:space="preserve">je </w:t>
      </w:r>
      <w:r>
        <w:t xml:space="preserve">uvijek ograničeno, osobito kada je riječ o sektorskim razlikama i ponašanju poduzeća tijekom različitih razdoblja. Upravo </w:t>
      </w:r>
      <w:r w:rsidR="008747CA">
        <w:t xml:space="preserve">se </w:t>
      </w:r>
      <w:r>
        <w:t>zbog toga donošenje promišljenih i održivih odluka, bilo u upravljačkom, financijskom ili regulatornom kontekstu, i dalje oslanja na nepotpune informacije.</w:t>
      </w:r>
    </w:p>
    <w:p w14:paraId="7E964099" w14:textId="77777777" w:rsidR="00B92FBB" w:rsidRDefault="00B92FBB">
      <w:pPr>
        <w:spacing w:line="360" w:lineRule="auto"/>
        <w:jc w:val="both"/>
      </w:pPr>
    </w:p>
    <w:p w14:paraId="653921F2" w14:textId="59EBC24A" w:rsidR="00B92FBB" w:rsidRDefault="008A09CC">
      <w:pPr>
        <w:spacing w:line="360" w:lineRule="auto"/>
        <w:jc w:val="both"/>
      </w:pPr>
      <w:r>
        <w:lastRenderedPageBreak/>
        <w:t xml:space="preserve">Osim toga, današnje poslovno okruženje zahtijeva naglasak </w:t>
      </w:r>
      <w:r w:rsidR="008747CA">
        <w:t xml:space="preserve">i </w:t>
      </w:r>
      <w:r>
        <w:t>na održivosti. Održivo poslovanje ne znači samo brigu za okoliš i društvo, nego i odgovorno upravljanje kapitalom i likvidnošću kako bi poduzeća dugoročno opstala u nestabilnim i promjenjivim uvjetima.</w:t>
      </w:r>
    </w:p>
    <w:p w14:paraId="5BD81E33" w14:textId="77777777" w:rsidR="00B92FBB" w:rsidRDefault="00B92FBB">
      <w:pPr>
        <w:spacing w:line="360" w:lineRule="auto"/>
        <w:jc w:val="both"/>
      </w:pPr>
    </w:p>
    <w:p w14:paraId="0D0B69D7" w14:textId="4A16372D" w:rsidR="00B92FBB" w:rsidRDefault="008A09CC" w:rsidP="003B17F7">
      <w:pPr>
        <w:pStyle w:val="Naslov3"/>
        <w:numPr>
          <w:ilvl w:val="1"/>
          <w:numId w:val="7"/>
        </w:numPr>
      </w:pPr>
      <w:bookmarkStart w:id="6" w:name="_igwvka7mrfu8" w:colFirst="0" w:colLast="0"/>
      <w:bookmarkStart w:id="7" w:name="_Toc207275877"/>
      <w:bookmarkEnd w:id="6"/>
      <w:r>
        <w:t>Predmet</w:t>
      </w:r>
      <w:r w:rsidR="003B17F7">
        <w:t xml:space="preserve"> istraživanja</w:t>
      </w:r>
      <w:bookmarkEnd w:id="7"/>
    </w:p>
    <w:p w14:paraId="501A73BB" w14:textId="77777777" w:rsidR="003B17F7" w:rsidRPr="003B17F7" w:rsidRDefault="003B17F7" w:rsidP="003B17F7"/>
    <w:p w14:paraId="09E81262" w14:textId="72A9CB2D" w:rsidR="00B92FBB" w:rsidRDefault="008A09CC">
      <w:pPr>
        <w:spacing w:line="360" w:lineRule="auto"/>
        <w:jc w:val="both"/>
      </w:pPr>
      <w:r>
        <w:t>Predmet ovog istraživanja je analiza utjecaja financijske poluge na likvidnost poduzeća u Hrvatskoj. Istraživanje obuhvaća četiri sektora prema Nacionalnoj klasifikaciji djelatnosti (NKD): prerađivačku industriju (C), prijevoz i skladištenje (H), djelatnosti pružanja smještaja te pripreme i usluživanja hrane (I) i administrativne i pomoćne uslužne djelatnosti (N).</w:t>
      </w:r>
      <w:r w:rsidR="001723C7">
        <w:t xml:space="preserve"> </w:t>
      </w:r>
      <w:r w:rsidR="001723C7" w:rsidRPr="001723C7">
        <w:t>Odabir ovih sektora temelji se na njihovoj gospodarskoj važnosti i raznolikosti poslovnih modela.</w:t>
      </w:r>
    </w:p>
    <w:p w14:paraId="34FF4F6C" w14:textId="77777777" w:rsidR="001723C7" w:rsidRDefault="001723C7">
      <w:pPr>
        <w:spacing w:line="360" w:lineRule="auto"/>
        <w:jc w:val="both"/>
      </w:pPr>
    </w:p>
    <w:p w14:paraId="4FF0689B" w14:textId="469B8778" w:rsidR="001723C7" w:rsidRDefault="001723C7">
      <w:pPr>
        <w:spacing w:line="360" w:lineRule="auto"/>
        <w:jc w:val="both"/>
      </w:pPr>
      <w:r>
        <w:t>Prerađivačka industrija p</w:t>
      </w:r>
      <w:r w:rsidRPr="001723C7">
        <w:t>redstavlja temelj industrijske proizvodnje</w:t>
      </w:r>
      <w:r>
        <w:t>. U</w:t>
      </w:r>
      <w:r w:rsidRPr="001723C7">
        <w:t xml:space="preserve"> 2023. godini sudjelovala je s približno 20</w:t>
      </w:r>
      <w:r w:rsidR="00065B55">
        <w:t xml:space="preserve"> </w:t>
      </w:r>
      <w:r w:rsidRPr="001723C7">
        <w:t xml:space="preserve">% u BDP-u </w:t>
      </w:r>
      <w:r w:rsidR="001827E2" w:rsidRPr="001827E2">
        <w:t>(Državni zavod za statistiku,</w:t>
      </w:r>
      <w:r w:rsidR="001827E2">
        <w:t xml:space="preserve"> 2024</w:t>
      </w:r>
      <w:r w:rsidR="001827E2" w:rsidRPr="001827E2">
        <w:t>)</w:t>
      </w:r>
      <w:r w:rsidR="001827E2">
        <w:t xml:space="preserve"> </w:t>
      </w:r>
      <w:r w:rsidRPr="001723C7">
        <w:t>i zapošljavala oko četvrtinu radne snage</w:t>
      </w:r>
      <w:r>
        <w:t xml:space="preserve"> (</w:t>
      </w:r>
      <w:r w:rsidRPr="001723C7">
        <w:t>Hrvatski zavod za zapošljavanje, 2024) pri čemu je čak 83</w:t>
      </w:r>
      <w:r w:rsidR="00065B55">
        <w:t xml:space="preserve"> </w:t>
      </w:r>
      <w:r w:rsidRPr="001723C7">
        <w:t>% ukupne industrijske aktivnosti činila upravo ova grana</w:t>
      </w:r>
      <w:r>
        <w:t xml:space="preserve"> </w:t>
      </w:r>
      <w:r w:rsidRPr="001723C7">
        <w:t>(Palić, 2023)</w:t>
      </w:r>
      <w:r>
        <w:t xml:space="preserve">. </w:t>
      </w:r>
      <w:r w:rsidR="001827E2">
        <w:t>S</w:t>
      </w:r>
      <w:r w:rsidR="001827E2" w:rsidRPr="001827E2">
        <w:t xml:space="preserve">ektor hrane i pića u 2022. imao </w:t>
      </w:r>
      <w:r w:rsidR="001827E2">
        <w:t xml:space="preserve">je </w:t>
      </w:r>
      <w:r w:rsidR="001827E2" w:rsidRPr="001827E2">
        <w:t>udio od 2,3</w:t>
      </w:r>
      <w:r w:rsidR="00065B55">
        <w:t xml:space="preserve"> </w:t>
      </w:r>
      <w:r w:rsidR="001827E2" w:rsidRPr="001827E2">
        <w:t>% u ukupnom BDP-u Hrvatske</w:t>
      </w:r>
      <w:r w:rsidR="001827E2">
        <w:t xml:space="preserve"> (Državni zavod za statistiku, 2024), a</w:t>
      </w:r>
      <w:r w:rsidR="001827E2" w:rsidRPr="001827E2">
        <w:t xml:space="preserve"> 2024. sudjelovao </w:t>
      </w:r>
      <w:r w:rsidR="001827E2">
        <w:t xml:space="preserve">je </w:t>
      </w:r>
      <w:r w:rsidR="001827E2" w:rsidRPr="001827E2">
        <w:t>s 3,3</w:t>
      </w:r>
      <w:r w:rsidR="00065B55">
        <w:t xml:space="preserve"> </w:t>
      </w:r>
      <w:r w:rsidR="001827E2" w:rsidRPr="001827E2">
        <w:t xml:space="preserve">% u ukupnoj zaposlenosti </w:t>
      </w:r>
      <w:r w:rsidR="001827E2">
        <w:t xml:space="preserve">Republike Hrvatske </w:t>
      </w:r>
      <w:r w:rsidR="001827E2" w:rsidRPr="001827E2">
        <w:t>(</w:t>
      </w:r>
      <w:r w:rsidR="001827E2">
        <w:t>Palić, 2025</w:t>
      </w:r>
      <w:r w:rsidR="001827E2" w:rsidRPr="001827E2">
        <w:t>).</w:t>
      </w:r>
      <w:r w:rsidR="001827E2">
        <w:t xml:space="preserve"> </w:t>
      </w:r>
      <w:r w:rsidR="001827E2" w:rsidRPr="001827E2">
        <w:t>Turizam i povezane djelatnosti</w:t>
      </w:r>
      <w:r w:rsidR="001827E2">
        <w:t xml:space="preserve"> u 2023. godini </w:t>
      </w:r>
      <w:r w:rsidR="001827E2" w:rsidRPr="001827E2">
        <w:t>činile</w:t>
      </w:r>
      <w:r w:rsidR="001827E2">
        <w:t xml:space="preserve"> su</w:t>
      </w:r>
      <w:r w:rsidR="001827E2" w:rsidRPr="001827E2">
        <w:t xml:space="preserve"> čak 24,5</w:t>
      </w:r>
      <w:r w:rsidR="00065B55">
        <w:t xml:space="preserve"> </w:t>
      </w:r>
      <w:r w:rsidR="001827E2" w:rsidRPr="001827E2">
        <w:t xml:space="preserve">% </w:t>
      </w:r>
      <w:r w:rsidR="001827E2">
        <w:t>BDP-a (Državni zavod za statistiku, 2024</w:t>
      </w:r>
      <w:r w:rsidRPr="001723C7">
        <w:t>). Sektor prijevoza i skladištenja (H) sudjeluje s oko 7,8</w:t>
      </w:r>
      <w:r w:rsidR="00065B55">
        <w:t xml:space="preserve"> </w:t>
      </w:r>
      <w:r w:rsidRPr="001723C7">
        <w:t>% u strukturi poslovnih investicija</w:t>
      </w:r>
      <w:r w:rsidR="00065B55">
        <w:t>,</w:t>
      </w:r>
      <w:r w:rsidR="00EC4521">
        <w:t xml:space="preserve"> </w:t>
      </w:r>
      <w:r w:rsidRPr="001723C7">
        <w:t xml:space="preserve">što potvrđuje njegov značaj </w:t>
      </w:r>
      <w:r w:rsidR="00EC4521" w:rsidRPr="00EC4521">
        <w:t>u logističkoj infrastrukturi i gospodarstvu</w:t>
      </w:r>
      <w:r w:rsidR="00EC4521">
        <w:t xml:space="preserve"> </w:t>
      </w:r>
      <w:r w:rsidRPr="001723C7">
        <w:t>(</w:t>
      </w:r>
      <w:r w:rsidR="00EC4521">
        <w:t>Državni zavod za statistiku, 2024</w:t>
      </w:r>
      <w:r w:rsidRPr="001723C7">
        <w:t xml:space="preserve">). Administrativne i pomoćne uslužne djelatnosti (N) </w:t>
      </w:r>
      <w:r w:rsidR="00FB251C">
        <w:t>čine</w:t>
      </w:r>
      <w:r w:rsidRPr="001723C7">
        <w:t xml:space="preserve"> približno 3,2</w:t>
      </w:r>
      <w:r w:rsidR="00065B55">
        <w:t xml:space="preserve"> </w:t>
      </w:r>
      <w:r w:rsidRPr="001723C7">
        <w:t>% ukupni</w:t>
      </w:r>
      <w:r w:rsidR="00FB251C">
        <w:t>h</w:t>
      </w:r>
      <w:r w:rsidRPr="001723C7">
        <w:t xml:space="preserve"> investicija</w:t>
      </w:r>
      <w:r w:rsidR="00FB251C">
        <w:t xml:space="preserve"> u Republici Hrvatskoj</w:t>
      </w:r>
      <w:r w:rsidR="00065B55">
        <w:t>,</w:t>
      </w:r>
      <w:r w:rsidR="00FB251C">
        <w:t xml:space="preserve"> </w:t>
      </w:r>
      <w:r w:rsidR="00FB251C" w:rsidRPr="00FB251C">
        <w:t>djelujući kao važna infrastrukturna potpora ostalim sektorima (Državni zavod za statistiku, 2024)</w:t>
      </w:r>
      <w:r w:rsidRPr="001723C7">
        <w:t>.</w:t>
      </w:r>
    </w:p>
    <w:p w14:paraId="2715F2B3" w14:textId="77777777" w:rsidR="00B92FBB" w:rsidRDefault="00B92FBB">
      <w:pPr>
        <w:spacing w:line="360" w:lineRule="auto"/>
        <w:jc w:val="both"/>
      </w:pPr>
    </w:p>
    <w:p w14:paraId="100C803E" w14:textId="16A233D4" w:rsidR="00B92FBB" w:rsidRDefault="008A09CC">
      <w:pPr>
        <w:spacing w:line="360" w:lineRule="auto"/>
        <w:jc w:val="both"/>
      </w:pPr>
      <w:r>
        <w:t xml:space="preserve">U radu se promatra odnos između dugoročne zaduženosti i likvidnosti </w:t>
      </w:r>
      <w:r w:rsidR="00312F8B" w:rsidRPr="00312F8B">
        <w:t>uz uključivanje kontrolnih varijabli:</w:t>
      </w:r>
      <w:r w:rsidR="00312F8B">
        <w:t xml:space="preserve"> </w:t>
      </w:r>
      <w:r>
        <w:t xml:space="preserve">profitabilnosti, kapitalne intenzivnosti i postotne promjene prihoda. Poseban naglasak stavlja se na dinamičku prirodu tih odnosa </w:t>
      </w:r>
      <w:r w:rsidR="00065B55">
        <w:t>za</w:t>
      </w:r>
      <w:r>
        <w:t xml:space="preserve"> razdoblje od 2008. do 2023. godine. Time se omogućuje dublje razumijevanje promjena koje su nastale zbog financijske krize, kasnije recesije, promjena na tržištu kapitala i pandemije COVID-19.</w:t>
      </w:r>
    </w:p>
    <w:p w14:paraId="4AA07B60" w14:textId="77777777" w:rsidR="00B92FBB" w:rsidRDefault="00B92FBB">
      <w:pPr>
        <w:spacing w:line="360" w:lineRule="auto"/>
        <w:jc w:val="both"/>
      </w:pPr>
    </w:p>
    <w:p w14:paraId="09A9FC34" w14:textId="70FAACC6" w:rsidR="00B92FBB" w:rsidRDefault="008A09CC">
      <w:pPr>
        <w:spacing w:line="360" w:lineRule="auto"/>
        <w:jc w:val="both"/>
      </w:pPr>
      <w:r>
        <w:t>Analiza se temelji na panel podacima koji uključuju poduzeća koja su poslovala u svim promatranim godinama</w:t>
      </w:r>
      <w:r w:rsidR="00312F8B">
        <w:t xml:space="preserve"> (n = 784)</w:t>
      </w:r>
      <w:r>
        <w:t>. Takav pristup osigurava konzistentnost uzorka i omogućuje uvid u dugoročne obrasce ponašanja. Uz kvantitativnu analizu, naglasak je na sektorskim specifičnostima. Svaki sektor promatra se odvojeno</w:t>
      </w:r>
      <w:r w:rsidR="00065B55">
        <w:t>,</w:t>
      </w:r>
      <w:r>
        <w:t xml:space="preserve"> čime se prepoznaju razlike u strukturi kapitala, poslovnim modelima i </w:t>
      </w:r>
      <w:proofErr w:type="spellStart"/>
      <w:r>
        <w:t>sezonalnosti</w:t>
      </w:r>
      <w:proofErr w:type="spellEnd"/>
      <w:r>
        <w:t xml:space="preserve"> poslovanja.</w:t>
      </w:r>
    </w:p>
    <w:p w14:paraId="1450BA82" w14:textId="02222F2B" w:rsidR="00B92FBB" w:rsidRDefault="008A09CC">
      <w:pPr>
        <w:spacing w:line="360" w:lineRule="auto"/>
        <w:jc w:val="both"/>
      </w:pPr>
      <w:r>
        <w:lastRenderedPageBreak/>
        <w:t xml:space="preserve">Fokus istraživanja je na tome kako sektori reagiraju na promjene u razini zaduženosti </w:t>
      </w:r>
      <w:r w:rsidR="00065B55">
        <w:t xml:space="preserve">te </w:t>
      </w:r>
      <w:r>
        <w:t>kako upravljanje kapitalom i likvidnošću oblikuje njihovu financijsku stabilnost. Pravilna ravnoteža između poluge i likvidnosti povećava otpornost poduzeća na tržišne promjene, šokove i razdoblja nestabilnosti. Dobiveni rezultati mogu poslužiti kao osnova za izradu strategija koje podupiru održivost i dugoročnu konkurentnost poduzeća u hrvatskom gospodarstvu.</w:t>
      </w:r>
    </w:p>
    <w:p w14:paraId="7497CC90" w14:textId="77777777" w:rsidR="003B17F7" w:rsidRDefault="003B17F7">
      <w:pPr>
        <w:spacing w:line="360" w:lineRule="auto"/>
        <w:jc w:val="both"/>
      </w:pPr>
    </w:p>
    <w:p w14:paraId="780FBAC8" w14:textId="3B7002E1" w:rsidR="00B92FBB" w:rsidRDefault="008A09CC" w:rsidP="003B17F7">
      <w:pPr>
        <w:pStyle w:val="Naslov3"/>
        <w:numPr>
          <w:ilvl w:val="1"/>
          <w:numId w:val="7"/>
        </w:numPr>
      </w:pPr>
      <w:bookmarkStart w:id="8" w:name="_d9rbt36odzva" w:colFirst="0" w:colLast="0"/>
      <w:bookmarkStart w:id="9" w:name="_Toc207275878"/>
      <w:bookmarkEnd w:id="8"/>
      <w:r>
        <w:t>Ciljevi istraživanja</w:t>
      </w:r>
      <w:bookmarkEnd w:id="9"/>
    </w:p>
    <w:p w14:paraId="023EB9F1" w14:textId="77777777" w:rsidR="003B17F7" w:rsidRPr="003B17F7" w:rsidRDefault="003B17F7" w:rsidP="003B17F7"/>
    <w:p w14:paraId="0E7D7548" w14:textId="576B7A03" w:rsidR="00B92FBB" w:rsidRDefault="008A09CC">
      <w:pPr>
        <w:spacing w:line="360" w:lineRule="auto"/>
        <w:jc w:val="both"/>
      </w:pPr>
      <w:r>
        <w:t xml:space="preserve">Ovo istraživanje usmjereno je na ispitivanje utjecaja financijske poluge na likvidnost poduzeća u </w:t>
      </w:r>
      <w:r w:rsidR="00312F8B">
        <w:t xml:space="preserve">Republici </w:t>
      </w:r>
      <w:r>
        <w:t>Hrvatskoj</w:t>
      </w:r>
      <w:r w:rsidR="00312F8B">
        <w:t xml:space="preserve">. </w:t>
      </w:r>
      <w:r w:rsidR="00312F8B" w:rsidRPr="00312F8B">
        <w:t>Analizom su obuhvaćeni sektori prerađivačke industrije (C), prijevoza i skladištenja (H), djelatnosti pružanja smještaja te pripreme i usluživanja hrane (I) te administrativnih i pomoćnih uslužnih djelatnosti (N).</w:t>
      </w:r>
      <w:r w:rsidR="00312F8B">
        <w:t xml:space="preserve"> </w:t>
      </w:r>
      <w:r>
        <w:t>Odabrani sektori imaju bitnu ulogu u nacionalnom gospodarstvu, ali se međusobno razlikuju prema kapitalnoj strukturi, financijskim potrebama i poslovnim strategijama. Istraživanjem se želi otkriti kako razina zaduženosti i struktura kapitala utječu na likvidnost poduzeća te u kojoj se mjeri ti odnosi razlikuju ovisno o sektoru</w:t>
      </w:r>
      <w:r w:rsidR="00312F8B">
        <w:t xml:space="preserve">. </w:t>
      </w:r>
      <w:r w:rsidR="00312F8B" w:rsidRPr="00312F8B">
        <w:t>Analiza obuhvaća razdoblje od 2008. do 2023. godine čime se omogućuje uvid u dugoročne obrasce i stabilnost odnosa između poluge i likvidnosti.</w:t>
      </w:r>
    </w:p>
    <w:p w14:paraId="7E0910E9" w14:textId="77777777" w:rsidR="00B92FBB" w:rsidRDefault="00B92FBB">
      <w:pPr>
        <w:spacing w:line="360" w:lineRule="auto"/>
        <w:jc w:val="both"/>
      </w:pPr>
    </w:p>
    <w:p w14:paraId="3CDABEF8" w14:textId="75B36BB0" w:rsidR="00B92FBB" w:rsidRDefault="00312F8B" w:rsidP="00312F8B">
      <w:pPr>
        <w:spacing w:line="360" w:lineRule="auto"/>
        <w:jc w:val="both"/>
      </w:pPr>
      <w:r>
        <w:t xml:space="preserve">Glavni cilj istraživanja je ispitati povezanost financijske poluge i likvidnosti poduzeća u Hrvatskoj. </w:t>
      </w:r>
      <w:r w:rsidR="008A09CC">
        <w:t>Poseban naglasak stavlja se na prepoznavanje obrazaca ponašanja u različitim gospodarskim granama te na razumijevanje načina na koji struktura kapitala i dinamika poslovanja oblikuju njihovu likvidnost. Za razliku od pristupa koji promatra gospodarstvo kao jedinstvenu cjelinu, ovaj rad naglašava sektorske razlike i traži specifične mehanizme koji u njima djeluju. Time se otvara prostor za dublje razumijevanje rizika i prilika unutar pojedinih sektora.</w:t>
      </w:r>
    </w:p>
    <w:p w14:paraId="2EDD018B" w14:textId="77777777" w:rsidR="00B92FBB" w:rsidRDefault="00B92FBB">
      <w:pPr>
        <w:spacing w:line="360" w:lineRule="auto"/>
        <w:jc w:val="both"/>
      </w:pPr>
    </w:p>
    <w:p w14:paraId="62DB0EA2" w14:textId="53F9C9E6" w:rsidR="00B92FBB" w:rsidRDefault="00A318B5" w:rsidP="00A318B5">
      <w:pPr>
        <w:spacing w:line="360" w:lineRule="auto"/>
        <w:jc w:val="both"/>
      </w:pPr>
      <w:r>
        <w:t>Specifični ciljevi istraživanja su analizirati obrasce likvidnosti i zaduženosti unutar pojedinih sektora tijekom šesnaestogodišnjeg razdoblja, utvrditi postoje li stabilni trendovi u ponašanju poduzeća s obzirom na razinu poluge i likvidnosti, ispitati ulogu profitabilnosti, kapitalne intenzivnosti i dinamike prihoda kao čimbenika koji oblikuju likvidnost poduzeća te pružiti temelje za donošenje praktičnih preporuka menadžerima, financijskim institucijama i kreatorima ekonomske politike u svrhu održivog upravljanja kapitalnom strukturom i likvidnim sredstvima.</w:t>
      </w:r>
    </w:p>
    <w:p w14:paraId="3D721885" w14:textId="77777777" w:rsidR="003B17F7" w:rsidRDefault="003B17F7" w:rsidP="00A318B5">
      <w:pPr>
        <w:spacing w:line="360" w:lineRule="auto"/>
        <w:jc w:val="both"/>
      </w:pPr>
    </w:p>
    <w:p w14:paraId="36EF8515" w14:textId="77777777" w:rsidR="003B17F7" w:rsidRDefault="003B17F7" w:rsidP="00A318B5">
      <w:pPr>
        <w:spacing w:line="360" w:lineRule="auto"/>
        <w:jc w:val="both"/>
      </w:pPr>
    </w:p>
    <w:p w14:paraId="08CD3A5E" w14:textId="6FE7A883" w:rsidR="00B92FBB" w:rsidRDefault="008A09CC" w:rsidP="003B17F7">
      <w:pPr>
        <w:pStyle w:val="Naslov3"/>
        <w:numPr>
          <w:ilvl w:val="1"/>
          <w:numId w:val="7"/>
        </w:numPr>
      </w:pPr>
      <w:bookmarkStart w:id="10" w:name="_ifm0393uzbac" w:colFirst="0" w:colLast="0"/>
      <w:bookmarkStart w:id="11" w:name="_Toc207275879"/>
      <w:bookmarkEnd w:id="10"/>
      <w:r>
        <w:lastRenderedPageBreak/>
        <w:t>Doprinos istraživanja</w:t>
      </w:r>
      <w:bookmarkEnd w:id="11"/>
    </w:p>
    <w:p w14:paraId="449DAC4C" w14:textId="77777777" w:rsidR="003B17F7" w:rsidRPr="003B17F7" w:rsidRDefault="003B17F7" w:rsidP="003B17F7"/>
    <w:p w14:paraId="4444CFA3" w14:textId="2B65AFFD" w:rsidR="00B92FBB" w:rsidRDefault="008A09CC">
      <w:pPr>
        <w:spacing w:line="360" w:lineRule="auto"/>
        <w:jc w:val="both"/>
      </w:pPr>
      <w:r>
        <w:t>Ovo istraživanje daje konkretan doprinos boljem razumijevanju odnosa između financijske poluge i likvidnosti poduzeća u Hrvatskoj. Njegova specifičnost je u tome što kombinira dinamičku panel analizu s detaljnom sektorskom usporedbom oslanjajući se na podatke koji pokrivaju razdoblje od 2008. do 2023. godine. Time proširuje postojeći okvir dosadašnjih istraživanja koja su uglavnom bila ograničena na kraće vremenske presjeke, jednostavnije metodologije ili usko definirane sektore.</w:t>
      </w:r>
    </w:p>
    <w:p w14:paraId="1EDE6F7E" w14:textId="77777777" w:rsidR="00B92FBB" w:rsidRDefault="00B92FBB">
      <w:pPr>
        <w:spacing w:line="360" w:lineRule="auto"/>
        <w:jc w:val="both"/>
      </w:pPr>
    </w:p>
    <w:p w14:paraId="5667EEFE" w14:textId="77777777" w:rsidR="00B92FBB" w:rsidRDefault="008A09CC">
      <w:pPr>
        <w:spacing w:line="360" w:lineRule="auto"/>
        <w:jc w:val="both"/>
      </w:pPr>
      <w:r>
        <w:t>S akademskog aspekta, važnost rada ogleda se u izgradnji analitičkog modela koji omogućuje praćenje promjena kroz vrijeme. Dinamički panel pristup daje bolji uvid u to kako zaduženost i likvidnost međusobno djeluju, ali i kako se taj odnos prilagođava u različitim fazama gospodarskih ciklusa. Osim toga, činjenica da su u analizu uključena samo ona poduzeća koja su neprekidno poslovala tijekom promatranog razdoblja doprinosi konzistentnosti rezultata i smanjuje iskrivljenja do kojih može doći ako se promatraju privremeni ulasci i izlasci iz uzorka.</w:t>
      </w:r>
    </w:p>
    <w:p w14:paraId="6C486548" w14:textId="77777777" w:rsidR="00B92FBB" w:rsidRDefault="00B92FBB">
      <w:pPr>
        <w:spacing w:line="360" w:lineRule="auto"/>
        <w:jc w:val="both"/>
      </w:pPr>
    </w:p>
    <w:p w14:paraId="30626149" w14:textId="77777777" w:rsidR="00B92FBB" w:rsidRDefault="008A09CC">
      <w:pPr>
        <w:spacing w:line="360" w:lineRule="auto"/>
        <w:jc w:val="both"/>
      </w:pPr>
      <w:r>
        <w:t>Ipak, značaj istraživanja ne ostaje isključivo na teorijskoj razini. Praktična primjena rezultata posebno je važna za menadžere koji u svakodnevnom odlučivanju traže ravnotežu između sigurnosti i rasta. Uvidi dobiveni analizom mogu im pomoći u oblikovanju održive strukture kapitala i boljem upravljanju likvidnošću. S druge strane, financijskim institucijama rezultati mogu služiti kao dodatni alat u procjeni kreditnih rizika i kreiranju prilagođenijih proizvoda. Konačno, kreatorima ekonomske politike ovaj rad može ponuditi temelje za donošenje učinkovitijih mjera, osobito u razdobljima kada tržišni uvjeti postaju nepredvidivi.</w:t>
      </w:r>
    </w:p>
    <w:p w14:paraId="06557CAB" w14:textId="77777777" w:rsidR="003B17F7" w:rsidRDefault="003B17F7">
      <w:pPr>
        <w:spacing w:line="360" w:lineRule="auto"/>
        <w:jc w:val="both"/>
      </w:pPr>
    </w:p>
    <w:p w14:paraId="493AF72C" w14:textId="2E500435" w:rsidR="00B92FBB" w:rsidRDefault="008A09CC" w:rsidP="003B17F7">
      <w:pPr>
        <w:pStyle w:val="Naslov3"/>
        <w:numPr>
          <w:ilvl w:val="1"/>
          <w:numId w:val="7"/>
        </w:numPr>
      </w:pPr>
      <w:bookmarkStart w:id="12" w:name="_eatkopd1mo5" w:colFirst="0" w:colLast="0"/>
      <w:bookmarkStart w:id="13" w:name="_Toc207275880"/>
      <w:bookmarkEnd w:id="12"/>
      <w:r>
        <w:t>Istraživačke hipoteze</w:t>
      </w:r>
      <w:bookmarkEnd w:id="13"/>
    </w:p>
    <w:p w14:paraId="41ECA3AD" w14:textId="77777777" w:rsidR="003B17F7" w:rsidRPr="003B17F7" w:rsidRDefault="003B17F7" w:rsidP="003B17F7"/>
    <w:p w14:paraId="76294206" w14:textId="77777777" w:rsidR="00B92FBB" w:rsidRDefault="008A09CC">
      <w:pPr>
        <w:spacing w:line="360" w:lineRule="auto"/>
        <w:jc w:val="both"/>
      </w:pPr>
      <w:r>
        <w:t xml:space="preserve">U ovom istraživanju otvaraju se tri pitanja povezana s likvidnošću, zaduženosti i poslovnim rezultatima poduzeća. </w:t>
      </w:r>
    </w:p>
    <w:p w14:paraId="27D6E7BA" w14:textId="77777777" w:rsidR="00B92FBB" w:rsidRDefault="00B92FBB">
      <w:pPr>
        <w:spacing w:line="360" w:lineRule="auto"/>
        <w:jc w:val="both"/>
      </w:pPr>
    </w:p>
    <w:p w14:paraId="7A8494AC" w14:textId="77777777" w:rsidR="00B92FBB" w:rsidRDefault="008A09CC">
      <w:pPr>
        <w:spacing w:line="360" w:lineRule="auto"/>
        <w:jc w:val="both"/>
      </w:pPr>
      <w:r>
        <w:t xml:space="preserve">Prvo pitanje bavi se kontinuitetom likvidnosti. Istražuje se postoji li obrazac prema kojem poduzeća koja su tijekom duljeg razdoblja održavala stabilnu razinu likvidnosti tu stabilnost zadržavaju i u budućnosti. Pritom se analizira je li likvidnost trajna karakteristika poslovanja ili varijabla osjetljiva na promjene u vremenu. Drugo pitanje ide korak dalje i propituje ulogu zaduženosti. Dug zna biti koristan alat, ali i uteg. Nastoji se vidjeti može li, kad je pod kontrolom, pomoći u održavanju stabilnog novčanog toka ili, pak, u trenucima pritiska na tržištu, dodatno narušava financijsku ravnotežu. Treće pitanje dotiče se profitabilnosti, </w:t>
      </w:r>
      <w:r>
        <w:lastRenderedPageBreak/>
        <w:t>kapitalne intenzivnosti i promjena u prihodima. Zanima nas imaju li poduzeća koja zarađuju više i bolje kontroliraju svoje troškove veći prostor za održavanje likvidnosti. S druge strane, pitanje je koliko ulaganja u dugotrajnu imovinu ili nagle oscilacije u prihodima mijenjaju tu priču.</w:t>
      </w:r>
    </w:p>
    <w:p w14:paraId="4B487CF9" w14:textId="77777777" w:rsidR="00B92FBB" w:rsidRDefault="00B92FBB">
      <w:pPr>
        <w:spacing w:line="360" w:lineRule="auto"/>
        <w:jc w:val="both"/>
      </w:pPr>
    </w:p>
    <w:p w14:paraId="1527AF13" w14:textId="37C5479A" w:rsidR="00B92FBB" w:rsidRDefault="00065B55">
      <w:pPr>
        <w:spacing w:line="360" w:lineRule="auto"/>
        <w:jc w:val="both"/>
      </w:pPr>
      <w:r>
        <w:t>Na temelju</w:t>
      </w:r>
      <w:r w:rsidR="00A318B5" w:rsidRPr="00A318B5">
        <w:t xml:space="preserve"> </w:t>
      </w:r>
      <w:r>
        <w:t>prethodno</w:t>
      </w:r>
      <w:r w:rsidR="00A318B5" w:rsidRPr="00A318B5">
        <w:t xml:space="preserve"> navedenih ciljeva i jasno definiranog problema istraživanja definirane su</w:t>
      </w:r>
      <w:r w:rsidR="00A318B5">
        <w:t xml:space="preserve"> sljedeće hipoteze: </w:t>
      </w:r>
    </w:p>
    <w:p w14:paraId="7F97E8C4" w14:textId="77777777" w:rsidR="00A318B5" w:rsidRDefault="00A318B5">
      <w:pPr>
        <w:spacing w:line="360" w:lineRule="auto"/>
        <w:jc w:val="both"/>
      </w:pPr>
    </w:p>
    <w:p w14:paraId="2E741BEF" w14:textId="77777777" w:rsidR="00B92FBB" w:rsidRDefault="008A09CC">
      <w:pPr>
        <w:spacing w:line="360" w:lineRule="auto"/>
        <w:jc w:val="both"/>
      </w:pPr>
      <w:r>
        <w:rPr>
          <w:b/>
        </w:rPr>
        <w:t>H1:</w:t>
      </w:r>
      <w:r>
        <w:t xml:space="preserve"> Poduzeća s višom razinom tekuće likvidnosti u prošlim razdobljima zadržat će slične vrijednosti i u godinama koje slijede.</w:t>
      </w:r>
    </w:p>
    <w:p w14:paraId="376063DC" w14:textId="77777777" w:rsidR="00B92FBB" w:rsidRDefault="00B92FBB">
      <w:pPr>
        <w:spacing w:line="360" w:lineRule="auto"/>
        <w:jc w:val="both"/>
      </w:pPr>
    </w:p>
    <w:p w14:paraId="07E3C611" w14:textId="678CCEEC" w:rsidR="00B92FBB" w:rsidRDefault="008A09CC">
      <w:pPr>
        <w:spacing w:line="360" w:lineRule="auto"/>
        <w:jc w:val="both"/>
      </w:pPr>
      <w:r>
        <w:t>Ova pretpostavka polazi od toga da se načini upravljanja kratkotrajnom imovinom i obvezama ne mijenjaju brzo. Jednom uspostavljen pristup najčešće ostaje prisutan dok se ne pojave ozbiljniji potresi na tržištu ili u poslovanju</w:t>
      </w:r>
      <w:r w:rsidR="00A318B5">
        <w:t xml:space="preserve">. </w:t>
      </w:r>
      <w:r w:rsidR="00A318B5" w:rsidRPr="00A318B5">
        <w:t xml:space="preserve">Sličan </w:t>
      </w:r>
      <w:r w:rsidR="00A318B5">
        <w:t>trend</w:t>
      </w:r>
      <w:r w:rsidR="00A318B5" w:rsidRPr="00A318B5">
        <w:t xml:space="preserve"> potvrđuju i ranija istraživanja (</w:t>
      </w:r>
      <w:proofErr w:type="spellStart"/>
      <w:r w:rsidR="00A318B5" w:rsidRPr="00A318B5">
        <w:t>Opler</w:t>
      </w:r>
      <w:proofErr w:type="spellEnd"/>
      <w:r w:rsidR="00A318B5" w:rsidRPr="00A318B5">
        <w:t xml:space="preserve">, </w:t>
      </w:r>
      <w:proofErr w:type="spellStart"/>
      <w:r w:rsidR="00A318B5" w:rsidRPr="00A318B5">
        <w:t>Pinkowitz</w:t>
      </w:r>
      <w:proofErr w:type="spellEnd"/>
      <w:r w:rsidR="00A318B5" w:rsidRPr="00A318B5">
        <w:t xml:space="preserve">, </w:t>
      </w:r>
      <w:proofErr w:type="spellStart"/>
      <w:r w:rsidR="00A318B5" w:rsidRPr="00A318B5">
        <w:t>Stulz</w:t>
      </w:r>
      <w:proofErr w:type="spellEnd"/>
      <w:r w:rsidR="00A318B5" w:rsidRPr="00A318B5">
        <w:t xml:space="preserve"> </w:t>
      </w:r>
      <w:r w:rsidR="00A318B5">
        <w:t>i</w:t>
      </w:r>
      <w:r w:rsidR="00A318B5" w:rsidRPr="00A318B5">
        <w:t xml:space="preserve"> Williamson, 1999; </w:t>
      </w:r>
      <w:proofErr w:type="spellStart"/>
      <w:r w:rsidR="00A318B5" w:rsidRPr="00A318B5">
        <w:t>Ferreira</w:t>
      </w:r>
      <w:proofErr w:type="spellEnd"/>
      <w:r w:rsidR="00A318B5" w:rsidRPr="00A318B5">
        <w:t xml:space="preserve"> </w:t>
      </w:r>
      <w:r w:rsidR="00A318B5">
        <w:t>i</w:t>
      </w:r>
      <w:r w:rsidR="00A318B5" w:rsidRPr="00A318B5">
        <w:t xml:space="preserve"> </w:t>
      </w:r>
      <w:proofErr w:type="spellStart"/>
      <w:r w:rsidR="00A318B5" w:rsidRPr="00A318B5">
        <w:t>Vilela</w:t>
      </w:r>
      <w:proofErr w:type="spellEnd"/>
      <w:r w:rsidR="00A318B5" w:rsidRPr="00A318B5">
        <w:t>, 2004) koja ukazuju na postojanost razine gotovinskih rezervi te stabilnost politika upravljanja likvidnošću tijekom duljih razdoblja, osobito u poduzećima koja djeluju u predvidljivijim sektorima.</w:t>
      </w:r>
    </w:p>
    <w:p w14:paraId="4832372B" w14:textId="77777777" w:rsidR="00B92FBB" w:rsidRDefault="00B92FBB">
      <w:pPr>
        <w:spacing w:line="360" w:lineRule="auto"/>
        <w:jc w:val="both"/>
      </w:pPr>
    </w:p>
    <w:p w14:paraId="497B40EA" w14:textId="302D8FF4" w:rsidR="00B92FBB" w:rsidRDefault="008A09CC">
      <w:pPr>
        <w:spacing w:line="360" w:lineRule="auto"/>
        <w:jc w:val="both"/>
      </w:pPr>
      <w:r>
        <w:rPr>
          <w:b/>
        </w:rPr>
        <w:t>H2:</w:t>
      </w:r>
      <w:r>
        <w:t xml:space="preserve"> Financijska poluga </w:t>
      </w:r>
      <w:r w:rsidR="00F93671">
        <w:t xml:space="preserve">ima </w:t>
      </w:r>
      <w:r w:rsidR="00A318B5">
        <w:t xml:space="preserve">pozitivan signifikantan utjecaj na </w:t>
      </w:r>
      <w:r>
        <w:t>likvidnost</w:t>
      </w:r>
      <w:r w:rsidR="00A318B5">
        <w:t xml:space="preserve"> poduzeća</w:t>
      </w:r>
      <w:r>
        <w:t xml:space="preserve">, ali samo </w:t>
      </w:r>
      <w:r w:rsidR="00A318B5">
        <w:t>kad</w:t>
      </w:r>
      <w:r>
        <w:t xml:space="preserve"> razina duga prati stvarne potrebe poslovanja.</w:t>
      </w:r>
    </w:p>
    <w:p w14:paraId="1876381D" w14:textId="77777777" w:rsidR="00B92FBB" w:rsidRDefault="00B92FBB">
      <w:pPr>
        <w:spacing w:line="360" w:lineRule="auto"/>
        <w:jc w:val="both"/>
      </w:pPr>
    </w:p>
    <w:p w14:paraId="0A53619E" w14:textId="2658B2F1" w:rsidR="00B92FBB" w:rsidRDefault="00A318B5">
      <w:pPr>
        <w:spacing w:line="360" w:lineRule="auto"/>
        <w:jc w:val="both"/>
      </w:pPr>
      <w:r>
        <w:t>U</w:t>
      </w:r>
      <w:r w:rsidR="008A09CC">
        <w:t>mjereno korištenje duga o</w:t>
      </w:r>
      <w:r>
        <w:t>mogućuje</w:t>
      </w:r>
      <w:r w:rsidR="007D01B6">
        <w:t xml:space="preserve"> poduzeću pristup dodatnim sredstvima potrebnima za financiranje obrtnog ka</w:t>
      </w:r>
      <w:r w:rsidR="004039AD">
        <w:t>pi</w:t>
      </w:r>
      <w:r w:rsidR="007D01B6">
        <w:t>tala.</w:t>
      </w:r>
      <w:r w:rsidR="008A09CC">
        <w:t xml:space="preserve"> </w:t>
      </w:r>
      <w:r w:rsidR="007D01B6">
        <w:t>Međutim</w:t>
      </w:r>
      <w:r w:rsidR="008A09CC">
        <w:t xml:space="preserve">, kad trošak zaduženja </w:t>
      </w:r>
      <w:r w:rsidR="007D01B6">
        <w:t>značajno</w:t>
      </w:r>
      <w:r w:rsidR="008A09CC">
        <w:t xml:space="preserve"> poraste, taj se </w:t>
      </w:r>
      <w:r w:rsidR="004039AD">
        <w:t>pozitivan učinak brzo se pretvara u teret. Time se smanjuje financijska fleksibilnost i povećava rizik od nelikvidnosti</w:t>
      </w:r>
      <w:r w:rsidR="008A09CC">
        <w:t>.</w:t>
      </w:r>
      <w:r w:rsidR="004039AD" w:rsidRPr="004039AD">
        <w:t xml:space="preserve"> </w:t>
      </w:r>
      <w:r w:rsidR="004039AD">
        <w:t>T</w:t>
      </w:r>
      <w:r w:rsidR="004039AD" w:rsidRPr="004039AD">
        <w:t xml:space="preserve">akvi zaključci u skladu su s teorijskim postavkama Myersa (2001) </w:t>
      </w:r>
      <w:r w:rsidR="004039AD">
        <w:t>te</w:t>
      </w:r>
      <w:r w:rsidR="004039AD" w:rsidRPr="004039AD">
        <w:t xml:space="preserve"> </w:t>
      </w:r>
      <w:proofErr w:type="spellStart"/>
      <w:r w:rsidR="004039AD" w:rsidRPr="004039AD">
        <w:t>Brealeya</w:t>
      </w:r>
      <w:proofErr w:type="spellEnd"/>
      <w:r w:rsidR="004039AD">
        <w:t xml:space="preserve"> i suradnika </w:t>
      </w:r>
      <w:r w:rsidR="004039AD" w:rsidRPr="004039AD">
        <w:t>(2020</w:t>
      </w:r>
      <w:r w:rsidR="00EB010F">
        <w:t>, str. 245</w:t>
      </w:r>
      <w:r w:rsidR="004039AD" w:rsidRPr="004039AD">
        <w:t xml:space="preserve">) koji naglašavaju da je optimalna struktura kapitala ključna za održavanje stabilne likvidnosti. Slične </w:t>
      </w:r>
      <w:r w:rsidR="004039AD">
        <w:t>zaključke donose</w:t>
      </w:r>
      <w:r w:rsidR="004039AD" w:rsidRPr="004039AD">
        <w:t xml:space="preserve"> i domaća istraživanja (Šarlija i </w:t>
      </w:r>
      <w:proofErr w:type="spellStart"/>
      <w:r w:rsidR="004039AD" w:rsidRPr="004039AD">
        <w:t>Harc</w:t>
      </w:r>
      <w:proofErr w:type="spellEnd"/>
      <w:r w:rsidR="004039AD" w:rsidRPr="004039AD">
        <w:t>, 2012; Mostarac i Petrović, 2013), prema kojima pretjerano oslanjanje na dug povećava ranjivost poduzeća u razdobljima gospodarskih šokova ili smanjenih prihoda</w:t>
      </w:r>
      <w:r w:rsidR="004039AD">
        <w:t>.</w:t>
      </w:r>
    </w:p>
    <w:p w14:paraId="3BD49CE7" w14:textId="77777777" w:rsidR="00B92FBB" w:rsidRDefault="00B92FBB">
      <w:pPr>
        <w:spacing w:line="360" w:lineRule="auto"/>
        <w:jc w:val="both"/>
      </w:pPr>
    </w:p>
    <w:p w14:paraId="66940DBA" w14:textId="0F8C2D81" w:rsidR="00B92FBB" w:rsidRDefault="008A09CC">
      <w:pPr>
        <w:spacing w:line="360" w:lineRule="auto"/>
        <w:jc w:val="both"/>
      </w:pPr>
      <w:r>
        <w:rPr>
          <w:b/>
        </w:rPr>
        <w:t>H3</w:t>
      </w:r>
      <w:r>
        <w:t>: Poduzeća s većom profitabilnošću i stabilnim prihodima ostvaruju višu likvidnost, ali intenzivna ulaganja u dugotrajnu imovinu mogu smanjiti njihovu kratkoročnu prilagodljivost.</w:t>
      </w:r>
    </w:p>
    <w:p w14:paraId="58DF812B" w14:textId="77777777" w:rsidR="00B92FBB" w:rsidRDefault="00B92FBB">
      <w:pPr>
        <w:spacing w:line="360" w:lineRule="auto"/>
        <w:jc w:val="both"/>
      </w:pPr>
    </w:p>
    <w:p w14:paraId="116B3E58" w14:textId="3A323666" w:rsidR="00B92FBB" w:rsidRDefault="004039AD">
      <w:pPr>
        <w:spacing w:line="360" w:lineRule="auto"/>
        <w:jc w:val="both"/>
      </w:pPr>
      <w:r>
        <w:t xml:space="preserve">Polazi se od pretpostavke </w:t>
      </w:r>
      <w:r w:rsidR="008A09CC">
        <w:t xml:space="preserve">da poduzeća koja zarađuju više lakše stvaraju sigurnosnu zalihu u obliku kratkoročnih sredstava. </w:t>
      </w:r>
      <w:r>
        <w:t>Suprotno tome</w:t>
      </w:r>
      <w:r w:rsidR="008A09CC">
        <w:t xml:space="preserve">, </w:t>
      </w:r>
      <w:r>
        <w:t>poduzeća</w:t>
      </w:r>
      <w:r w:rsidR="008A09CC">
        <w:t xml:space="preserve"> koja imaju </w:t>
      </w:r>
      <w:r>
        <w:t>velik</w:t>
      </w:r>
      <w:r w:rsidR="008A09CC">
        <w:t xml:space="preserve"> udio dugotrajne imovine ili posluju uz velike </w:t>
      </w:r>
      <w:r>
        <w:t>oscilacije</w:t>
      </w:r>
      <w:r w:rsidR="008A09CC">
        <w:t xml:space="preserve"> u prihodima često su osjetljivija na poremećaje </w:t>
      </w:r>
      <w:r w:rsidRPr="004039AD">
        <w:t>jer im je likvidna sredstva teže brzo mobilizirati</w:t>
      </w:r>
      <w:r>
        <w:t xml:space="preserve"> (Benić, 2016</w:t>
      </w:r>
      <w:r w:rsidR="008F7038">
        <w:t>, str. 139</w:t>
      </w:r>
      <w:r>
        <w:t>)</w:t>
      </w:r>
      <w:r w:rsidR="008A09CC">
        <w:t>.</w:t>
      </w:r>
    </w:p>
    <w:p w14:paraId="5A4362C6" w14:textId="7D1210CC" w:rsidR="00B92FBB" w:rsidRDefault="008A09CC" w:rsidP="003B17F7">
      <w:pPr>
        <w:pStyle w:val="Naslov3"/>
        <w:numPr>
          <w:ilvl w:val="1"/>
          <w:numId w:val="7"/>
        </w:numPr>
      </w:pPr>
      <w:bookmarkStart w:id="14" w:name="_j4m93sob3esn" w:colFirst="0" w:colLast="0"/>
      <w:bookmarkStart w:id="15" w:name="_Toc207275881"/>
      <w:bookmarkEnd w:id="14"/>
      <w:r>
        <w:lastRenderedPageBreak/>
        <w:t>Metodologija istraživanja</w:t>
      </w:r>
      <w:bookmarkEnd w:id="15"/>
    </w:p>
    <w:p w14:paraId="5F774154" w14:textId="77777777" w:rsidR="003B17F7" w:rsidRPr="003B17F7" w:rsidRDefault="003B17F7" w:rsidP="003B17F7"/>
    <w:p w14:paraId="092EB11E" w14:textId="689DEEBE" w:rsidR="00B92FBB" w:rsidRDefault="008A09CC">
      <w:pPr>
        <w:spacing w:line="360" w:lineRule="auto"/>
        <w:jc w:val="both"/>
      </w:pPr>
      <w:r>
        <w:t>Istraživanje je provedeno na uravnoteženom panelu podataka. Model obuhvaća poduzeća iz četiri sektora prema NKD klasifikaciji: prerađivačku industriju (C), prijevoz i skladištenje (H), djelatnosti pružanja smještaja te pripreme i usluživanja hrane (I) i administrativne i pomoćne uslužne djelatnosti (N). U analizu su uključena samo ona poduzeća koja su kontinuirano poslovala u razdoblju od 2008. do 2023. godine. Time se smanjuje rizik da promjene u uzorku naruše rezultate i omogućuje da se prate dugoročniji obrasci ponašanja unutar sektora.</w:t>
      </w:r>
      <w:r w:rsidR="004039AD" w:rsidRPr="004039AD">
        <w:t xml:space="preserve"> Ukupno je u analizu uključeno 784 poduzeća, od čega 415 iz prerađivačke industrije (C), 114 iz sektora prijevoza i skladištenja (H), 161 iz djelatnosti pružanja smještaja te pripreme i usluživanja hrane (I) te 94 iz administrativnih i pomoćnih uslužnih djelatnosti (N).</w:t>
      </w:r>
      <w:r w:rsidR="004039AD">
        <w:t xml:space="preserve"> </w:t>
      </w:r>
      <w:r w:rsidR="004039AD" w:rsidRPr="004039AD">
        <w:t xml:space="preserve">Analiza obuhvaća razdoblje od 2008. do 2023. </w:t>
      </w:r>
      <w:r w:rsidR="004039AD">
        <w:t xml:space="preserve">godine </w:t>
      </w:r>
      <w:r w:rsidR="004039AD" w:rsidRPr="004039AD">
        <w:t>što omogućuje uvid u promjene kroz različite ekonomske cikluse</w:t>
      </w:r>
      <w:r w:rsidR="004039AD">
        <w:t>.</w:t>
      </w:r>
    </w:p>
    <w:p w14:paraId="5F4D78C7" w14:textId="77777777" w:rsidR="00B92FBB" w:rsidRDefault="00B92FBB">
      <w:pPr>
        <w:spacing w:line="360" w:lineRule="auto"/>
        <w:jc w:val="both"/>
      </w:pPr>
    </w:p>
    <w:p w14:paraId="3A1F62EE" w14:textId="77777777" w:rsidR="00B92FBB" w:rsidRDefault="008A09CC">
      <w:pPr>
        <w:spacing w:line="360" w:lineRule="auto"/>
        <w:jc w:val="both"/>
      </w:pPr>
      <w:r>
        <w:t>Podaci u istraživanju preuzeti su iz baze podataka dobivene od strane FINA-e. Glavna zavisna varijabla u modelu je koeficijent tekuće likvidnosti (KTL), a glavna nezavisna varijabla omjer duga i kapitala (DER). Uz to, u model su uključene i kontrolne varijable: povrat na imovinu (ROA), povrat na kapital (ROE), kapitalna intenzivnost (KI) i postotna promjena prodaje (PP).</w:t>
      </w:r>
    </w:p>
    <w:p w14:paraId="612308DE" w14:textId="77777777" w:rsidR="00B92FBB" w:rsidRDefault="00B92FBB">
      <w:pPr>
        <w:spacing w:line="360" w:lineRule="auto"/>
        <w:jc w:val="both"/>
      </w:pPr>
    </w:p>
    <w:p w14:paraId="181826A2" w14:textId="41CB741F" w:rsidR="00B92FBB" w:rsidRDefault="008A09CC">
      <w:pPr>
        <w:spacing w:line="360" w:lineRule="auto"/>
        <w:jc w:val="both"/>
      </w:pPr>
      <w:r>
        <w:t xml:space="preserve">Prije provođenja modela, napravljena je deskriptivna statistika za svaku varijablu. </w:t>
      </w:r>
      <w:r w:rsidR="00E173EE">
        <w:t>Tako</w:t>
      </w:r>
      <w:r>
        <w:t xml:space="preserve"> dobiven je uvid u osnovne obrasce i ekstremne vrijednosti unutar uzorka. Analizirane su srednje vrijednosti, medijani, minimalne i maksimalne vrijednosti te raspršenost podataka. Takav pregled omogućio je identifikaciju poduzeća koja odstupaju od prosjeka i objašnjavanje uzroka tih odstupanja.</w:t>
      </w:r>
    </w:p>
    <w:p w14:paraId="718EE399" w14:textId="77777777" w:rsidR="00B92FBB" w:rsidRDefault="00B92FBB">
      <w:pPr>
        <w:spacing w:line="360" w:lineRule="auto"/>
        <w:jc w:val="both"/>
      </w:pPr>
    </w:p>
    <w:p w14:paraId="11BE611E" w14:textId="77777777" w:rsidR="00B92FBB" w:rsidRDefault="008A09CC">
      <w:pPr>
        <w:spacing w:line="360" w:lineRule="auto"/>
        <w:jc w:val="both"/>
      </w:pPr>
      <w:r>
        <w:t>Nakon toga provedena je korelacijska analiza kako bi se ispitali međusobni odnosi varijabli. Korelacijske matrice izrađene su zasebno za svaki sektor. Na taj se način omogućilo uočavanje specifičnih povezanosti među varijablama.</w:t>
      </w:r>
    </w:p>
    <w:p w14:paraId="4FA06B2D" w14:textId="77777777" w:rsidR="00B92FBB" w:rsidRDefault="00B92FBB">
      <w:pPr>
        <w:spacing w:line="360" w:lineRule="auto"/>
        <w:jc w:val="both"/>
      </w:pPr>
    </w:p>
    <w:p w14:paraId="7ECCDA15" w14:textId="77777777" w:rsidR="0035047A" w:rsidRDefault="008A09CC">
      <w:pPr>
        <w:spacing w:line="360" w:lineRule="auto"/>
        <w:jc w:val="both"/>
      </w:pPr>
      <w:r>
        <w:t xml:space="preserve">Za analizu podataka korišten je softver </w:t>
      </w:r>
      <w:proofErr w:type="spellStart"/>
      <w:r>
        <w:t>EViews</w:t>
      </w:r>
      <w:proofErr w:type="spellEnd"/>
      <w:r>
        <w:t xml:space="preserve"> 12 koji omogućuje provedbu panel modela. </w:t>
      </w:r>
      <w:r w:rsidR="0035047A" w:rsidRPr="0035047A">
        <w:t xml:space="preserve">Panel podaci korišteni u ovom istraživanju spajaju vremensku i prostornu dimenziju, čime se povećava informativnost uzorka, smanjuje problem </w:t>
      </w:r>
      <w:proofErr w:type="spellStart"/>
      <w:r w:rsidR="0035047A" w:rsidRPr="0035047A">
        <w:t>multikolinearnosti</w:t>
      </w:r>
      <w:proofErr w:type="spellEnd"/>
      <w:r w:rsidR="0035047A" w:rsidRPr="0035047A">
        <w:t xml:space="preserve"> te omogućuje preciznije mjerenje odnosa među varijablama u usporedbi s klasičnim </w:t>
      </w:r>
      <w:proofErr w:type="spellStart"/>
      <w:r w:rsidR="0035047A" w:rsidRPr="0035047A">
        <w:t>presječnim</w:t>
      </w:r>
      <w:proofErr w:type="spellEnd"/>
      <w:r w:rsidR="0035047A" w:rsidRPr="0035047A">
        <w:t xml:space="preserve"> ili vremenskim modelima (</w:t>
      </w:r>
      <w:proofErr w:type="spellStart"/>
      <w:r w:rsidR="0035047A" w:rsidRPr="0035047A">
        <w:t>Baltagi</w:t>
      </w:r>
      <w:proofErr w:type="spellEnd"/>
      <w:r w:rsidR="0035047A" w:rsidRPr="0035047A">
        <w:t>, 2009)</w:t>
      </w:r>
      <w:r>
        <w:t xml:space="preserve">. </w:t>
      </w:r>
    </w:p>
    <w:p w14:paraId="47CCF2A4" w14:textId="77777777" w:rsidR="0035047A" w:rsidRDefault="0035047A">
      <w:pPr>
        <w:spacing w:line="360" w:lineRule="auto"/>
        <w:jc w:val="both"/>
      </w:pPr>
    </w:p>
    <w:p w14:paraId="40EDA743" w14:textId="1117BA05" w:rsidR="0035047A" w:rsidRDefault="0035047A">
      <w:pPr>
        <w:spacing w:line="360" w:lineRule="auto"/>
        <w:jc w:val="both"/>
      </w:pPr>
      <w:r w:rsidRPr="0035047A">
        <w:t>U početnoj fazi testiran</w:t>
      </w:r>
      <w:r w:rsidR="00287772">
        <w:t xml:space="preserve"> je</w:t>
      </w:r>
      <w:r w:rsidRPr="0035047A">
        <w:t xml:space="preserve"> i statički panel model</w:t>
      </w:r>
      <w:r>
        <w:t xml:space="preserve">, </w:t>
      </w:r>
      <w:r w:rsidRPr="0035047A">
        <w:t>no nj</w:t>
      </w:r>
      <w:r w:rsidR="00287772">
        <w:t>egovo</w:t>
      </w:r>
      <w:r w:rsidRPr="0035047A">
        <w:t xml:space="preserve"> ograničenje proizlazi iz pretpostavke o konstantnosti varijabli u vremenu i nemogućnosti adekvatnog uvažavanja </w:t>
      </w:r>
      <w:proofErr w:type="spellStart"/>
      <w:r w:rsidRPr="0035047A">
        <w:lastRenderedPageBreak/>
        <w:t>autokorelacije</w:t>
      </w:r>
      <w:proofErr w:type="spellEnd"/>
      <w:r w:rsidRPr="0035047A">
        <w:t xml:space="preserve"> među opažanjima iste jedinice. Budući da su podaci pokazali znakove endogenosti te povezanost zavisne varijable s vlastitim prošlim vrijednostima, odabran je dinamički panel model temeljen na </w:t>
      </w:r>
      <w:proofErr w:type="spellStart"/>
      <w:r w:rsidRPr="0035047A">
        <w:t>Arellano</w:t>
      </w:r>
      <w:proofErr w:type="spellEnd"/>
      <w:r w:rsidRPr="0035047A">
        <w:t>–Bond GMM metodi</w:t>
      </w:r>
      <w:r>
        <w:t xml:space="preserve"> (</w:t>
      </w:r>
      <w:proofErr w:type="spellStart"/>
      <w:r w:rsidRPr="0035047A">
        <w:t>Labra</w:t>
      </w:r>
      <w:proofErr w:type="spellEnd"/>
      <w:r w:rsidRPr="0035047A">
        <w:t xml:space="preserve"> </w:t>
      </w:r>
      <w:r>
        <w:t>i</w:t>
      </w:r>
      <w:r w:rsidRPr="0035047A">
        <w:t xml:space="preserve"> </w:t>
      </w:r>
      <w:proofErr w:type="spellStart"/>
      <w:r w:rsidRPr="0035047A">
        <w:t>Torrecillas</w:t>
      </w:r>
      <w:proofErr w:type="spellEnd"/>
      <w:r w:rsidRPr="0035047A">
        <w:t>, 2018</w:t>
      </w:r>
      <w:r w:rsidR="0029244D">
        <w:t>)</w:t>
      </w:r>
      <w:r>
        <w:t>.</w:t>
      </w:r>
    </w:p>
    <w:p w14:paraId="7BB07D1D" w14:textId="77777777" w:rsidR="0035047A" w:rsidRDefault="0035047A">
      <w:pPr>
        <w:spacing w:line="360" w:lineRule="auto"/>
        <w:jc w:val="both"/>
      </w:pPr>
    </w:p>
    <w:p w14:paraId="263EB560" w14:textId="2BF6367E" w:rsidR="00B92FBB" w:rsidRDefault="008A09CC">
      <w:pPr>
        <w:spacing w:line="360" w:lineRule="auto"/>
        <w:jc w:val="both"/>
      </w:pPr>
      <w:r>
        <w:t xml:space="preserve">Ova metoda prilagođena je panelima s velikim brojem jedinki (poduzeća) i relativno manjim brojem vremenskih točaka. </w:t>
      </w:r>
      <w:r w:rsidR="0035047A">
        <w:t xml:space="preserve"> </w:t>
      </w:r>
      <w:r w:rsidR="0035047A" w:rsidRPr="0035047A">
        <w:t xml:space="preserve">Omogućuje korištenje instrumentalnih varijabli za ispravljanje potencijalne endogenosti, a primjena GMM metode u dva koraka daje efikasnije i konzistentnije procjenitelje, osobito u prisutnosti </w:t>
      </w:r>
      <w:proofErr w:type="spellStart"/>
      <w:r w:rsidR="0035047A" w:rsidRPr="0035047A">
        <w:t>heteroskedastičnosti</w:t>
      </w:r>
      <w:proofErr w:type="spellEnd"/>
      <w:r w:rsidR="0035047A">
        <w:t xml:space="preserve">. </w:t>
      </w:r>
    </w:p>
    <w:p w14:paraId="7697A6D7" w14:textId="77777777" w:rsidR="00F93671" w:rsidRDefault="00F93671">
      <w:pPr>
        <w:spacing w:line="360" w:lineRule="auto"/>
        <w:jc w:val="both"/>
      </w:pPr>
    </w:p>
    <w:p w14:paraId="4EC0DD1F" w14:textId="72ADADDB" w:rsidR="00B92FBB" w:rsidRDefault="008A09CC">
      <w:pPr>
        <w:spacing w:line="360" w:lineRule="auto"/>
        <w:jc w:val="both"/>
      </w:pPr>
      <w:r>
        <w:t>Model je dodatno testiran</w:t>
      </w:r>
      <w:r w:rsidR="00E173EE">
        <w:t xml:space="preserve"> s</w:t>
      </w:r>
      <w:r>
        <w:t xml:space="preserve"> pomoću </w:t>
      </w:r>
      <w:proofErr w:type="spellStart"/>
      <w:r>
        <w:t>Arellano</w:t>
      </w:r>
      <w:proofErr w:type="spellEnd"/>
      <w:r>
        <w:t xml:space="preserve">-Bond testa za </w:t>
      </w:r>
      <w:proofErr w:type="spellStart"/>
      <w:r>
        <w:t>autokorelaciju</w:t>
      </w:r>
      <w:proofErr w:type="spellEnd"/>
      <w:r>
        <w:t xml:space="preserve"> te </w:t>
      </w:r>
      <w:proofErr w:type="spellStart"/>
      <w:r>
        <w:t>Hansenovog</w:t>
      </w:r>
      <w:proofErr w:type="spellEnd"/>
      <w:r>
        <w:t xml:space="preserve"> J-testa valjanosti </w:t>
      </w:r>
      <w:r w:rsidR="0035047A">
        <w:t>k</w:t>
      </w:r>
      <w:r w:rsidR="0035047A" w:rsidRPr="0035047A">
        <w:t>orištenih instrumentalnih varijabli u modelu</w:t>
      </w:r>
      <w:r>
        <w:t xml:space="preserve">. Time se provjerava postoje li problemi s </w:t>
      </w:r>
      <w:proofErr w:type="spellStart"/>
      <w:r>
        <w:t>autokorelacijom</w:t>
      </w:r>
      <w:proofErr w:type="spellEnd"/>
      <w:r>
        <w:t xml:space="preserve"> </w:t>
      </w:r>
      <w:proofErr w:type="spellStart"/>
      <w:r>
        <w:t>reziduala</w:t>
      </w:r>
      <w:proofErr w:type="spellEnd"/>
      <w:r>
        <w:t xml:space="preserve"> i jesu li korišteni instrumenti prikladni i dobro specificirani (</w:t>
      </w:r>
      <w:proofErr w:type="spellStart"/>
      <w:r>
        <w:t>Roodman</w:t>
      </w:r>
      <w:proofErr w:type="spellEnd"/>
      <w:r>
        <w:t>, 2009). S obzirom na heterogenost među sektorima, analiza je provedena zasebno za svaki sektor kako bi se preciznije uočile razlike i sektorski specifični obrasci.</w:t>
      </w:r>
    </w:p>
    <w:p w14:paraId="57EFBF68" w14:textId="77777777" w:rsidR="00B92FBB" w:rsidRDefault="00B92FBB"/>
    <w:p w14:paraId="238EEE1F" w14:textId="0BA1B021" w:rsidR="00B92FBB" w:rsidRDefault="008A09CC" w:rsidP="003B17F7">
      <w:pPr>
        <w:pStyle w:val="Naslov3"/>
        <w:numPr>
          <w:ilvl w:val="1"/>
          <w:numId w:val="7"/>
        </w:numPr>
      </w:pPr>
      <w:bookmarkStart w:id="16" w:name="_ew05v4snyw4s" w:colFirst="0" w:colLast="0"/>
      <w:bookmarkStart w:id="17" w:name="_Toc207275882"/>
      <w:bookmarkEnd w:id="16"/>
      <w:r>
        <w:t>Struktura i sadržaj rada</w:t>
      </w:r>
      <w:bookmarkEnd w:id="17"/>
    </w:p>
    <w:p w14:paraId="3AC75200" w14:textId="77777777" w:rsidR="003B17F7" w:rsidRPr="003B17F7" w:rsidRDefault="003B17F7" w:rsidP="003B17F7"/>
    <w:p w14:paraId="57CB9BC3" w14:textId="315C476C" w:rsidR="009C0AC5" w:rsidRDefault="009C0AC5" w:rsidP="003B17F7">
      <w:pPr>
        <w:spacing w:line="360" w:lineRule="auto"/>
        <w:jc w:val="both"/>
      </w:pPr>
      <w:r>
        <w:t xml:space="preserve">Rad je organiziran u nekoliko logičkih cjelina koje prate tijek istraživanja. </w:t>
      </w:r>
    </w:p>
    <w:p w14:paraId="1F354A0D" w14:textId="77777777" w:rsidR="009C0AC5" w:rsidRDefault="009C0AC5" w:rsidP="003B17F7">
      <w:pPr>
        <w:spacing w:line="360" w:lineRule="auto"/>
        <w:jc w:val="both"/>
      </w:pPr>
    </w:p>
    <w:p w14:paraId="0A6DD4C8" w14:textId="1AE6B60F" w:rsidR="009C0AC5" w:rsidRDefault="009C0AC5" w:rsidP="003B17F7">
      <w:pPr>
        <w:spacing w:line="360" w:lineRule="auto"/>
        <w:jc w:val="both"/>
      </w:pPr>
      <w:r>
        <w:t xml:space="preserve">Uvod predstavlja problem i predmet istraživanja, definira ciljeve, doprinos i istraživačke hipoteze, objašnjava korištenu metodologiju te na kraju daje pregled strukture rada. Teorijski okvir daje teorijske osnove za razumijevanje pojmova financijske poluge i likvidnosti, njihov međusobni odnos te pregled kontrolnih varijabli koje su uključene u model. Pregled relevantnih istraživanja sadrži sažetak dosadašnjih domaćih i međunarodnih istraživanja koja su analizirala slične odnose između financijske poluge, likvidnosti i povezanih pokazatelja. Istraživanje utjecaja financijske poluge na likvidnost poduzeća opisuje uzorak poduzeća i prikazuje analize po sektorima: sektor C – Prerađivačka industrija, sektor H – Prijevoz i skladištenje, sektor I – Pružanje smještaja te pripreme i usluživanja hrane te sektor N – Administrativne i pomoćne uslužne djelatnosti. Svaki sektor uključuje deskriptivnu statistiku, korelacijske analize i rezultate dinamičkog panel modela. Rezultati istraživanja integriraju rezultate svih sektora, uspoređuju ih međusobno i s dosadašnjim istraživanjima te analiziraju potvrđenost hipoteza. Ograničenja istraživanja ističu metodološka i podatkovna ograničenja s naglaskom na to da ne umanjuju vjerodostojnost rezultata. Strategijske preporuke i implikacije za praksu daju prijedloge za menadžere, financijske institucije i kreatore politika kako bolje upravljati kapitalom i likvidnošću. </w:t>
      </w:r>
    </w:p>
    <w:p w14:paraId="3288A62B" w14:textId="77777777" w:rsidR="009C0AC5" w:rsidRDefault="009C0AC5" w:rsidP="003B17F7">
      <w:pPr>
        <w:spacing w:line="360" w:lineRule="auto"/>
        <w:jc w:val="both"/>
      </w:pPr>
    </w:p>
    <w:p w14:paraId="3D51DFF9" w14:textId="3466A77A" w:rsidR="00B92FBB" w:rsidRDefault="009C0AC5" w:rsidP="003B17F7">
      <w:pPr>
        <w:spacing w:line="360" w:lineRule="auto"/>
        <w:jc w:val="both"/>
      </w:pPr>
      <w:r>
        <w:lastRenderedPageBreak/>
        <w:t xml:space="preserve">Zaključak sažima glavne rezultate, naglašava doprinos istraživanja te potvrđuje ili odbacuje hipoteze. </w:t>
      </w:r>
      <w:r w:rsidRPr="009C0AC5">
        <w:t>Rad završava popisom korištene literature,</w:t>
      </w:r>
      <w:r w:rsidR="00E173EE">
        <w:t xml:space="preserve"> </w:t>
      </w:r>
      <w:r w:rsidRPr="009C0AC5">
        <w:t>sažetkom</w:t>
      </w:r>
      <w:r w:rsidR="001D61A4">
        <w:t xml:space="preserve"> na hrvatskom jeziku, </w:t>
      </w:r>
      <w:r w:rsidRPr="009C0AC5">
        <w:t xml:space="preserve"> </w:t>
      </w:r>
      <w:r w:rsidR="001D61A4">
        <w:t>sažetkom</w:t>
      </w:r>
      <w:r w:rsidRPr="009C0AC5">
        <w:t xml:space="preserve"> na engleskom jeziku te zahvalama.</w:t>
      </w:r>
    </w:p>
    <w:p w14:paraId="090A1C97" w14:textId="77777777" w:rsidR="00B92FBB" w:rsidRDefault="008A09CC">
      <w:r>
        <w:br w:type="page"/>
      </w:r>
    </w:p>
    <w:p w14:paraId="00172AF0" w14:textId="0156ED70" w:rsidR="0035047A" w:rsidRDefault="008A09CC" w:rsidP="007A371C">
      <w:pPr>
        <w:pStyle w:val="Naslov2"/>
        <w:numPr>
          <w:ilvl w:val="0"/>
          <w:numId w:val="7"/>
        </w:numPr>
      </w:pPr>
      <w:bookmarkStart w:id="18" w:name="_r8fcewc7997o" w:colFirst="0" w:colLast="0"/>
      <w:bookmarkStart w:id="19" w:name="_Toc207275883"/>
      <w:bookmarkEnd w:id="18"/>
      <w:r>
        <w:lastRenderedPageBreak/>
        <w:t>Teorijski okvir</w:t>
      </w:r>
      <w:bookmarkEnd w:id="19"/>
    </w:p>
    <w:p w14:paraId="19ECF3B4" w14:textId="76CA5833" w:rsidR="003B17F7" w:rsidRPr="003B17F7" w:rsidRDefault="003B17F7" w:rsidP="003B17F7"/>
    <w:p w14:paraId="351D0022" w14:textId="4772E338" w:rsidR="0035047A" w:rsidRDefault="0035047A" w:rsidP="0035047A">
      <w:pPr>
        <w:spacing w:line="360" w:lineRule="auto"/>
        <w:jc w:val="both"/>
      </w:pPr>
      <w:r w:rsidRPr="0035047A">
        <w:t xml:space="preserve">Ovo poglavlje pruža pregled teorijskih postavki i dosadašnjih spoznaja koje čine osnovu za analizu odnosa između financijske poluge i likvidnosti poduzeća. </w:t>
      </w:r>
      <w:r w:rsidR="002C3019">
        <w:t xml:space="preserve">Fokus je na </w:t>
      </w:r>
      <w:r w:rsidRPr="0035047A">
        <w:t>objašnjenju varijabli</w:t>
      </w:r>
      <w:r w:rsidR="002C3019">
        <w:t xml:space="preserve"> korištenih u istraživanju</w:t>
      </w:r>
      <w:r w:rsidRPr="0035047A">
        <w:t xml:space="preserve"> i njihovih međusobnih poveznica, kao i čimbenicima koji mogu utjecati na intenzitet i smjer tih odnosa. Na taj se način postavlja teorijski okvir unutar kojeg će se razvijati empirijska analiza.</w:t>
      </w:r>
    </w:p>
    <w:p w14:paraId="619D8849" w14:textId="77777777" w:rsidR="007A371C" w:rsidRPr="0035047A" w:rsidRDefault="007A371C" w:rsidP="0035047A">
      <w:pPr>
        <w:spacing w:line="360" w:lineRule="auto"/>
        <w:jc w:val="both"/>
      </w:pPr>
    </w:p>
    <w:p w14:paraId="2AA0FBEE" w14:textId="77777777" w:rsidR="00B92FBB" w:rsidRDefault="008A09CC">
      <w:pPr>
        <w:pStyle w:val="Naslov3"/>
      </w:pPr>
      <w:bookmarkStart w:id="20" w:name="_m7jul3jczhim" w:colFirst="0" w:colLast="0"/>
      <w:bookmarkStart w:id="21" w:name="_Toc207275884"/>
      <w:bookmarkEnd w:id="20"/>
      <w:r>
        <w:t>2.1. Pojam i mjerenje financijske poluge</w:t>
      </w:r>
      <w:bookmarkEnd w:id="21"/>
    </w:p>
    <w:p w14:paraId="053BD026" w14:textId="77777777" w:rsidR="00D337D3" w:rsidRPr="00D337D3" w:rsidRDefault="00D337D3" w:rsidP="00D337D3"/>
    <w:p w14:paraId="7CEDA0DD" w14:textId="6016D96B" w:rsidR="00B92FBB" w:rsidRDefault="008A09CC">
      <w:pPr>
        <w:spacing w:line="360" w:lineRule="auto"/>
        <w:jc w:val="both"/>
      </w:pPr>
      <w:r>
        <w:t xml:space="preserve">Glavni problem dugoročnog financiranja poduzeća </w:t>
      </w:r>
      <w:r w:rsidR="00D337D3">
        <w:t>jest</w:t>
      </w:r>
      <w:r>
        <w:t xml:space="preserve"> pronalazak optimalne strukture kapitala. Struktura kapitala opisuje način na koji poduzeće financira svoje poslovanje i imovinu, odnosno predstavlja kombinaciju vlastitih i tuđih sredstava</w:t>
      </w:r>
      <w:r w:rsidR="00D337D3">
        <w:t xml:space="preserve"> (Orsag, 2015, str. 539)</w:t>
      </w:r>
      <w:r>
        <w:t>.</w:t>
      </w:r>
      <w:r w:rsidR="00D337D3">
        <w:t xml:space="preserve"> </w:t>
      </w:r>
      <w:r w:rsidR="00D337D3" w:rsidRPr="00D337D3">
        <w:t>Odluka između korištenja vlastitog i tuđeg kapitala ovisi o troškovima financiranja, razini rizika</w:t>
      </w:r>
      <w:r w:rsidR="00D337D3">
        <w:t xml:space="preserve"> </w:t>
      </w:r>
      <w:r w:rsidR="00D337D3" w:rsidRPr="00D337D3">
        <w:t>i potrebnoj fleksibilnosti poslovanja</w:t>
      </w:r>
      <w:r w:rsidR="00D337D3">
        <w:t xml:space="preserve"> na što</w:t>
      </w:r>
      <w:r w:rsidR="00D337D3" w:rsidRPr="00D337D3">
        <w:t xml:space="preserve"> dodatno utječu karakteristike poduzeća poput veličine, profitabilnosti, </w:t>
      </w:r>
      <w:r w:rsidR="008F7038">
        <w:t>udjela dugotrajne imovine</w:t>
      </w:r>
      <w:r w:rsidR="00D337D3" w:rsidRPr="00D337D3">
        <w:t xml:space="preserve"> </w:t>
      </w:r>
      <w:proofErr w:type="spellStart"/>
      <w:r w:rsidR="00D337D3" w:rsidRPr="00D337D3">
        <w:t>imovine</w:t>
      </w:r>
      <w:proofErr w:type="spellEnd"/>
      <w:r w:rsidR="00D337D3" w:rsidRPr="00D337D3">
        <w:t xml:space="preserve"> te uvjeti na tržištu kapitala</w:t>
      </w:r>
      <w:r w:rsidR="008F7038">
        <w:t xml:space="preserve"> (</w:t>
      </w:r>
      <w:proofErr w:type="spellStart"/>
      <w:r w:rsidR="008F7038">
        <w:t>Shim</w:t>
      </w:r>
      <w:proofErr w:type="spellEnd"/>
      <w:r w:rsidR="008F7038">
        <w:t xml:space="preserve">, </w:t>
      </w:r>
      <w:proofErr w:type="spellStart"/>
      <w:r w:rsidR="008F7038">
        <w:t>Siegel</w:t>
      </w:r>
      <w:proofErr w:type="spellEnd"/>
      <w:r w:rsidR="008F7038">
        <w:t>, 2007, str. 337-339)</w:t>
      </w:r>
      <w:r w:rsidR="00D337D3" w:rsidRPr="00D337D3">
        <w:t>.</w:t>
      </w:r>
      <w:r>
        <w:t xml:space="preserve"> </w:t>
      </w:r>
    </w:p>
    <w:p w14:paraId="43414275" w14:textId="77777777" w:rsidR="00B92FBB" w:rsidRDefault="00B92FBB">
      <w:pPr>
        <w:spacing w:line="360" w:lineRule="auto"/>
        <w:jc w:val="both"/>
      </w:pPr>
    </w:p>
    <w:p w14:paraId="399F6C3A" w14:textId="77777777" w:rsidR="00B92FBB" w:rsidRDefault="008A09CC">
      <w:pPr>
        <w:spacing w:line="360" w:lineRule="auto"/>
        <w:jc w:val="both"/>
      </w:pPr>
      <w:r>
        <w:t>Pravilno određena struktura kapitala bitna je za održavanje financijski zdrave slike poduzeća. Vlastiti kapital predstavlja sredstva koja poduzeće neće morati vraćati što ga čini sigurnijim izvorom financiranja, ali ujedno i skupljim budući da vlasnici i investitori očekuju određeni povrat svojih ulaganja. On uključuje kapital poduzeća, zadržanu dobit i rezerve. S druge strane, tuđi kapital obuhvaća sve oblike zaduživanja, poput kredita i obveznica, koji za sobom povlače obvezu prema vjerovnicima. Cilj svakog poduzeća je pronaći optimalnu ravnotežu između vlastitih i tuđih sredstava, odnosno odgovoriti na pitanje isplati li se zaduživati ili ne jer preveliko zaduživanje može dovesti do problema s likvidnošću i povećati rizik od nelikvidnosti. Upotreba financijske poluge koristi se kao sinonim za zaduživanje poduzeća, odnosno poslovanje poduzeća s visokim udjelom tuđeg kapitala (Orsag, 2015, str. 703). Stoga se problem pronalaska optimalne strukture poduzeća može poistovjetiti s problemom korištenja financijske poluge.</w:t>
      </w:r>
    </w:p>
    <w:p w14:paraId="3407D239" w14:textId="77777777" w:rsidR="00B92FBB" w:rsidRDefault="00B92FBB">
      <w:pPr>
        <w:spacing w:line="360" w:lineRule="auto"/>
        <w:jc w:val="both"/>
      </w:pPr>
    </w:p>
    <w:p w14:paraId="2B18B6CA" w14:textId="77777777" w:rsidR="00B92FBB" w:rsidRDefault="008A09CC">
      <w:pPr>
        <w:spacing w:line="360" w:lineRule="auto"/>
        <w:jc w:val="both"/>
      </w:pPr>
      <w:r>
        <w:t xml:space="preserve">Financijska poluga je alat kojim poduzeće koristi dugove kako bi financiralo svoje poslovne aktivnosti umjesto da se oslanja samo na vlastiti kapital. Korištenjem financijske poluge u poslovanju nastoji se povećati prinos na uloženi kapital, odnosno povećati dobit poduzeća korištenjem dugova. To se može iščitati i iz same definicije poluge u mehanici. Budući da je rad određen djelovanjem sile na određenom putu i iskazuje se kao umnožak sile i puta na </w:t>
      </w:r>
      <w:r>
        <w:lastRenderedPageBreak/>
        <w:t xml:space="preserve">kojem se djelovalo tom silom, principom poluge koja produljuje put može se ostvariti ista količina rada s upotrebom manje sile (Orsag, 2015, str. 704). </w:t>
      </w:r>
    </w:p>
    <w:p w14:paraId="6E29344E" w14:textId="77777777" w:rsidR="00B92FBB" w:rsidRDefault="00B92FBB">
      <w:pPr>
        <w:spacing w:line="360" w:lineRule="auto"/>
        <w:jc w:val="both"/>
      </w:pPr>
    </w:p>
    <w:p w14:paraId="3DC874C5" w14:textId="77777777" w:rsidR="00B92FBB" w:rsidRDefault="008A09CC">
      <w:pPr>
        <w:spacing w:line="360" w:lineRule="auto"/>
        <w:jc w:val="both"/>
      </w:pPr>
      <w:r>
        <w:t>No ako se poduzeće previše zaduži, to može dovesti do problema u poslovanju i ugroziti njegovu financijsku stabilnost. Prema tome, cilj poduzeća je pronaći ravnotežu između rizika ulaganja i potencijalnog povrata pa prema tome financijska poluga ima važnu ulogu u financijskom upravljanju.</w:t>
      </w:r>
    </w:p>
    <w:p w14:paraId="5236CA2D" w14:textId="77777777" w:rsidR="007A371C" w:rsidRDefault="007A371C">
      <w:pPr>
        <w:spacing w:line="360" w:lineRule="auto"/>
        <w:jc w:val="both"/>
      </w:pPr>
    </w:p>
    <w:p w14:paraId="4E347AB7" w14:textId="77777777" w:rsidR="00B92FBB" w:rsidRDefault="008A09CC">
      <w:pPr>
        <w:pStyle w:val="Naslov3"/>
      </w:pPr>
      <w:bookmarkStart w:id="22" w:name="_vnnaz56y9xbp" w:colFirst="0" w:colLast="0"/>
      <w:bookmarkStart w:id="23" w:name="_Toc207275885"/>
      <w:bookmarkEnd w:id="22"/>
      <w:r>
        <w:t>2.2. Definicija i važnost upravljanja likvidnošću</w:t>
      </w:r>
      <w:bookmarkEnd w:id="23"/>
    </w:p>
    <w:p w14:paraId="4FE20C00" w14:textId="77777777" w:rsidR="007A371C" w:rsidRPr="007A371C" w:rsidRDefault="007A371C" w:rsidP="007A371C"/>
    <w:p w14:paraId="4E548D74" w14:textId="77777777" w:rsidR="00B92FBB" w:rsidRDefault="008A09CC">
      <w:pPr>
        <w:spacing w:line="360" w:lineRule="auto"/>
        <w:jc w:val="both"/>
      </w:pPr>
      <w:r>
        <w:t xml:space="preserve">Kod promatranja tokova kratkoročnih obveza u poduzeću bitno je promatrati i tokove novca kojima se te obveze mogu podmiriti pa ih je stoga bitno međusobno uskladiti. Upravo ta usklađenost krije se pod pojmom likvidnosti. </w:t>
      </w:r>
    </w:p>
    <w:p w14:paraId="1CC38637" w14:textId="77777777" w:rsidR="00B92FBB" w:rsidRDefault="00B92FBB">
      <w:pPr>
        <w:spacing w:line="360" w:lineRule="auto"/>
        <w:jc w:val="both"/>
      </w:pPr>
    </w:p>
    <w:p w14:paraId="1400B51D" w14:textId="4F076484" w:rsidR="00B92FBB" w:rsidRDefault="008A09CC">
      <w:pPr>
        <w:spacing w:line="360" w:lineRule="auto"/>
        <w:jc w:val="both"/>
      </w:pPr>
      <w:r>
        <w:t xml:space="preserve">Likvidnost poslovne imovine promatra tokove sredstava u poslovnom procesu i brzinu pretvorbe tih sredstava u gotov novac. Sredstva u poslovnom procesu prolaze kroz različite faze. Kako bi se sam proces počeo odvijati, potrebno je pribaviti zalihe sirovina i materijala. Zatim se one ulažu u proizvodnju u toku kako bi nakon toga nastale zalihe gotovih proizvoda. Zalihe gotovih proizvoda mogu se odmah prodati i postati novac ili moraju proći kroz još jednu fazu poslovnog procesa, a to su potraživanja od kupaca. Nakon što se potraživanja naplate, poduzeće dobije novac kao najlikvidniji oblik imovine (Orsag, 2015, str. 593-594). Kroz nabrojenih 5 faza kružnog ciklusa konverzije sredstava u novac, koje se mogu vidjeti na </w:t>
      </w:r>
      <w:r w:rsidRPr="00BB4ACD">
        <w:rPr>
          <w:iCs/>
        </w:rPr>
        <w:t>Slici 1</w:t>
      </w:r>
      <w:r w:rsidR="008A2981">
        <w:rPr>
          <w:iCs/>
        </w:rPr>
        <w:t>.</w:t>
      </w:r>
      <w:r>
        <w:t xml:space="preserve">, promatra se brzina kojom se određeni oblik imovine pretvara u novac. Iz toga se zaključuje da je potraživanjima kupaca potrebno najmanje vremena kako bi se pretvorila u novac pa ona predstavljaju jedan od najlikvidnijih sredstava, dok zalihe sirovina i materijala predstavljaju </w:t>
      </w:r>
      <w:proofErr w:type="spellStart"/>
      <w:r>
        <w:t>najnelikvidniji</w:t>
      </w:r>
      <w:proofErr w:type="spellEnd"/>
      <w:r>
        <w:t xml:space="preserve"> oblik imovine jer im je potrebno najdulje vremena kako bi postale novac. </w:t>
      </w:r>
    </w:p>
    <w:p w14:paraId="7A30D7CC" w14:textId="77777777" w:rsidR="00B92FBB" w:rsidRDefault="00B92FBB">
      <w:pPr>
        <w:spacing w:line="360" w:lineRule="auto"/>
        <w:jc w:val="both"/>
      </w:pPr>
    </w:p>
    <w:p w14:paraId="3ED3AB24" w14:textId="77777777" w:rsidR="00B92FBB" w:rsidRDefault="008A09CC">
      <w:pPr>
        <w:spacing w:line="360" w:lineRule="auto"/>
        <w:jc w:val="both"/>
      </w:pPr>
      <w:r>
        <w:t>Likvidnost se, dakle, može definirati kao sposobnost pretvaranja imovine u gotov novac, ali se i definira kao sposobnost poduzeća da podmiri svoje kratkoročne obveze iz raspoloživih novčanih sredstava ili oblika imovine koja se može brzo pretvoriti u novac (</w:t>
      </w:r>
      <w:proofErr w:type="spellStart"/>
      <w:r>
        <w:t>Belak</w:t>
      </w:r>
      <w:proofErr w:type="spellEnd"/>
      <w:r>
        <w:t>, 2014, str. 130). Održavanje optimalne razine likvidnosti važno je za financijsku stabilnost poduzeća. Ako je likvidnost premala, poduzeće može imati probleme s podmirivanjem obveza što dovodi do gubitka povjerenja kreditora i investitora, a posljedično i smanjenja kreditne sposobnosti. S druge strane, prevelika likvidnost može pokazivati da poduzeće ne ulaže u profitabilne projekte, odnosno da se novčana sredstva nedovoljno koriste što rezultira propuštenim prilikama za povećanje prihoda (</w:t>
      </w:r>
      <w:proofErr w:type="spellStart"/>
      <w:r>
        <w:t>Belak</w:t>
      </w:r>
      <w:proofErr w:type="spellEnd"/>
      <w:r>
        <w:t>, 2014, str. 149).</w:t>
      </w:r>
    </w:p>
    <w:p w14:paraId="2887EC3C" w14:textId="77777777" w:rsidR="00BB4ACD" w:rsidRDefault="008A09CC" w:rsidP="00BB4ACD">
      <w:pPr>
        <w:keepNext/>
        <w:jc w:val="center"/>
      </w:pPr>
      <w:r>
        <w:rPr>
          <w:noProof/>
        </w:rPr>
        <w:lastRenderedPageBreak/>
        <w:drawing>
          <wp:inline distT="114300" distB="114300" distL="114300" distR="114300" wp14:anchorId="7273367D" wp14:editId="48FE5C29">
            <wp:extent cx="2534640" cy="2093387"/>
            <wp:effectExtent l="0" t="0" r="0" b="0"/>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2534640" cy="2093387"/>
                    </a:xfrm>
                    <a:prstGeom prst="rect">
                      <a:avLst/>
                    </a:prstGeom>
                    <a:ln/>
                  </pic:spPr>
                </pic:pic>
              </a:graphicData>
            </a:graphic>
          </wp:inline>
        </w:drawing>
      </w:r>
    </w:p>
    <w:p w14:paraId="51B77199" w14:textId="2EF85131" w:rsidR="00B92FBB" w:rsidRPr="00BB4ACD" w:rsidRDefault="00BB4ACD" w:rsidP="00BB4ACD">
      <w:pPr>
        <w:pStyle w:val="Opisslike"/>
        <w:jc w:val="center"/>
        <w:rPr>
          <w:i w:val="0"/>
          <w:iCs w:val="0"/>
          <w:color w:val="000000" w:themeColor="text1"/>
          <w:sz w:val="22"/>
          <w:szCs w:val="22"/>
        </w:rPr>
      </w:pPr>
      <w:bookmarkStart w:id="24" w:name="_Toc207263311"/>
      <w:r w:rsidRPr="00BB4ACD">
        <w:rPr>
          <w:i w:val="0"/>
          <w:iCs w:val="0"/>
          <w:color w:val="000000" w:themeColor="text1"/>
          <w:sz w:val="22"/>
          <w:szCs w:val="22"/>
        </w:rPr>
        <w:t xml:space="preserve">Slika </w:t>
      </w:r>
      <w:r w:rsidRPr="00BB4ACD">
        <w:rPr>
          <w:i w:val="0"/>
          <w:iCs w:val="0"/>
          <w:color w:val="000000" w:themeColor="text1"/>
          <w:sz w:val="22"/>
          <w:szCs w:val="22"/>
        </w:rPr>
        <w:fldChar w:fldCharType="begin"/>
      </w:r>
      <w:r w:rsidRPr="00BB4ACD">
        <w:rPr>
          <w:i w:val="0"/>
          <w:iCs w:val="0"/>
          <w:color w:val="000000" w:themeColor="text1"/>
          <w:sz w:val="22"/>
          <w:szCs w:val="22"/>
        </w:rPr>
        <w:instrText xml:space="preserve"> SEQ Slika \* ARABIC </w:instrText>
      </w:r>
      <w:r w:rsidRPr="00BB4ACD">
        <w:rPr>
          <w:i w:val="0"/>
          <w:iCs w:val="0"/>
          <w:color w:val="000000" w:themeColor="text1"/>
          <w:sz w:val="22"/>
          <w:szCs w:val="22"/>
        </w:rPr>
        <w:fldChar w:fldCharType="separate"/>
      </w:r>
      <w:r w:rsidR="001648A1">
        <w:rPr>
          <w:i w:val="0"/>
          <w:iCs w:val="0"/>
          <w:noProof/>
          <w:color w:val="000000" w:themeColor="text1"/>
          <w:sz w:val="22"/>
          <w:szCs w:val="22"/>
        </w:rPr>
        <w:t>1</w:t>
      </w:r>
      <w:r w:rsidRPr="00BB4ACD">
        <w:rPr>
          <w:i w:val="0"/>
          <w:iCs w:val="0"/>
          <w:color w:val="000000" w:themeColor="text1"/>
          <w:sz w:val="22"/>
          <w:szCs w:val="22"/>
        </w:rPr>
        <w:fldChar w:fldCharType="end"/>
      </w:r>
      <w:r>
        <w:rPr>
          <w:i w:val="0"/>
          <w:iCs w:val="0"/>
          <w:color w:val="000000" w:themeColor="text1"/>
          <w:sz w:val="22"/>
          <w:szCs w:val="22"/>
        </w:rPr>
        <w:t>.</w:t>
      </w:r>
      <w:r w:rsidRPr="00BB4ACD">
        <w:rPr>
          <w:i w:val="0"/>
          <w:iCs w:val="0"/>
          <w:color w:val="000000" w:themeColor="text1"/>
          <w:sz w:val="22"/>
          <w:szCs w:val="22"/>
        </w:rPr>
        <w:t xml:space="preserve"> Kružni ciklus konverzije sredstava u novac (Izvor: vlastita izrada autorice)</w:t>
      </w:r>
      <w:bookmarkEnd w:id="24"/>
    </w:p>
    <w:p w14:paraId="68B85001" w14:textId="77777777" w:rsidR="007A371C" w:rsidRDefault="007A371C">
      <w:pPr>
        <w:jc w:val="center"/>
      </w:pPr>
    </w:p>
    <w:p w14:paraId="058DDC11" w14:textId="77777777" w:rsidR="00B92FBB" w:rsidRDefault="008A09CC">
      <w:pPr>
        <w:pStyle w:val="Naslov3"/>
      </w:pPr>
      <w:bookmarkStart w:id="25" w:name="_s9vuonmoiz8c" w:colFirst="0" w:colLast="0"/>
      <w:bookmarkStart w:id="26" w:name="_Toc207275886"/>
      <w:bookmarkEnd w:id="25"/>
      <w:r>
        <w:t>2.3. Odnos između financijske poluge i likvidnosti u teoriji</w:t>
      </w:r>
      <w:bookmarkEnd w:id="26"/>
    </w:p>
    <w:p w14:paraId="5CE71AC5" w14:textId="77777777" w:rsidR="007A371C" w:rsidRPr="007A371C" w:rsidRDefault="007A371C" w:rsidP="007A371C"/>
    <w:p w14:paraId="2E4037B7" w14:textId="77777777" w:rsidR="00B92FBB" w:rsidRDefault="008A09CC">
      <w:pPr>
        <w:spacing w:line="360" w:lineRule="auto"/>
        <w:jc w:val="both"/>
      </w:pPr>
      <w:r>
        <w:t xml:space="preserve">Odnos između financijske poluge i likvidnosti važan je kod procjene financijskog zdravlja poduzeća. Te dvije dimenzije financijskog upravljanja često djeluju u suprotnim smjerovima. Financijska poluga omogućuje poduzećima brži rast i veći povrat na kapital, osobito ako je prinos na imovinu veći od troškova duga (Orsag, 2015, str. 713). S druge strane, likvidnost pokazuje sposobnost poduzeća da podmiri kratkoročne obveze raspoloživim sredstvima. </w:t>
      </w:r>
    </w:p>
    <w:p w14:paraId="70A64284" w14:textId="77777777" w:rsidR="00B92FBB" w:rsidRDefault="00B92FBB">
      <w:pPr>
        <w:spacing w:line="360" w:lineRule="auto"/>
        <w:jc w:val="both"/>
      </w:pPr>
    </w:p>
    <w:p w14:paraId="3552B665" w14:textId="77777777" w:rsidR="00B92FBB" w:rsidRDefault="008A09CC">
      <w:pPr>
        <w:spacing w:line="360" w:lineRule="auto"/>
        <w:jc w:val="both"/>
      </w:pPr>
      <w:r>
        <w:t>Visoka poluga može povećati profitabilnost, ali istovremeno ugroziti likvidnost zbog većih financijskih obveza i redovitih otplata kamata. Poduzeća koja se previše oslanjaju na tuđi kapital u svom poslovanju često bilježe pad likvidnosti ispod optimalne razine. To povećava rizik od nelikvidnosti jer veći troškovi duga smanjuju raspoloživa sredstva za pokrivanje operativnih troškova. Posebno se to vidi u razdobljima smanjene prodaje ili ekonomskih kriza, kada prihodi padaju, a obveze ostaju fiksne (Orsag, 2015, str. 709). S druge strane, niska financijska poluga može osigurati visoku razinu likvidnosti, ali poduzeće tada može propustiti prilike za rast i povećanje prinosa na kapital jer ne koristi potencijal duga za financiranje novih projekata (</w:t>
      </w:r>
      <w:proofErr w:type="spellStart"/>
      <w:r>
        <w:t>Belak</w:t>
      </w:r>
      <w:proofErr w:type="spellEnd"/>
      <w:r>
        <w:t xml:space="preserve">, 2014, str. 149). </w:t>
      </w:r>
    </w:p>
    <w:p w14:paraId="412BFEA8" w14:textId="77777777" w:rsidR="00B92FBB" w:rsidRDefault="00B92FBB">
      <w:pPr>
        <w:spacing w:line="360" w:lineRule="auto"/>
        <w:jc w:val="both"/>
      </w:pPr>
    </w:p>
    <w:p w14:paraId="4FD55530" w14:textId="77777777" w:rsidR="00B92FBB" w:rsidRDefault="008A09CC">
      <w:pPr>
        <w:spacing w:line="360" w:lineRule="auto"/>
        <w:jc w:val="both"/>
      </w:pPr>
      <w:r>
        <w:t>Održavanje stabilnog omjera duga i vlasničkog kapitala, uz praćenje likvidnosti, omogućuje poduzećima da iskoriste prednosti duga bez rizika za ugrožavanje financijske stabilnosti. Ukratko, poduzeća moraju pronaći ravnotežu između korištenja duga za rast i održavanja dovoljne likvidnosti kako bi izbjegla rizike prekomjernog zaduživanja.</w:t>
      </w:r>
    </w:p>
    <w:p w14:paraId="4631EA54" w14:textId="77777777" w:rsidR="00B92FBB" w:rsidRDefault="00B92FBB">
      <w:pPr>
        <w:spacing w:line="360" w:lineRule="auto"/>
        <w:jc w:val="both"/>
      </w:pPr>
    </w:p>
    <w:p w14:paraId="03F774D5" w14:textId="77777777" w:rsidR="00B92FBB" w:rsidRDefault="008A09CC">
      <w:pPr>
        <w:pStyle w:val="Naslov3"/>
        <w:spacing w:line="360" w:lineRule="auto"/>
        <w:jc w:val="both"/>
      </w:pPr>
      <w:bookmarkStart w:id="27" w:name="_w5hyfwan6tot" w:colFirst="0" w:colLast="0"/>
      <w:bookmarkStart w:id="28" w:name="_Toc207275887"/>
      <w:bookmarkEnd w:id="27"/>
      <w:r>
        <w:lastRenderedPageBreak/>
        <w:t>2.4. Teorijski pregled kontrolnih varijabli</w:t>
      </w:r>
      <w:bookmarkEnd w:id="28"/>
    </w:p>
    <w:p w14:paraId="3CE0E1AF" w14:textId="77777777" w:rsidR="007A371C" w:rsidRPr="007A371C" w:rsidRDefault="007A371C" w:rsidP="007A371C"/>
    <w:p w14:paraId="4749BA76" w14:textId="77777777" w:rsidR="00B92FBB" w:rsidRDefault="008A09CC">
      <w:pPr>
        <w:spacing w:line="360" w:lineRule="auto"/>
        <w:jc w:val="both"/>
      </w:pPr>
      <w:r>
        <w:t>U ovom dijelu rada prikazat će se teorijsko razumijevanje ključnih kontrolnih varijabli koje se koriste u modelu - profitabilnosti (ROA i ROE), rasta prihoda i kapitalne intenzivnosti.</w:t>
      </w:r>
    </w:p>
    <w:p w14:paraId="771EC08E" w14:textId="77777777" w:rsidR="007A371C" w:rsidRDefault="007A371C">
      <w:pPr>
        <w:spacing w:line="360" w:lineRule="auto"/>
        <w:jc w:val="both"/>
      </w:pPr>
    </w:p>
    <w:p w14:paraId="72832BB6" w14:textId="77777777" w:rsidR="00B92FBB" w:rsidRDefault="008A09CC">
      <w:pPr>
        <w:pStyle w:val="Naslov4"/>
        <w:spacing w:line="360" w:lineRule="auto"/>
        <w:jc w:val="both"/>
      </w:pPr>
      <w:bookmarkStart w:id="29" w:name="_uf671np42wn" w:colFirst="0" w:colLast="0"/>
      <w:bookmarkEnd w:id="29"/>
      <w:r>
        <w:t>2.4.1. Profitabilnost (ROA, ROE)</w:t>
      </w:r>
    </w:p>
    <w:p w14:paraId="07F0E36D" w14:textId="77777777" w:rsidR="007A371C" w:rsidRPr="007A371C" w:rsidRDefault="007A371C" w:rsidP="007A371C"/>
    <w:p w14:paraId="2D30E612" w14:textId="104E8101" w:rsidR="00B92FBB" w:rsidRDefault="008A09CC">
      <w:pPr>
        <w:spacing w:line="360" w:lineRule="auto"/>
        <w:jc w:val="both"/>
      </w:pPr>
      <w:r>
        <w:t>Profitabilnost se najčešće mjeri kroz dva pokazatelja – povrat na imovinu (ROA) i povrat na kapital (ROE). ROA pokazuje koliko učinkovito poduzeće koristi ukupnu imovinu za ostvarivanje dobiti (</w:t>
      </w:r>
      <w:proofErr w:type="spellStart"/>
      <w:r>
        <w:t>Shim</w:t>
      </w:r>
      <w:proofErr w:type="spellEnd"/>
      <w:r>
        <w:t xml:space="preserve"> </w:t>
      </w:r>
      <w:r w:rsidR="008F7038">
        <w:t>i</w:t>
      </w:r>
      <w:r>
        <w:t xml:space="preserve"> </w:t>
      </w:r>
      <w:proofErr w:type="spellStart"/>
      <w:r>
        <w:t>Siegel</w:t>
      </w:r>
      <w:proofErr w:type="spellEnd"/>
      <w:r>
        <w:t>, 20</w:t>
      </w:r>
      <w:r w:rsidR="008F7038">
        <w:t>07</w:t>
      </w:r>
      <w:r>
        <w:t xml:space="preserve">, str </w:t>
      </w:r>
      <w:r w:rsidR="008F7038">
        <w:t>33</w:t>
      </w:r>
      <w:r>
        <w:t>). Kada je ROA visoka, znači da resursi dobro „rade“ u korist poduzeća i stvaraju stabilnu osnovu poslovanja. ROE, s druge strane, mjeri koliko uspješno poduzeće nagrađuje kapital koji su uložili vlasnici. Visoka vrijednost ROE ukazuje na to da vlasnički kapital generira zadovoljavajući povrat (Orsag, 2015</w:t>
      </w:r>
      <w:r w:rsidR="008F7038">
        <w:t>, str. 110</w:t>
      </w:r>
      <w:r>
        <w:t>).</w:t>
      </w:r>
    </w:p>
    <w:p w14:paraId="47F70B3E" w14:textId="77777777" w:rsidR="00B92FBB" w:rsidRDefault="00B92FBB">
      <w:pPr>
        <w:spacing w:line="360" w:lineRule="auto"/>
        <w:jc w:val="both"/>
      </w:pPr>
    </w:p>
    <w:p w14:paraId="6B772708" w14:textId="30FC136D" w:rsidR="00B92FBB" w:rsidRDefault="008A09CC">
      <w:pPr>
        <w:spacing w:line="360" w:lineRule="auto"/>
        <w:jc w:val="both"/>
      </w:pPr>
      <w:r>
        <w:t>Zajedno, ROA i ROE nude širu sliku profitabilnosti i strukture financiranja. Razlika između njih često otkriva koliko se poduzeće oslanja na dug. Primjerice, ako je ROE znatno viši od ROA, to obično znači da profitabilnost proizlazi i iz korištenja financijske poluge. Upravo tu dolazi do izražaja veza s likvidnošću. Poduzeća s većom profitabilnošću lakše stvaraju interne izvore financiranja (Benić, 2016</w:t>
      </w:r>
      <w:r w:rsidR="008F7038">
        <w:t>, str. 380</w:t>
      </w:r>
      <w:r>
        <w:t>). Time im je omogućeno održavanje kratkoročnih sredstava čak i u razdobljima tržišne nestabilnosti. Suprotno tome, niska profitabilnost smanjuje te mogućnosti i povećava pritisak na likvidnost jer vlastita sredstva nisu dovoljna za pokrivanje kratkoročnih obveza.</w:t>
      </w:r>
    </w:p>
    <w:p w14:paraId="5521521E" w14:textId="77777777" w:rsidR="00B92FBB" w:rsidRDefault="00B92FBB">
      <w:pPr>
        <w:spacing w:line="360" w:lineRule="auto"/>
        <w:jc w:val="both"/>
      </w:pPr>
    </w:p>
    <w:p w14:paraId="7A583E9C" w14:textId="77777777" w:rsidR="00B92FBB" w:rsidRDefault="008A09CC">
      <w:pPr>
        <w:spacing w:line="360" w:lineRule="auto"/>
        <w:jc w:val="both"/>
      </w:pPr>
      <w:r>
        <w:t>Ista se logika može primijeniti i na zaduženost. Kada su povrati visoki, dug se lakše financira jer snažniji novčani tokovi podupiru stabilnost poslovanja. Suprotno tome, u situacijama kada je profitabilnost niska, zaduženost postaje teret koji može ugroziti likvidnost i povećati rizik od financijskih poteškoća.</w:t>
      </w:r>
    </w:p>
    <w:p w14:paraId="2666CE3A" w14:textId="77777777" w:rsidR="00B92FBB" w:rsidRDefault="00B92FBB">
      <w:pPr>
        <w:spacing w:line="360" w:lineRule="auto"/>
        <w:jc w:val="both"/>
      </w:pPr>
    </w:p>
    <w:p w14:paraId="51023BBF" w14:textId="77777777" w:rsidR="00B92FBB" w:rsidRDefault="008A09CC">
      <w:pPr>
        <w:pStyle w:val="Naslov4"/>
        <w:spacing w:line="360" w:lineRule="auto"/>
        <w:jc w:val="both"/>
      </w:pPr>
      <w:bookmarkStart w:id="30" w:name="_o0tzhd2x2tor" w:colFirst="0" w:colLast="0"/>
      <w:bookmarkEnd w:id="30"/>
      <w:r>
        <w:t>2.4.2. Kapitalna intenzivnost</w:t>
      </w:r>
    </w:p>
    <w:p w14:paraId="5DBADC76" w14:textId="77777777" w:rsidR="00B92FBB" w:rsidRDefault="00B92FBB">
      <w:pPr>
        <w:spacing w:line="360" w:lineRule="auto"/>
        <w:jc w:val="both"/>
      </w:pPr>
    </w:p>
    <w:p w14:paraId="64A87F0B" w14:textId="57E021FC" w:rsidR="00B92FBB" w:rsidRDefault="008A09CC">
      <w:pPr>
        <w:spacing w:line="360" w:lineRule="auto"/>
        <w:jc w:val="both"/>
      </w:pPr>
      <w:r>
        <w:t>Kapitalna intenzivnost (KI) mjeri u kojoj je mjeri poslovanje vezano uz dugotrajnu imovinu poput strojeva, opreme ili građevina (</w:t>
      </w:r>
      <w:proofErr w:type="spellStart"/>
      <w:r>
        <w:t>Shim</w:t>
      </w:r>
      <w:proofErr w:type="spellEnd"/>
      <w:r>
        <w:t xml:space="preserve"> i </w:t>
      </w:r>
      <w:proofErr w:type="spellStart"/>
      <w:r>
        <w:t>Siegel</w:t>
      </w:r>
      <w:proofErr w:type="spellEnd"/>
      <w:r>
        <w:t>, 20</w:t>
      </w:r>
      <w:r w:rsidR="008F7038">
        <w:t>07, str. 32</w:t>
      </w:r>
      <w:r>
        <w:t>). U sektorima poput prerađivačke industrije, transporta ili logistike češće je viša jer konkurentnost u takvim sektorima zahtijeva značajna ulaganja u infrastrukturu.</w:t>
      </w:r>
    </w:p>
    <w:p w14:paraId="2F1EC395" w14:textId="77777777" w:rsidR="00B92FBB" w:rsidRDefault="00B92FBB">
      <w:pPr>
        <w:spacing w:line="360" w:lineRule="auto"/>
        <w:jc w:val="both"/>
      </w:pPr>
    </w:p>
    <w:p w14:paraId="4A41E4E6" w14:textId="4AA57232" w:rsidR="00B92FBB" w:rsidRDefault="008A09CC">
      <w:pPr>
        <w:spacing w:line="360" w:lineRule="auto"/>
        <w:jc w:val="both"/>
      </w:pPr>
      <w:r>
        <w:lastRenderedPageBreak/>
        <w:t>Visoka kapitalna intenzivnost često ograničava likvidnost jer je velik dio sredstava „vezan“ u imovini koja se ne može lako pretvoriti u gotovinu (Benić, 2016</w:t>
      </w:r>
      <w:r w:rsidR="008F7038">
        <w:t>, str. 138</w:t>
      </w:r>
      <w:r>
        <w:t>). Osim toga, takve investicije rijetko se financiraju isključivo vlastitim kapitalom pa poduzeća češće pribjegavaju zaduživanju. Suprotno tome, poduzeća s nižom kapitalnom intenzivnošću fleksibilnija su u upravljanju imovinom i dugom (Orsag, 2015</w:t>
      </w:r>
      <w:r w:rsidR="008F7038">
        <w:t>, str. 478</w:t>
      </w:r>
      <w:r>
        <w:t>).</w:t>
      </w:r>
    </w:p>
    <w:p w14:paraId="5CF7271E" w14:textId="77777777" w:rsidR="00B92FBB" w:rsidRDefault="00B92FBB">
      <w:pPr>
        <w:spacing w:line="360" w:lineRule="auto"/>
        <w:jc w:val="both"/>
      </w:pPr>
    </w:p>
    <w:p w14:paraId="10A48264" w14:textId="77777777" w:rsidR="00B92FBB" w:rsidRDefault="008A09CC">
      <w:pPr>
        <w:spacing w:line="360" w:lineRule="auto"/>
        <w:jc w:val="both"/>
      </w:pPr>
      <w:r>
        <w:t>Uključivanje pokazatelja kapitalne intenzivnosti u analizu omogućuje razumijevanje načina na koji struktura imovine oblikuje likvidnost. Što je udio dugotrajne imovine u bilanci veći, to je manja fleksibilnost poduzeća u osiguravanju potrebne gotovine u kratkom roku.</w:t>
      </w:r>
    </w:p>
    <w:p w14:paraId="36155A48" w14:textId="77777777" w:rsidR="007A371C" w:rsidRDefault="007A371C">
      <w:pPr>
        <w:spacing w:line="360" w:lineRule="auto"/>
        <w:jc w:val="both"/>
      </w:pPr>
    </w:p>
    <w:p w14:paraId="122AFDAA" w14:textId="77777777" w:rsidR="00B92FBB" w:rsidRDefault="008A09CC">
      <w:pPr>
        <w:pStyle w:val="Naslov4"/>
        <w:spacing w:line="360" w:lineRule="auto"/>
        <w:jc w:val="both"/>
      </w:pPr>
      <w:bookmarkStart w:id="31" w:name="_366lqwgh0jhp" w:colFirst="0" w:colLast="0"/>
      <w:bookmarkEnd w:id="31"/>
      <w:r>
        <w:t>2.4.3. Postotni rast prodaje</w:t>
      </w:r>
    </w:p>
    <w:p w14:paraId="520C0D85" w14:textId="77777777" w:rsidR="007A371C" w:rsidRPr="007A371C" w:rsidRDefault="007A371C" w:rsidP="007A371C"/>
    <w:p w14:paraId="1652133D" w14:textId="75D2E768" w:rsidR="00B92FBB" w:rsidRDefault="008A09CC">
      <w:pPr>
        <w:spacing w:line="360" w:lineRule="auto"/>
        <w:jc w:val="both"/>
      </w:pPr>
      <w:r>
        <w:t>Rast prihoda često se promatra kao pokazatelj dobrog poslovanja, no njegov utjecaj na likvidnost nije uvijek jednoznačan. Kada prihodi rastu postupno i stabilno, poduzeće lakše izdvaja sredstva za obrtni kapital čime se pridonosi očuvanju likvidnosti. Nasuprot tome, nagli rast prihoda može stvarati dodatni pritisak jer zahtijeva veća ulaganja u zalihe, radnu snagu i operativne kapacitete pa se sredstva brzo iscrpljuju (Orsag, 2015</w:t>
      </w:r>
      <w:r w:rsidR="008F7038">
        <w:t>, str. 111</w:t>
      </w:r>
      <w:r>
        <w:t>).</w:t>
      </w:r>
    </w:p>
    <w:p w14:paraId="65B8D2A4" w14:textId="77777777" w:rsidR="00B92FBB" w:rsidRDefault="00B92FBB">
      <w:pPr>
        <w:spacing w:line="360" w:lineRule="auto"/>
        <w:jc w:val="both"/>
      </w:pPr>
    </w:p>
    <w:p w14:paraId="7E75C25A" w14:textId="461A8576" w:rsidR="00B92FBB" w:rsidRDefault="008A09CC">
      <w:pPr>
        <w:spacing w:line="360" w:lineRule="auto"/>
        <w:jc w:val="both"/>
      </w:pPr>
      <w:r>
        <w:t>Ovakvi izazovi posebno su izraženi u sektorima s izraženim sezonskim karakterima poput turizma i prijevoza. U tim okolnostima povezanost rasta prihoda i financijske poluge postaje još jasnija. Kada unutarnji izvori nisu dovoljni da pokriju povećane potrebe, poduzeća se počinju oslanjaju na vanjsko financiranje (</w:t>
      </w:r>
      <w:proofErr w:type="spellStart"/>
      <w:r>
        <w:t>Pindyck</w:t>
      </w:r>
      <w:proofErr w:type="spellEnd"/>
      <w:r>
        <w:t xml:space="preserve"> </w:t>
      </w:r>
      <w:r w:rsidR="008F7038">
        <w:t>i</w:t>
      </w:r>
      <w:r>
        <w:t xml:space="preserve"> </w:t>
      </w:r>
      <w:proofErr w:type="spellStart"/>
      <w:r>
        <w:t>Rubinfeld</w:t>
      </w:r>
      <w:proofErr w:type="spellEnd"/>
      <w:r>
        <w:t>, 2013</w:t>
      </w:r>
      <w:r w:rsidR="008F7038">
        <w:t xml:space="preserve">, str. </w:t>
      </w:r>
      <w:r w:rsidR="00DF44C3">
        <w:t>257</w:t>
      </w:r>
      <w:r>
        <w:t xml:space="preserve">). Ako se rast prihoda </w:t>
      </w:r>
      <w:proofErr w:type="spellStart"/>
      <w:r>
        <w:t>uspor</w:t>
      </w:r>
      <w:proofErr w:type="spellEnd"/>
      <w:r>
        <w:t>, upravo taj dug može postati izvor nestabilnosti i ugroziti likvidnost.</w:t>
      </w:r>
      <w:r>
        <w:br w:type="page"/>
      </w:r>
    </w:p>
    <w:p w14:paraId="06AE02AA" w14:textId="77777777" w:rsidR="00B92FBB" w:rsidRDefault="00B92FBB">
      <w:pPr>
        <w:spacing w:line="360" w:lineRule="auto"/>
        <w:jc w:val="both"/>
      </w:pPr>
    </w:p>
    <w:p w14:paraId="5CA8F2EC" w14:textId="77777777" w:rsidR="00B92FBB" w:rsidRDefault="008A09CC" w:rsidP="007A371C">
      <w:pPr>
        <w:pStyle w:val="Naslov2"/>
        <w:numPr>
          <w:ilvl w:val="0"/>
          <w:numId w:val="7"/>
        </w:numPr>
      </w:pPr>
      <w:bookmarkStart w:id="32" w:name="_h9zqmuk2mcip" w:colFirst="0" w:colLast="0"/>
      <w:bookmarkStart w:id="33" w:name="_Toc207275888"/>
      <w:bookmarkEnd w:id="32"/>
      <w:r>
        <w:t>Pregled relevantnih istraživanja</w:t>
      </w:r>
      <w:bookmarkEnd w:id="33"/>
    </w:p>
    <w:p w14:paraId="62A07811" w14:textId="77777777" w:rsidR="007A371C" w:rsidRDefault="007A371C" w:rsidP="007A371C"/>
    <w:p w14:paraId="2E2DF9C6" w14:textId="63BEF700" w:rsidR="007A371C" w:rsidRPr="007A371C" w:rsidRDefault="007A371C" w:rsidP="007A371C">
      <w:pPr>
        <w:spacing w:line="360" w:lineRule="auto"/>
        <w:jc w:val="both"/>
      </w:pPr>
      <w:r w:rsidRPr="007A371C">
        <w:t>U ovom se poglavlju razmatraju domaća i međunarodna istraživanja koja su analizirala utjecaj strukture kapitala, profitabilnosti i drugih financijskih pokazatelja na likvidnost poduzeća. Naglasak je stavljen na dobivene rezultate te specifičnosti pojedinih sektora i tržišta.</w:t>
      </w:r>
    </w:p>
    <w:p w14:paraId="587C264B" w14:textId="77777777" w:rsidR="00B92FBB" w:rsidRDefault="008A09CC">
      <w:pPr>
        <w:pStyle w:val="Naslov3"/>
      </w:pPr>
      <w:bookmarkStart w:id="34" w:name="_x0kkzt6qbxmp" w:colFirst="0" w:colLast="0"/>
      <w:bookmarkStart w:id="35" w:name="_Toc207275889"/>
      <w:bookmarkEnd w:id="34"/>
      <w:r>
        <w:t>3.1. Istraživanja provedena u Hrvatskoj</w:t>
      </w:r>
      <w:bookmarkEnd w:id="35"/>
    </w:p>
    <w:p w14:paraId="2DD5EDEE" w14:textId="77777777" w:rsidR="00B92FBB" w:rsidRDefault="00B92FBB"/>
    <w:p w14:paraId="03157F68" w14:textId="77777777" w:rsidR="00B92FBB" w:rsidRDefault="008A09CC">
      <w:pPr>
        <w:spacing w:line="360" w:lineRule="auto"/>
        <w:jc w:val="both"/>
      </w:pPr>
      <w:r>
        <w:t xml:space="preserve">U domaćoj literaturi, Šarlija i </w:t>
      </w:r>
      <w:proofErr w:type="spellStart"/>
      <w:r>
        <w:t>Harc</w:t>
      </w:r>
      <w:proofErr w:type="spellEnd"/>
      <w:r>
        <w:t xml:space="preserve"> nalaze statistički značajne veze između </w:t>
      </w:r>
      <w:proofErr w:type="spellStart"/>
      <w:r>
        <w:t>likvidnosnih</w:t>
      </w:r>
      <w:proofErr w:type="spellEnd"/>
      <w:r>
        <w:t xml:space="preserve"> pokazatelja i razine zaduženosti, kao i između strukture kratkotrajne imovine i poluge. Ukratko, promjene u likvidnosti prate i promjene u osloncu na dug. Smjer te veze nije uvijek jednoznačan, ali povezanost postoji.</w:t>
      </w:r>
    </w:p>
    <w:p w14:paraId="6AC5783E" w14:textId="77777777" w:rsidR="00B92FBB" w:rsidRDefault="00B92FBB">
      <w:pPr>
        <w:spacing w:line="360" w:lineRule="auto"/>
        <w:jc w:val="both"/>
      </w:pPr>
    </w:p>
    <w:p w14:paraId="34A2DCF6" w14:textId="77777777" w:rsidR="00B92FBB" w:rsidRDefault="008A09CC">
      <w:pPr>
        <w:spacing w:line="360" w:lineRule="auto"/>
        <w:jc w:val="both"/>
      </w:pPr>
      <w:r>
        <w:t>Na uzorku poduzeća koja kotiraju na burzi (CROBEX) uočava se poseban obrazac: mnoga poduzeća svjesno izbjegavaju korištenje duga pa razina poluge ostaje niska. To mijenja i odnos prema likvidnosti. S jedne strane postoji manji pritisak na novčane tokove, ali s druge strane izostaje „disciplinirajući“ učinak zaduženosti (</w:t>
      </w:r>
      <w:proofErr w:type="spellStart"/>
      <w:r>
        <w:t>Karanović</w:t>
      </w:r>
      <w:proofErr w:type="spellEnd"/>
      <w:r>
        <w:t xml:space="preserve">, Nikolić i </w:t>
      </w:r>
      <w:proofErr w:type="spellStart"/>
      <w:r>
        <w:t>Karanović</w:t>
      </w:r>
      <w:proofErr w:type="spellEnd"/>
      <w:r>
        <w:t>, 2019).</w:t>
      </w:r>
    </w:p>
    <w:p w14:paraId="67038C47" w14:textId="77777777" w:rsidR="00B92FBB" w:rsidRDefault="00B92FBB">
      <w:pPr>
        <w:spacing w:line="360" w:lineRule="auto"/>
        <w:jc w:val="both"/>
      </w:pPr>
    </w:p>
    <w:p w14:paraId="0E296181" w14:textId="77777777" w:rsidR="00B92FBB" w:rsidRDefault="008A09CC">
      <w:pPr>
        <w:spacing w:line="360" w:lineRule="auto"/>
        <w:jc w:val="both"/>
      </w:pPr>
      <w:r>
        <w:t>Postoje i radovi koji izravno povezuju financijsku strukturu i profitabilnost na hrvatskom uzorku. Zaključci idu u istom smjeru: viša poluga sama po sebi nije problem, ali u razdobljima negativnih ciklusa ili kada su ROA i ROE niski, trošak duga brže „pojede“ maržu (</w:t>
      </w:r>
      <w:proofErr w:type="spellStart"/>
      <w:r>
        <w:t>Učkar</w:t>
      </w:r>
      <w:proofErr w:type="spellEnd"/>
      <w:r>
        <w:t xml:space="preserve"> i </w:t>
      </w:r>
      <w:proofErr w:type="spellStart"/>
      <w:r>
        <w:t>Urti</w:t>
      </w:r>
      <w:proofErr w:type="spellEnd"/>
      <w:r>
        <w:t>, 2015).</w:t>
      </w:r>
    </w:p>
    <w:p w14:paraId="648E3FF1" w14:textId="77777777" w:rsidR="00B92FBB" w:rsidRDefault="00B92FBB">
      <w:pPr>
        <w:spacing w:line="360" w:lineRule="auto"/>
        <w:jc w:val="both"/>
      </w:pPr>
    </w:p>
    <w:p w14:paraId="4037F597" w14:textId="77777777" w:rsidR="00B92FBB" w:rsidRDefault="008A09CC">
      <w:pPr>
        <w:spacing w:line="360" w:lineRule="auto"/>
        <w:jc w:val="both"/>
      </w:pPr>
      <w:r>
        <w:t>Kontrolne varijable također potvrđuju specifičnosti hrvatskog konteksta. Profitabilnost (ROA/ROE) obično se kreće obrnuto od poluge pa poduzeća s boljim pokazateljima lakše osiguravaju likvidnost iz internih izvora. Rast prihoda (PP) često „zateže“ obrtni kapital, osobito u sezonskim djelatnostima, pa se privremeno smanjuje likvidnost i povećava oslanjanje na kreditne linije. Viša kapitalna intenzivnost (KI) ide ruku pod ruku s većom zaduženošću, a time i s većim rizikom pada likvidnosti kada se ciklus preokrene (Mostarac i Petrović, 2013).</w:t>
      </w:r>
    </w:p>
    <w:p w14:paraId="4DBE7B1A" w14:textId="77777777" w:rsidR="00ED1E92" w:rsidRDefault="00ED1E92">
      <w:pPr>
        <w:spacing w:line="360" w:lineRule="auto"/>
        <w:jc w:val="both"/>
      </w:pPr>
    </w:p>
    <w:p w14:paraId="3DD5710E" w14:textId="77777777" w:rsidR="00B92FBB" w:rsidRDefault="008A09CC">
      <w:pPr>
        <w:pStyle w:val="Naslov3"/>
      </w:pPr>
      <w:bookmarkStart w:id="36" w:name="_9ot1glb871g1" w:colFirst="0" w:colLast="0"/>
      <w:bookmarkStart w:id="37" w:name="_Toc207275890"/>
      <w:bookmarkEnd w:id="36"/>
      <w:r>
        <w:t>3.2. Međunarodna istraživanja</w:t>
      </w:r>
      <w:bookmarkEnd w:id="37"/>
    </w:p>
    <w:p w14:paraId="5D4C3389" w14:textId="77777777" w:rsidR="00ED1E92" w:rsidRPr="00ED1E92" w:rsidRDefault="00ED1E92" w:rsidP="00ED1E92"/>
    <w:p w14:paraId="405EFFB3" w14:textId="6C3F5630" w:rsidR="00B92FBB" w:rsidRDefault="008A09CC">
      <w:pPr>
        <w:spacing w:line="360" w:lineRule="auto"/>
        <w:jc w:val="both"/>
      </w:pPr>
      <w:r>
        <w:t xml:space="preserve">Rani i klasični radovi pokazuju da viša razina poluge često smanjuje gotovinske rezerve poduzeća. Redovite obveze otplate duga guraju ih prema nižoj likvidnosti, što </w:t>
      </w:r>
      <w:r w:rsidR="00E173EE">
        <w:t>potvrđuje</w:t>
      </w:r>
      <w:r w:rsidR="00A318B5">
        <w:t xml:space="preserve"> </w:t>
      </w:r>
      <w:r w:rsidR="00A318B5">
        <w:lastRenderedPageBreak/>
        <w:t xml:space="preserve">istraživanje </w:t>
      </w:r>
      <w:proofErr w:type="spellStart"/>
      <w:r>
        <w:t>Oplera</w:t>
      </w:r>
      <w:proofErr w:type="spellEnd"/>
      <w:r w:rsidR="00A318B5">
        <w:t xml:space="preserve"> i suradnika iz 2009.</w:t>
      </w:r>
      <w:r>
        <w:t xml:space="preserve"> na velikim američkim uzorcima, a kasnije i </w:t>
      </w:r>
      <w:proofErr w:type="spellStart"/>
      <w:r>
        <w:t>Ferreira</w:t>
      </w:r>
      <w:proofErr w:type="spellEnd"/>
      <w:r>
        <w:t xml:space="preserve"> i </w:t>
      </w:r>
      <w:proofErr w:type="spellStart"/>
      <w:r>
        <w:t>Vilela</w:t>
      </w:r>
      <w:proofErr w:type="spellEnd"/>
      <w:r w:rsidR="00A318B5">
        <w:t xml:space="preserve"> iz 2004.</w:t>
      </w:r>
      <w:r>
        <w:t xml:space="preserve"> u europskom kontekstu monetarne unije.</w:t>
      </w:r>
    </w:p>
    <w:p w14:paraId="17845929" w14:textId="77777777" w:rsidR="00B92FBB" w:rsidRDefault="00B92FBB">
      <w:pPr>
        <w:spacing w:line="360" w:lineRule="auto"/>
        <w:jc w:val="both"/>
      </w:pPr>
    </w:p>
    <w:p w14:paraId="4B5D3949" w14:textId="5BC9124F" w:rsidR="00B92FBB" w:rsidRDefault="008A09CC">
      <w:pPr>
        <w:spacing w:line="360" w:lineRule="auto"/>
        <w:jc w:val="both"/>
      </w:pPr>
      <w:r>
        <w:t xml:space="preserve">Druga linija literature naglašava tzv. </w:t>
      </w:r>
      <w:proofErr w:type="spellStart"/>
      <w:r>
        <w:t>hedging</w:t>
      </w:r>
      <w:proofErr w:type="spellEnd"/>
      <w:r>
        <w:t xml:space="preserve"> motiv. U uvjetima visoke neizvjesnosti ili skupljeg pristupa tržištima kapitala, poduzeća često povećavaju gotovinske rezerve, ali ne smanjuju razinu duga u isto vrijeme (</w:t>
      </w:r>
      <w:proofErr w:type="spellStart"/>
      <w:r>
        <w:t>Acharya</w:t>
      </w:r>
      <w:proofErr w:type="spellEnd"/>
      <w:r>
        <w:t xml:space="preserve">, </w:t>
      </w:r>
      <w:proofErr w:type="spellStart"/>
      <w:r>
        <w:t>Almeida</w:t>
      </w:r>
      <w:proofErr w:type="spellEnd"/>
      <w:r w:rsidR="0043109A">
        <w:t xml:space="preserve"> i</w:t>
      </w:r>
      <w:r>
        <w:t xml:space="preserve"> </w:t>
      </w:r>
      <w:proofErr w:type="spellStart"/>
      <w:r>
        <w:t>Campello</w:t>
      </w:r>
      <w:proofErr w:type="spellEnd"/>
      <w:r>
        <w:t>, 2005).</w:t>
      </w:r>
    </w:p>
    <w:p w14:paraId="526B729F" w14:textId="77777777" w:rsidR="00B92FBB" w:rsidRDefault="00B92FBB">
      <w:pPr>
        <w:spacing w:line="360" w:lineRule="auto"/>
        <w:jc w:val="both"/>
      </w:pPr>
    </w:p>
    <w:p w14:paraId="7F191413" w14:textId="77777777" w:rsidR="00B92FBB" w:rsidRDefault="008A09CC">
      <w:pPr>
        <w:spacing w:line="360" w:lineRule="auto"/>
        <w:jc w:val="both"/>
      </w:pPr>
      <w:r>
        <w:t xml:space="preserve">U novijim globalnim izvještajima (OECD, BIS) naglašavaju se </w:t>
      </w:r>
      <w:proofErr w:type="spellStart"/>
      <w:r>
        <w:t>refinancijski</w:t>
      </w:r>
      <w:proofErr w:type="spellEnd"/>
      <w:r>
        <w:t xml:space="preserve"> rizici i rast troška kapitala. Velik dio korporativnih obveznica dospijeva do 2026. pri čemu kvaliteta duga nije jednaka među poduzećima i tržištima. Takvi uvjeti povećavaju ranjivost visoko zaduženih društava te se brzo prelijevaju na njihovu likvidnost.</w:t>
      </w:r>
    </w:p>
    <w:p w14:paraId="002426B3" w14:textId="77777777" w:rsidR="00B92FBB" w:rsidRDefault="00B92FBB">
      <w:pPr>
        <w:spacing w:line="360" w:lineRule="auto"/>
        <w:jc w:val="both"/>
      </w:pPr>
    </w:p>
    <w:p w14:paraId="05ED5601" w14:textId="77777777" w:rsidR="00B92FBB" w:rsidRDefault="008A09CC">
      <w:pPr>
        <w:spacing w:line="360" w:lineRule="auto"/>
        <w:jc w:val="both"/>
      </w:pPr>
      <w:r>
        <w:t xml:space="preserve">Pandemija COVID-19 bila je poseban test. Prema izvještajima IMF-a, Hrvatska je 2020. zabilježila oštar pad prihoda od turizma dok su javne mjere, uključujući povoljne kredite, moratorije i dodatne programe financiranja, pomogle održati novčane tokove. To je kratkoročno povećalo likvidnost, ali je dugoročno ostavilo poduzeća s višom razinom zaduženosti (International </w:t>
      </w:r>
      <w:proofErr w:type="spellStart"/>
      <w:r>
        <w:t>Monetary</w:t>
      </w:r>
      <w:proofErr w:type="spellEnd"/>
      <w:r>
        <w:t xml:space="preserve"> </w:t>
      </w:r>
      <w:proofErr w:type="spellStart"/>
      <w:r>
        <w:t>Fund</w:t>
      </w:r>
      <w:proofErr w:type="spellEnd"/>
      <w:r>
        <w:t>, 2021).</w:t>
      </w:r>
    </w:p>
    <w:p w14:paraId="7D0927F2" w14:textId="77777777" w:rsidR="00B92FBB" w:rsidRDefault="00B92FBB">
      <w:pPr>
        <w:spacing w:line="360" w:lineRule="auto"/>
        <w:jc w:val="both"/>
      </w:pPr>
    </w:p>
    <w:p w14:paraId="634E7758" w14:textId="7053EC02" w:rsidR="00B92FBB" w:rsidRDefault="008A09CC">
      <w:pPr>
        <w:spacing w:line="360" w:lineRule="auto"/>
        <w:jc w:val="both"/>
      </w:pPr>
      <w:r>
        <w:t xml:space="preserve">Dosadašnja literatura uglavnom potvrđuje osnovni mehanizam. Dug smanjuje likvidnost kad je profitabilnost niska, a gotovina dobiva na važnosti u krizama. Unatoč tome, Hrvatskoj nedostaju dublje, sektorski raščlanjene analize. Ovaj rad popunjava tu prazninu kombinirajući sektorsku usporedbu (C, H, I, N) i dinamički panel za razdoblje od 2008. do 2023. s naglaskom na iste jedinke </w:t>
      </w:r>
      <w:r w:rsidR="00E173EE">
        <w:t>za</w:t>
      </w:r>
      <w:r>
        <w:t xml:space="preserve"> sve godine.</w:t>
      </w:r>
    </w:p>
    <w:p w14:paraId="54454B67" w14:textId="77777777" w:rsidR="00B92FBB" w:rsidRDefault="00B92FBB"/>
    <w:p w14:paraId="016A7F7F" w14:textId="77777777" w:rsidR="00B92FBB" w:rsidRDefault="00B92FBB"/>
    <w:p w14:paraId="6DA9CCC7" w14:textId="77777777" w:rsidR="00B92FBB" w:rsidRDefault="008A09CC">
      <w:pPr>
        <w:spacing w:line="360" w:lineRule="auto"/>
        <w:jc w:val="both"/>
      </w:pPr>
      <w:r>
        <w:br w:type="page"/>
      </w:r>
    </w:p>
    <w:p w14:paraId="2621DD7D" w14:textId="77777777" w:rsidR="00B92FBB" w:rsidRDefault="008A09CC" w:rsidP="007A371C">
      <w:pPr>
        <w:pStyle w:val="Naslov2"/>
        <w:numPr>
          <w:ilvl w:val="0"/>
          <w:numId w:val="7"/>
        </w:numPr>
      </w:pPr>
      <w:bookmarkStart w:id="38" w:name="_nltt6dvku84t" w:colFirst="0" w:colLast="0"/>
      <w:bookmarkStart w:id="39" w:name="_Toc207275891"/>
      <w:bookmarkEnd w:id="38"/>
      <w:r>
        <w:lastRenderedPageBreak/>
        <w:t>Istraživanje utjecaja financijske poluge na likvidnost poduzeća</w:t>
      </w:r>
      <w:bookmarkEnd w:id="39"/>
    </w:p>
    <w:p w14:paraId="6BF6B30D" w14:textId="77777777" w:rsidR="00EB010F" w:rsidRDefault="00EB010F" w:rsidP="00EB010F"/>
    <w:p w14:paraId="7C3AD8B3" w14:textId="7ADA53B0" w:rsidR="00B92FBB" w:rsidRDefault="00EB010F" w:rsidP="00EB010F">
      <w:pPr>
        <w:spacing w:line="360" w:lineRule="auto"/>
        <w:jc w:val="both"/>
      </w:pPr>
      <w:r w:rsidRPr="00EB010F">
        <w:t>Ovo poglavlje donosi rezultate istraživanja o utjecaju financijske poluge na likvidnost poduzeća u Hrvatskoj. Analiza obuhvaća četiri ključna sektora gospodarstva te daje uvid u razlike i obrasce koji proizlaze iz njihove strukture poslovanja i financiranja.</w:t>
      </w:r>
    </w:p>
    <w:p w14:paraId="7AD7B252" w14:textId="77777777" w:rsidR="00ED1E92" w:rsidRDefault="00ED1E92" w:rsidP="00EB010F">
      <w:pPr>
        <w:spacing w:line="360" w:lineRule="auto"/>
        <w:jc w:val="both"/>
      </w:pPr>
    </w:p>
    <w:p w14:paraId="7898587D" w14:textId="705102CE" w:rsidR="00B92FBB" w:rsidRDefault="008A09CC" w:rsidP="00ED1E92">
      <w:pPr>
        <w:pStyle w:val="Naslov3"/>
        <w:numPr>
          <w:ilvl w:val="1"/>
          <w:numId w:val="7"/>
        </w:numPr>
      </w:pPr>
      <w:bookmarkStart w:id="40" w:name="_wbjapo732kno" w:colFirst="0" w:colLast="0"/>
      <w:bookmarkStart w:id="41" w:name="_Toc207275892"/>
      <w:bookmarkEnd w:id="40"/>
      <w:r>
        <w:t>Opis uzorka</w:t>
      </w:r>
      <w:bookmarkEnd w:id="41"/>
    </w:p>
    <w:p w14:paraId="35E0134B" w14:textId="77777777" w:rsidR="00ED1E92" w:rsidRPr="00ED1E92" w:rsidRDefault="00ED1E92" w:rsidP="00ED1E92"/>
    <w:p w14:paraId="0787B138" w14:textId="77777777" w:rsidR="00B92FBB" w:rsidRDefault="008A09CC">
      <w:pPr>
        <w:spacing w:line="360" w:lineRule="auto"/>
        <w:jc w:val="both"/>
      </w:pPr>
      <w:r>
        <w:t xml:space="preserve">Uzorak obuhvaća poduzeća iz četiri područja Nacionalne klasifikacije djelatnosti (NKD 2025): područje C (prerađivačka industrija), područje H (prijevoz i skladištenje), područje I (djelatnosti pružanja smještaja te pripreme i usluživanja hrane) te područje N (administrativne i pomoćne uslužne djelatnosti). </w:t>
      </w:r>
    </w:p>
    <w:p w14:paraId="7BA663EB" w14:textId="77777777" w:rsidR="00B92FBB" w:rsidRDefault="00B92FBB">
      <w:pPr>
        <w:spacing w:line="360" w:lineRule="auto"/>
        <w:jc w:val="both"/>
      </w:pPr>
    </w:p>
    <w:p w14:paraId="39541F83" w14:textId="5880B27A" w:rsidR="00B92FBB" w:rsidRDefault="008A09CC">
      <w:pPr>
        <w:spacing w:line="360" w:lineRule="auto"/>
        <w:jc w:val="both"/>
      </w:pPr>
      <w:r>
        <w:t xml:space="preserve">Podaci su prikupljeni za razdoblje od 2008. do 2023. godine. U analizu su uključena isključivo poduzeća koja su u promatranom razdoblju kontinuirano poslovala. Na taj način formiran je uravnoteženi panel. Takav pristup odabran je kako bi se osigurala konzistentnost podataka kroz promatrano razdoblje i uklonio utjecaj poduzeća koja su u međuvremenu prestala poslovati ili nisu imala potpune podatke. </w:t>
      </w:r>
      <w:r w:rsidR="00E173EE">
        <w:t>Tako je</w:t>
      </w:r>
      <w:r>
        <w:t xml:space="preserve"> omogućena preciznija usporedba između godina i sektora uz smanjenje pristranosti rezultata. </w:t>
      </w:r>
    </w:p>
    <w:p w14:paraId="6B49C937" w14:textId="77777777" w:rsidR="00B92FBB" w:rsidRDefault="00B92FBB">
      <w:pPr>
        <w:spacing w:line="360" w:lineRule="auto"/>
        <w:jc w:val="both"/>
      </w:pPr>
    </w:p>
    <w:p w14:paraId="08B94103" w14:textId="652E782F" w:rsidR="00B92FBB" w:rsidRDefault="008A09CC">
      <w:pPr>
        <w:spacing w:line="360" w:lineRule="auto"/>
        <w:jc w:val="both"/>
      </w:pPr>
      <w:r>
        <w:t>Ukupno je u analizu uključeno 784 poduzeća raspoređenih po industrijama kako slijedi: iz područja C 415 poduzeća, iz područja H 114 poduzeća, iz područja I 161 poduzeća te iz područja N 94 poduzeća.</w:t>
      </w:r>
    </w:p>
    <w:p w14:paraId="45FFD7A5" w14:textId="77777777" w:rsidR="00B92FBB" w:rsidRDefault="00B92FBB">
      <w:pPr>
        <w:spacing w:line="360" w:lineRule="auto"/>
        <w:jc w:val="both"/>
      </w:pPr>
    </w:p>
    <w:p w14:paraId="0300C0B1" w14:textId="77777777" w:rsidR="00B92FBB" w:rsidRDefault="008A09CC">
      <w:pPr>
        <w:spacing w:line="360" w:lineRule="auto"/>
        <w:jc w:val="both"/>
      </w:pPr>
      <w:r>
        <w:t>Promatrani uzorak omogućuje sveobuhvatan prikaz sektora i zadržava njegovu prirodnu heterogenost. To znači da su u analizi obuhvaćena poduzeća različitih veličina, kapitalnih struktura i intenziteta poslovanja. Uzorak je, u usporedbi s većinom sličnih istraživanja, značajno veći, čime se povećava statistička pouzdanost i robusnost rezultata. Takva širina uzorka omogućuje precizniju identifikaciju sektorskih specifičnosti, općih trendova i pouzdanije zaključivanje o povezanosti financijske poluge i likvidnosti u promatranom razdoblju.</w:t>
      </w:r>
    </w:p>
    <w:p w14:paraId="55952313" w14:textId="77777777" w:rsidR="00ED1E92" w:rsidRDefault="00ED1E92">
      <w:pPr>
        <w:spacing w:line="360" w:lineRule="auto"/>
        <w:jc w:val="both"/>
      </w:pPr>
    </w:p>
    <w:p w14:paraId="4EED016B" w14:textId="01A675AD" w:rsidR="00B92FBB" w:rsidRDefault="008A09CC" w:rsidP="0043246A">
      <w:pPr>
        <w:pStyle w:val="Naslov3"/>
        <w:numPr>
          <w:ilvl w:val="1"/>
          <w:numId w:val="7"/>
        </w:numPr>
      </w:pPr>
      <w:bookmarkStart w:id="42" w:name="_6d6hq2de8xw" w:colFirst="0" w:colLast="0"/>
      <w:bookmarkStart w:id="43" w:name="_Toc207275893"/>
      <w:bookmarkEnd w:id="42"/>
      <w:r>
        <w:t>Područje C - Prerađivačka industrija</w:t>
      </w:r>
      <w:bookmarkEnd w:id="43"/>
    </w:p>
    <w:p w14:paraId="32154335" w14:textId="77777777" w:rsidR="00ED1E92" w:rsidRPr="00ED1E92" w:rsidRDefault="00ED1E92" w:rsidP="00ED1E92"/>
    <w:p w14:paraId="755C4BC6" w14:textId="76028DDD" w:rsidR="00B92FBB" w:rsidRDefault="007E5ECC">
      <w:pPr>
        <w:pStyle w:val="Naslov4"/>
      </w:pPr>
      <w:bookmarkStart w:id="44" w:name="_5dn5uaqh2dh7" w:colFirst="0" w:colLast="0"/>
      <w:bookmarkEnd w:id="44"/>
      <w:r>
        <w:lastRenderedPageBreak/>
        <w:t>4</w:t>
      </w:r>
      <w:r w:rsidR="008A09CC">
        <w:t>.</w:t>
      </w:r>
      <w:r>
        <w:t>2</w:t>
      </w:r>
      <w:r w:rsidR="008A09CC">
        <w:t>.1. Deskriptivna statistika</w:t>
      </w:r>
    </w:p>
    <w:p w14:paraId="70D3DCF8" w14:textId="77777777" w:rsidR="00B92FBB" w:rsidRDefault="00B92FBB"/>
    <w:p w14:paraId="0AD1019F" w14:textId="77777777" w:rsidR="00B92FBB" w:rsidRDefault="008A09CC">
      <w:pPr>
        <w:spacing w:line="360" w:lineRule="auto"/>
        <w:jc w:val="both"/>
      </w:pPr>
      <w:r>
        <w:t xml:space="preserve">Uzorak obuhvaća 415 poduzeća. Kao što se vidi u Tablici 1, distribucije su asimetrične, s mnogim ekstremima. To vrijedi za sve varijable. </w:t>
      </w:r>
    </w:p>
    <w:p w14:paraId="0F37D70E" w14:textId="77777777" w:rsidR="00B92FBB" w:rsidRDefault="008A09CC">
      <w:pPr>
        <w:spacing w:line="360" w:lineRule="auto"/>
        <w:jc w:val="both"/>
      </w:pPr>
      <w:r>
        <w:t>KTL (medijan 1,34) pokazuje vrlo visoke repove. Posebno se izdvajaju poduzeća ALU PROTEKT d.o.o. i ENERGY PELLETS d.o.o.. ALU PROTEKT bavi se proizvodnjom aluminijskih žaluzina, trakastih zavjesa i rolo sustava. Specifičan projektni model poslovanja i brza naplata potraživanja, uz minimalne kratkoročne obveze, u pojedinim godinama rezultiraju iznimno visokim vrijednostima likvidnosti koje dosežu i 104.646 (</w:t>
      </w:r>
      <w:proofErr w:type="spellStart"/>
      <w:r>
        <w:t>Aluprojekt</w:t>
      </w:r>
      <w:proofErr w:type="spellEnd"/>
      <w:r>
        <w:t xml:space="preserve">, </w:t>
      </w:r>
      <w:proofErr w:type="spellStart"/>
      <w:r>
        <w:t>n.d</w:t>
      </w:r>
      <w:proofErr w:type="spellEnd"/>
      <w:r>
        <w:t>.). Sličan obrazac vidljiv je kod ENERGY PELLETS-a, proizvođača drvenih peleta od kojih se oko 95 % izvozi na europska tržišta (</w:t>
      </w:r>
      <w:proofErr w:type="spellStart"/>
      <w:r>
        <w:t>Pellets</w:t>
      </w:r>
      <w:proofErr w:type="spellEnd"/>
      <w:r>
        <w:t xml:space="preserve">, </w:t>
      </w:r>
      <w:proofErr w:type="spellStart"/>
      <w:r>
        <w:t>n.d</w:t>
      </w:r>
      <w:proofErr w:type="spellEnd"/>
      <w:r>
        <w:t>.). Tijekom 2022. godine, potražnja i cijene peleta naglo su porasle zbog poremećaja u lancima opskrbe i rasta cijena energenata u EU (</w:t>
      </w:r>
      <w:proofErr w:type="spellStart"/>
      <w:r>
        <w:t>Bioenergy</w:t>
      </w:r>
      <w:proofErr w:type="spellEnd"/>
      <w:r>
        <w:t xml:space="preserve"> Europe, </w:t>
      </w:r>
      <w:proofErr w:type="spellStart"/>
      <w:r>
        <w:t>n.d</w:t>
      </w:r>
      <w:proofErr w:type="spellEnd"/>
      <w:r>
        <w:t>.). To je dovelo do povećanja zaliha i gotovine te posljedično ekstremno visokog KTL-a.</w:t>
      </w:r>
    </w:p>
    <w:p w14:paraId="6C41E097" w14:textId="77777777" w:rsidR="00B92FBB" w:rsidRDefault="00B92FBB">
      <w:pPr>
        <w:spacing w:line="360" w:lineRule="auto"/>
        <w:jc w:val="both"/>
      </w:pPr>
    </w:p>
    <w:p w14:paraId="3651FD03" w14:textId="77777777" w:rsidR="00B92FBB" w:rsidRDefault="008A09CC">
      <w:pPr>
        <w:spacing w:line="360" w:lineRule="auto"/>
        <w:jc w:val="both"/>
      </w:pPr>
      <w:r>
        <w:t xml:space="preserve">DER (medijan 0,00; min -40.742,77; </w:t>
      </w:r>
      <w:proofErr w:type="spellStart"/>
      <w:r>
        <w:t>max</w:t>
      </w:r>
      <w:proofErr w:type="spellEnd"/>
      <w:r>
        <w:t xml:space="preserve"> 17.618,53) upućuje na znatan broj slučajeva negativnog kapitala i/ili vrlo visokog zaduženja. Ekstremi obuhvaćaju poduzeća VOCAL d.o.o. 2011., EART d.o.o. 2015. i 2022., DUPAL d.o.o. 2019. i 2018., PEKARA KLAS d.o.o. 2008. te MATAK d.o.o. 2018.. Takve vrijednosti u praksi proizlaze iz negativnog kapitala (akumulirani gubici), investicijskih ciklusa financiranih dugom ili kratkoročnih oscilacija kapitala kod manjih poduzeća. </w:t>
      </w:r>
    </w:p>
    <w:p w14:paraId="0264352F" w14:textId="77777777" w:rsidR="00B92FBB" w:rsidRDefault="00B92FBB">
      <w:pPr>
        <w:spacing w:line="360" w:lineRule="auto"/>
        <w:jc w:val="both"/>
      </w:pPr>
    </w:p>
    <w:p w14:paraId="5958FE6D" w14:textId="77777777" w:rsidR="00B92FBB" w:rsidRDefault="008A09CC">
      <w:pPr>
        <w:spacing w:line="360" w:lineRule="auto"/>
        <w:jc w:val="both"/>
      </w:pPr>
      <w:r>
        <w:t xml:space="preserve">ROA je izrazito raspršena (medijan 0,009; min -2.092.371; </w:t>
      </w:r>
      <w:proofErr w:type="spellStart"/>
      <w:r>
        <w:t>max</w:t>
      </w:r>
      <w:proofErr w:type="spellEnd"/>
      <w:r>
        <w:t xml:space="preserve"> 1.134.981). Najveće negativne vrijednosti javljaju se kod ŠIK CIPELE d.o.o. 2008. te najveće pozitivne kod METALNE KONSTRUKCIJE ŠVENDA d.o.o. 2019. zbog vrlo malih nazivnika (imovine) u bazi. </w:t>
      </w:r>
    </w:p>
    <w:p w14:paraId="462577D6" w14:textId="77777777" w:rsidR="00B92FBB" w:rsidRDefault="00B92FBB">
      <w:pPr>
        <w:spacing w:line="360" w:lineRule="auto"/>
        <w:jc w:val="both"/>
      </w:pPr>
    </w:p>
    <w:p w14:paraId="26732E3A" w14:textId="77777777" w:rsidR="00B92FBB" w:rsidRDefault="008A09CC">
      <w:pPr>
        <w:spacing w:line="360" w:lineRule="auto"/>
        <w:jc w:val="both"/>
      </w:pPr>
      <w:r>
        <w:t xml:space="preserve">ROE je također ekstremno </w:t>
      </w:r>
      <w:proofErr w:type="spellStart"/>
      <w:r>
        <w:t>volatilna</w:t>
      </w:r>
      <w:proofErr w:type="spellEnd"/>
      <w:r>
        <w:t xml:space="preserve"> (medijan 0,0023; min -22.952; </w:t>
      </w:r>
      <w:proofErr w:type="spellStart"/>
      <w:r>
        <w:t>max</w:t>
      </w:r>
      <w:proofErr w:type="spellEnd"/>
      <w:r>
        <w:t xml:space="preserve"> 203.257,7). U vrhovima su LIPOVAC d.o.o. 2020., KONCEPT-D D.O.O. više godina (2016. - 2020.) i KRON D.O.O. 2020.. Takve razine su tipične kad je kapital vrlo malen, a dobit ili gubitak relativno velik, pa ROE „eksplodira“. </w:t>
      </w:r>
    </w:p>
    <w:p w14:paraId="2BC1269C" w14:textId="77777777" w:rsidR="00B92FBB" w:rsidRDefault="00B92FBB">
      <w:pPr>
        <w:spacing w:line="360" w:lineRule="auto"/>
        <w:jc w:val="both"/>
      </w:pPr>
    </w:p>
    <w:p w14:paraId="2BF309B6" w14:textId="77777777" w:rsidR="00B92FBB" w:rsidRDefault="008A09CC">
      <w:pPr>
        <w:spacing w:line="360" w:lineRule="auto"/>
        <w:jc w:val="both"/>
      </w:pPr>
      <w:r>
        <w:t xml:space="preserve">KI pokazuje širok raspon (medijan 0,025; min 824.629,6; </w:t>
      </w:r>
      <w:proofErr w:type="spellStart"/>
      <w:r>
        <w:t>max</w:t>
      </w:r>
      <w:proofErr w:type="spellEnd"/>
      <w:r>
        <w:t xml:space="preserve"> 96.487,42). U apsolutnim negativnim ekstremima su I.T.D. D.O.O. 2016., DORADO D.O.O. 2019., VOCAL D.O.O. 2011. te na pozitivnoj strani RESPECT NADOGRADNJA D.O.O. 2023. i INFO 90 D.O.O. 2020.. Negativni iznosi ukazuju na specifičnu konstrukciju pokazatelja u bazi (radi se o godinama s gubitcima i niskom bilančnom vrijednosti imovine), dok visoke pozitivne vrijednosti sugeriraju </w:t>
      </w:r>
      <w:r>
        <w:lastRenderedPageBreak/>
        <w:t xml:space="preserve">velika ulaganja u tehnologiju i/ili opremu koje čine glavninu imovine, a zalihe i obrtna imovina manji dio. </w:t>
      </w:r>
    </w:p>
    <w:p w14:paraId="25C85932" w14:textId="77777777" w:rsidR="00B92FBB" w:rsidRDefault="00B92FBB">
      <w:pPr>
        <w:spacing w:line="360" w:lineRule="auto"/>
        <w:jc w:val="both"/>
      </w:pPr>
    </w:p>
    <w:p w14:paraId="121290FC" w14:textId="77777777" w:rsidR="00B92FBB" w:rsidRDefault="008A09CC">
      <w:pPr>
        <w:spacing w:line="360" w:lineRule="auto"/>
        <w:jc w:val="both"/>
      </w:pPr>
      <w:r>
        <w:t xml:space="preserve">PP (promjena prihoda) također je ekstremno raspršena (medijan 0,00; </w:t>
      </w:r>
      <w:proofErr w:type="spellStart"/>
      <w:r>
        <w:t>max</w:t>
      </w:r>
      <w:proofErr w:type="spellEnd"/>
      <w:r>
        <w:t xml:space="preserve"> 38.650.801). Apsolutni vrhovi su PUNTA NOBIS D.O.O. 2020., AD BRODOVI D.O.O. 2010., MERK &amp; MERK JAH­TE SERVIS TRIBUNJ D.O.O. 2011., AROMAR D.O.O. 2019, ARISTOKRAT ZG D.O.O. 2015., CORALLIUM D.O.O. 2010. i AUTOMATIKA NOVA D.O.O. 2022.. Ovakvi skokovi tipično proizlaze iz „base </w:t>
      </w:r>
      <w:proofErr w:type="spellStart"/>
      <w:r>
        <w:t>effecta</w:t>
      </w:r>
      <w:proofErr w:type="spellEnd"/>
      <w:r>
        <w:t>“ (vrlo mala baza u prethodnoj godini) ili pokretanja poslovanja (</w:t>
      </w:r>
      <w:proofErr w:type="spellStart"/>
      <w:r>
        <w:t>Investopedia</w:t>
      </w:r>
      <w:proofErr w:type="spellEnd"/>
      <w:r>
        <w:t xml:space="preserve">, </w:t>
      </w:r>
      <w:proofErr w:type="spellStart"/>
      <w:r>
        <w:t>n.d</w:t>
      </w:r>
      <w:proofErr w:type="spellEnd"/>
      <w:r>
        <w:t xml:space="preserve">.). </w:t>
      </w:r>
    </w:p>
    <w:p w14:paraId="6D50C167" w14:textId="77777777" w:rsidR="00B92FBB" w:rsidRDefault="00B92FBB"/>
    <w:p w14:paraId="62681B2B" w14:textId="7F6DA40E" w:rsidR="00252627" w:rsidRPr="00252627" w:rsidRDefault="00252627" w:rsidP="00252627">
      <w:pPr>
        <w:pStyle w:val="Opisslike"/>
        <w:keepNext/>
        <w:spacing w:line="360" w:lineRule="auto"/>
        <w:jc w:val="both"/>
        <w:rPr>
          <w:i w:val="0"/>
          <w:iCs w:val="0"/>
          <w:color w:val="000000" w:themeColor="text1"/>
          <w:sz w:val="22"/>
          <w:szCs w:val="22"/>
        </w:rPr>
      </w:pPr>
      <w:bookmarkStart w:id="45" w:name="_Toc207265195"/>
      <w:r w:rsidRPr="00252627">
        <w:rPr>
          <w:i w:val="0"/>
          <w:iCs w:val="0"/>
          <w:color w:val="000000" w:themeColor="text1"/>
          <w:sz w:val="22"/>
          <w:szCs w:val="22"/>
        </w:rPr>
        <w:t xml:space="preserve">Tablica </w:t>
      </w:r>
      <w:r w:rsidRPr="00252627">
        <w:rPr>
          <w:i w:val="0"/>
          <w:iCs w:val="0"/>
          <w:color w:val="000000" w:themeColor="text1"/>
          <w:sz w:val="22"/>
          <w:szCs w:val="22"/>
        </w:rPr>
        <w:fldChar w:fldCharType="begin"/>
      </w:r>
      <w:r w:rsidRPr="00252627">
        <w:rPr>
          <w:i w:val="0"/>
          <w:iCs w:val="0"/>
          <w:color w:val="000000" w:themeColor="text1"/>
          <w:sz w:val="22"/>
          <w:szCs w:val="22"/>
        </w:rPr>
        <w:instrText xml:space="preserve"> SEQ Tablica \* ARABIC </w:instrText>
      </w:r>
      <w:r w:rsidRPr="00252627">
        <w:rPr>
          <w:i w:val="0"/>
          <w:iCs w:val="0"/>
          <w:color w:val="000000" w:themeColor="text1"/>
          <w:sz w:val="22"/>
          <w:szCs w:val="22"/>
        </w:rPr>
        <w:fldChar w:fldCharType="separate"/>
      </w:r>
      <w:r w:rsidR="00D11EF7">
        <w:rPr>
          <w:i w:val="0"/>
          <w:iCs w:val="0"/>
          <w:noProof/>
          <w:color w:val="000000" w:themeColor="text1"/>
          <w:sz w:val="22"/>
          <w:szCs w:val="22"/>
        </w:rPr>
        <w:t>1</w:t>
      </w:r>
      <w:r w:rsidRPr="00252627">
        <w:rPr>
          <w:i w:val="0"/>
          <w:iCs w:val="0"/>
          <w:color w:val="000000" w:themeColor="text1"/>
          <w:sz w:val="22"/>
          <w:szCs w:val="22"/>
        </w:rPr>
        <w:fldChar w:fldCharType="end"/>
      </w:r>
      <w:r w:rsidRPr="00252627">
        <w:rPr>
          <w:i w:val="0"/>
          <w:iCs w:val="0"/>
          <w:color w:val="000000" w:themeColor="text1"/>
          <w:sz w:val="22"/>
          <w:szCs w:val="22"/>
        </w:rPr>
        <w:t>. Deskriptivna statistika za sektor C - Prerađivačka industrija</w:t>
      </w:r>
      <w:r w:rsidRPr="00252627">
        <w:rPr>
          <w:i w:val="0"/>
          <w:iCs w:val="0"/>
          <w:noProof/>
          <w:color w:val="000000" w:themeColor="text1"/>
          <w:sz w:val="22"/>
          <w:szCs w:val="22"/>
        </w:rPr>
        <w:t xml:space="preserve"> (podaci dostavljeni od strane FINA-e, izračun i obrada autorice u programu EViews 12)</w:t>
      </w:r>
      <w:bookmarkEnd w:id="45"/>
    </w:p>
    <w:p w14:paraId="1A0938DD" w14:textId="77777777" w:rsidR="00B92FBB" w:rsidRDefault="008A09CC">
      <w:r>
        <w:rPr>
          <w:noProof/>
        </w:rPr>
        <w:drawing>
          <wp:inline distT="114300" distB="114300" distL="114300" distR="114300" wp14:anchorId="61226962" wp14:editId="0031C24D">
            <wp:extent cx="5731200" cy="22860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31200" cy="2286000"/>
                    </a:xfrm>
                    <a:prstGeom prst="rect">
                      <a:avLst/>
                    </a:prstGeom>
                    <a:ln/>
                  </pic:spPr>
                </pic:pic>
              </a:graphicData>
            </a:graphic>
          </wp:inline>
        </w:drawing>
      </w:r>
    </w:p>
    <w:p w14:paraId="6ED72F61" w14:textId="77777777" w:rsidR="00B92FBB" w:rsidRDefault="00B92FBB"/>
    <w:p w14:paraId="504185D0" w14:textId="77777777" w:rsidR="00B92FBB" w:rsidRDefault="008A09CC">
      <w:pPr>
        <w:spacing w:line="360" w:lineRule="auto"/>
        <w:jc w:val="both"/>
      </w:pPr>
      <w:r>
        <w:t>Prikazane vrijednosti standardne devijacije, koeficijenata asimetrije (</w:t>
      </w:r>
      <w:proofErr w:type="spellStart"/>
      <w:r>
        <w:t>skewness</w:t>
      </w:r>
      <w:proofErr w:type="spellEnd"/>
      <w:r>
        <w:t>) i spljoštenosti (</w:t>
      </w:r>
      <w:proofErr w:type="spellStart"/>
      <w:r>
        <w:t>kurtosis</w:t>
      </w:r>
      <w:proofErr w:type="spellEnd"/>
      <w:r>
        <w:t xml:space="preserve">) ukazuju na značajnu varijabilnost podataka unutar uzorka. Distribucija varijabli pokazuje izražene ekstreme, što je vidljivo i u grafičkom prikazu distribucije vrijednosti za sve promatrane varijable. </w:t>
      </w:r>
    </w:p>
    <w:p w14:paraId="165AC61B" w14:textId="77777777" w:rsidR="00252627" w:rsidRDefault="008A09CC" w:rsidP="00252627">
      <w:pPr>
        <w:keepNext/>
      </w:pPr>
      <w:r>
        <w:rPr>
          <w:noProof/>
        </w:rPr>
        <w:lastRenderedPageBreak/>
        <w:drawing>
          <wp:inline distT="114300" distB="114300" distL="114300" distR="114300" wp14:anchorId="0FF7B474" wp14:editId="2CD28DA0">
            <wp:extent cx="5731200" cy="4800600"/>
            <wp:effectExtent l="0" t="0" r="0" b="0"/>
            <wp:docPr id="1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1"/>
                    <a:srcRect/>
                    <a:stretch>
                      <a:fillRect/>
                    </a:stretch>
                  </pic:blipFill>
                  <pic:spPr>
                    <a:xfrm>
                      <a:off x="0" y="0"/>
                      <a:ext cx="5731200" cy="4800600"/>
                    </a:xfrm>
                    <a:prstGeom prst="rect">
                      <a:avLst/>
                    </a:prstGeom>
                    <a:ln/>
                  </pic:spPr>
                </pic:pic>
              </a:graphicData>
            </a:graphic>
          </wp:inline>
        </w:drawing>
      </w:r>
    </w:p>
    <w:p w14:paraId="71105E76" w14:textId="710ADA0E" w:rsidR="00B92FBB" w:rsidRPr="00252627" w:rsidRDefault="00252627" w:rsidP="00252627">
      <w:pPr>
        <w:pStyle w:val="Opisslike"/>
        <w:spacing w:line="360" w:lineRule="auto"/>
        <w:jc w:val="both"/>
        <w:rPr>
          <w:i w:val="0"/>
          <w:iCs w:val="0"/>
          <w:color w:val="000000" w:themeColor="text1"/>
          <w:sz w:val="22"/>
          <w:szCs w:val="22"/>
        </w:rPr>
      </w:pPr>
      <w:bookmarkStart w:id="46" w:name="_Toc207263312"/>
      <w:r w:rsidRPr="00252627">
        <w:rPr>
          <w:i w:val="0"/>
          <w:iCs w:val="0"/>
          <w:color w:val="000000" w:themeColor="text1"/>
          <w:sz w:val="22"/>
          <w:szCs w:val="22"/>
        </w:rPr>
        <w:t xml:space="preserve">Slika </w:t>
      </w:r>
      <w:r w:rsidRPr="00252627">
        <w:rPr>
          <w:i w:val="0"/>
          <w:iCs w:val="0"/>
          <w:color w:val="000000" w:themeColor="text1"/>
          <w:sz w:val="22"/>
          <w:szCs w:val="22"/>
        </w:rPr>
        <w:fldChar w:fldCharType="begin"/>
      </w:r>
      <w:r w:rsidRPr="00252627">
        <w:rPr>
          <w:i w:val="0"/>
          <w:iCs w:val="0"/>
          <w:color w:val="000000" w:themeColor="text1"/>
          <w:sz w:val="22"/>
          <w:szCs w:val="22"/>
        </w:rPr>
        <w:instrText xml:space="preserve"> SEQ Slika \* ARABIC </w:instrText>
      </w:r>
      <w:r w:rsidRPr="00252627">
        <w:rPr>
          <w:i w:val="0"/>
          <w:iCs w:val="0"/>
          <w:color w:val="000000" w:themeColor="text1"/>
          <w:sz w:val="22"/>
          <w:szCs w:val="22"/>
        </w:rPr>
        <w:fldChar w:fldCharType="separate"/>
      </w:r>
      <w:r w:rsidR="001648A1">
        <w:rPr>
          <w:i w:val="0"/>
          <w:iCs w:val="0"/>
          <w:noProof/>
          <w:color w:val="000000" w:themeColor="text1"/>
          <w:sz w:val="22"/>
          <w:szCs w:val="22"/>
        </w:rPr>
        <w:t>2</w:t>
      </w:r>
      <w:r w:rsidRPr="00252627">
        <w:rPr>
          <w:i w:val="0"/>
          <w:iCs w:val="0"/>
          <w:color w:val="000000" w:themeColor="text1"/>
          <w:sz w:val="22"/>
          <w:szCs w:val="22"/>
        </w:rPr>
        <w:fldChar w:fldCharType="end"/>
      </w:r>
      <w:r w:rsidRPr="00252627">
        <w:rPr>
          <w:i w:val="0"/>
          <w:iCs w:val="0"/>
          <w:color w:val="000000" w:themeColor="text1"/>
          <w:sz w:val="22"/>
          <w:szCs w:val="22"/>
        </w:rPr>
        <w:t xml:space="preserve">. Distribucija vrijednosti varijabli (KTL, DER, ROA, ROE, KI i PP) u sektoru C - Prerađivačka industrija  (podaci dostavljeni od strane FINA-e, izračun i obrada autorice u programu </w:t>
      </w:r>
      <w:proofErr w:type="spellStart"/>
      <w:r w:rsidRPr="00252627">
        <w:rPr>
          <w:i w:val="0"/>
          <w:iCs w:val="0"/>
          <w:color w:val="000000" w:themeColor="text1"/>
          <w:sz w:val="22"/>
          <w:szCs w:val="22"/>
        </w:rPr>
        <w:t>EViews</w:t>
      </w:r>
      <w:proofErr w:type="spellEnd"/>
      <w:r w:rsidRPr="00252627">
        <w:rPr>
          <w:i w:val="0"/>
          <w:iCs w:val="0"/>
          <w:color w:val="000000" w:themeColor="text1"/>
          <w:sz w:val="22"/>
          <w:szCs w:val="22"/>
        </w:rPr>
        <w:t xml:space="preserve"> 12)</w:t>
      </w:r>
      <w:bookmarkEnd w:id="46"/>
    </w:p>
    <w:p w14:paraId="2F4E426F" w14:textId="77777777" w:rsidR="00252627" w:rsidRPr="00252627" w:rsidRDefault="00252627" w:rsidP="00252627"/>
    <w:p w14:paraId="1C04BCB8" w14:textId="397768E4" w:rsidR="00B92FBB" w:rsidRDefault="007E5ECC">
      <w:pPr>
        <w:pStyle w:val="Naslov4"/>
      </w:pPr>
      <w:bookmarkStart w:id="47" w:name="_drslwzee86m8" w:colFirst="0" w:colLast="0"/>
      <w:bookmarkEnd w:id="47"/>
      <w:r>
        <w:t>4.2.</w:t>
      </w:r>
      <w:r w:rsidR="008A09CC">
        <w:t>2. Korelacijska analiza</w:t>
      </w:r>
    </w:p>
    <w:p w14:paraId="0A1C8211" w14:textId="77777777" w:rsidR="00ED1E92" w:rsidRPr="00ED1E92" w:rsidRDefault="00ED1E92" w:rsidP="00ED1E92"/>
    <w:p w14:paraId="7CC8AF63" w14:textId="30329FC4" w:rsidR="00B92FBB" w:rsidRDefault="008A09CC">
      <w:pPr>
        <w:spacing w:line="360" w:lineRule="auto"/>
        <w:jc w:val="both"/>
      </w:pPr>
      <w:r>
        <w:t xml:space="preserve">Rezultati korelacijske matrice za sektor C (Tablica 2) ukazuju na vrlo niske vrijednosti koeficijenata korelacije između većine varijabli. To upućuje na slabu međusobnu povezanost i na nisku razinu </w:t>
      </w:r>
      <w:proofErr w:type="spellStart"/>
      <w:r>
        <w:t>multikolinearnosti</w:t>
      </w:r>
      <w:proofErr w:type="spellEnd"/>
      <w:r>
        <w:t xml:space="preserve"> u podacima. Takva struktura omogućuje stabilnije i pouzdanije procjene u panel modelu jer visoka </w:t>
      </w:r>
      <w:proofErr w:type="spellStart"/>
      <w:r>
        <w:t>multikolinearnost</w:t>
      </w:r>
      <w:proofErr w:type="spellEnd"/>
      <w:r>
        <w:t xml:space="preserve"> često narušava interpretativnu vrijednost regresijskih analiza (</w:t>
      </w:r>
      <w:proofErr w:type="spellStart"/>
      <w:r>
        <w:t>Gujarati</w:t>
      </w:r>
      <w:proofErr w:type="spellEnd"/>
      <w:r>
        <w:t xml:space="preserve"> </w:t>
      </w:r>
      <w:r w:rsidR="00EB010F">
        <w:t xml:space="preserve">i </w:t>
      </w:r>
      <w:r>
        <w:t>Porter, 20</w:t>
      </w:r>
      <w:r w:rsidR="00EB010F">
        <w:t>21, str. 46</w:t>
      </w:r>
      <w:r>
        <w:t>).</w:t>
      </w:r>
    </w:p>
    <w:p w14:paraId="39FD7348" w14:textId="77777777" w:rsidR="00B92FBB" w:rsidRDefault="00B92FBB">
      <w:pPr>
        <w:spacing w:line="360" w:lineRule="auto"/>
        <w:jc w:val="both"/>
      </w:pPr>
    </w:p>
    <w:p w14:paraId="4B3C76FC" w14:textId="735643C2" w:rsidR="00B92FBB" w:rsidRDefault="008A09CC">
      <w:pPr>
        <w:spacing w:line="360" w:lineRule="auto"/>
        <w:jc w:val="both"/>
      </w:pPr>
      <w:r>
        <w:t xml:space="preserve">Pozitivna, ali gotovo zanemariva korelacija između KTL i DER sugerira da razina zaduženosti ne pokazuje konzistentan linearan odnos s likvidnošću poduzeća. Drugim riječima, visoka razina duga ne mora nužno značiti nižu likvidnost, niti obratno. Slični obrasci slabog ili nestabilnog odnosa zabilježeni su i u istraživanjima provedenim na uzorcima europskih </w:t>
      </w:r>
      <w:r>
        <w:lastRenderedPageBreak/>
        <w:t>poduzeća (</w:t>
      </w:r>
      <w:proofErr w:type="spellStart"/>
      <w:r>
        <w:t>Ferreira</w:t>
      </w:r>
      <w:proofErr w:type="spellEnd"/>
      <w:r>
        <w:t xml:space="preserve"> </w:t>
      </w:r>
      <w:r w:rsidR="0043109A">
        <w:t>i</w:t>
      </w:r>
      <w:r>
        <w:t xml:space="preserve"> </w:t>
      </w:r>
      <w:proofErr w:type="spellStart"/>
      <w:r>
        <w:t>Vilela</w:t>
      </w:r>
      <w:proofErr w:type="spellEnd"/>
      <w:r>
        <w:t xml:space="preserve">, 2004; </w:t>
      </w:r>
      <w:proofErr w:type="spellStart"/>
      <w:r>
        <w:t>Ozkan</w:t>
      </w:r>
      <w:proofErr w:type="spellEnd"/>
      <w:r>
        <w:t xml:space="preserve"> </w:t>
      </w:r>
      <w:r w:rsidR="0043109A">
        <w:t>i</w:t>
      </w:r>
      <w:r>
        <w:t xml:space="preserve"> </w:t>
      </w:r>
      <w:proofErr w:type="spellStart"/>
      <w:r>
        <w:t>Ozkan</w:t>
      </w:r>
      <w:proofErr w:type="spellEnd"/>
      <w:r>
        <w:t>, 2004). U njihovim istraživanjima su specifičnosti poslovnog modela i pristup financijskim tržištima imali veći utjecaj na likvidnost od same razine poluge.</w:t>
      </w:r>
    </w:p>
    <w:p w14:paraId="69AD759D" w14:textId="77777777" w:rsidR="00B92FBB" w:rsidRDefault="00B92FBB">
      <w:pPr>
        <w:spacing w:line="360" w:lineRule="auto"/>
        <w:jc w:val="both"/>
      </w:pPr>
    </w:p>
    <w:p w14:paraId="3E860098" w14:textId="121BCB75" w:rsidR="00B92FBB" w:rsidRDefault="008A09CC">
      <w:pPr>
        <w:spacing w:line="360" w:lineRule="auto"/>
        <w:jc w:val="both"/>
      </w:pPr>
      <w:r>
        <w:t>Korelacija između ROA i ROE pokazuje očekivanu pozitivnu povezanost, iako vrlo niskog intenziteta. Ova veza proizlazi iz činjenice da oba pokazatelja mjere profitabilnost, ali na različitim razinama (imovine i kapitala) pri čemu varijabilnost kapitalne strukture, osobito kod poduzeća s niskim ili negativnim kapitalom, smanjuje stabilnost tog odnosa (</w:t>
      </w:r>
      <w:proofErr w:type="spellStart"/>
      <w:r>
        <w:t>Brealey</w:t>
      </w:r>
      <w:proofErr w:type="spellEnd"/>
      <w:r w:rsidR="00A80B25">
        <w:t xml:space="preserve"> i suradnici, </w:t>
      </w:r>
      <w:r>
        <w:t>2020</w:t>
      </w:r>
      <w:r w:rsidR="00A80B25">
        <w:t>, str. 444-446</w:t>
      </w:r>
      <w:r>
        <w:t>).</w:t>
      </w:r>
    </w:p>
    <w:p w14:paraId="35D1AB06" w14:textId="77777777" w:rsidR="00B92FBB" w:rsidRDefault="00B92FBB">
      <w:pPr>
        <w:spacing w:line="360" w:lineRule="auto"/>
        <w:jc w:val="both"/>
      </w:pPr>
    </w:p>
    <w:p w14:paraId="479ADCEC" w14:textId="038641C1" w:rsidR="00B92FBB" w:rsidRDefault="008A09CC">
      <w:pPr>
        <w:spacing w:line="360" w:lineRule="auto"/>
        <w:jc w:val="both"/>
      </w:pPr>
      <w:r>
        <w:t>Izrazito negativna korelacija između ROE i KI ukazuje na to da kapitalno intenzivnija poduzeća ostvaruju niže stope povrata na kapital. U prerađivačkoj industriji, gdje su ulaganja u dugotrajnu imovinu značajna (strojevi, oprema, postrojenja), visoka kapitalna vezanost često ograničava fleksibilnost i generira dodatne fiksne troškove. Time se smanjuje profitabilnost kapitala. Slični obrasci zabilježeni su u istraživanjima na uzorcima iz zemalja s razvijenim industrijskim sektorima (</w:t>
      </w:r>
      <w:proofErr w:type="spellStart"/>
      <w:r>
        <w:t>Dittmar</w:t>
      </w:r>
      <w:proofErr w:type="spellEnd"/>
      <w:r>
        <w:t xml:space="preserve">, </w:t>
      </w:r>
      <w:proofErr w:type="spellStart"/>
      <w:r>
        <w:t>Mahrt</w:t>
      </w:r>
      <w:proofErr w:type="spellEnd"/>
      <w:r>
        <w:t>-Smith</w:t>
      </w:r>
      <w:r w:rsidR="0043109A">
        <w:t xml:space="preserve"> i</w:t>
      </w:r>
      <w:r>
        <w:t xml:space="preserve"> </w:t>
      </w:r>
      <w:proofErr w:type="spellStart"/>
      <w:r>
        <w:t>Servaes</w:t>
      </w:r>
      <w:proofErr w:type="spellEnd"/>
      <w:r>
        <w:t>, 2003; King, 2023).</w:t>
      </w:r>
    </w:p>
    <w:p w14:paraId="1B1A181D" w14:textId="77777777" w:rsidR="00B92FBB" w:rsidRDefault="00B92FBB">
      <w:pPr>
        <w:spacing w:line="360" w:lineRule="auto"/>
        <w:jc w:val="both"/>
      </w:pPr>
    </w:p>
    <w:p w14:paraId="531BC3DC" w14:textId="77777777" w:rsidR="00B92FBB" w:rsidRDefault="008A09CC">
      <w:pPr>
        <w:spacing w:line="360" w:lineRule="auto"/>
        <w:jc w:val="both"/>
      </w:pPr>
      <w:r>
        <w:t xml:space="preserve">Korelacije između PP (postotna promjena prihoda) i ostalih varijabli pokazuju izrazito niske vrijednosti. To sugerira da kratkoročne promjene u prihodima nemaju značajan izravan učinak na likvidnost, zaduženost ili profitabilnost. Ovakav rezultat u skladu je s činjenicom da je prerađivačka industrija karakterizirana dugim proizvodnim i investicijskim ciklusima, pri čemu jednogodišnje oscilacije u prihodima rijetko dovode do strukturalnih promjena u financijskim pokazateljima (OECD, 2024; ECB, 2024). </w:t>
      </w:r>
    </w:p>
    <w:p w14:paraId="6B35B905" w14:textId="77777777" w:rsidR="00B92FBB" w:rsidRDefault="00B92FBB">
      <w:pPr>
        <w:spacing w:line="360" w:lineRule="auto"/>
        <w:jc w:val="both"/>
      </w:pPr>
    </w:p>
    <w:p w14:paraId="0707D674" w14:textId="77777777" w:rsidR="00B92FBB" w:rsidRDefault="008A09CC">
      <w:pPr>
        <w:spacing w:line="360" w:lineRule="auto"/>
        <w:jc w:val="both"/>
      </w:pPr>
      <w:r>
        <w:t xml:space="preserve">Općenito, niska razina korelacija među većinom varijabli potvrđuje da nema značajnijih problema </w:t>
      </w:r>
      <w:proofErr w:type="spellStart"/>
      <w:r>
        <w:t>multikolinearnosti</w:t>
      </w:r>
      <w:proofErr w:type="spellEnd"/>
      <w:r>
        <w:t xml:space="preserve"> što povećava pouzdanost i stabilnost rezultata dinamičke panel analize.</w:t>
      </w:r>
    </w:p>
    <w:p w14:paraId="52BAC754" w14:textId="77777777" w:rsidR="00B92FBB" w:rsidRDefault="00B92FBB"/>
    <w:p w14:paraId="2A3D3DD2" w14:textId="7EB75FF8" w:rsidR="00460619" w:rsidRPr="00460619" w:rsidRDefault="00460619" w:rsidP="00460619">
      <w:pPr>
        <w:pStyle w:val="Opisslike"/>
        <w:keepNext/>
        <w:spacing w:line="360" w:lineRule="auto"/>
        <w:jc w:val="both"/>
        <w:rPr>
          <w:i w:val="0"/>
          <w:iCs w:val="0"/>
          <w:color w:val="000000" w:themeColor="text1"/>
          <w:sz w:val="22"/>
          <w:szCs w:val="22"/>
        </w:rPr>
      </w:pPr>
      <w:bookmarkStart w:id="48" w:name="_Toc207265196"/>
      <w:r w:rsidRPr="00460619">
        <w:rPr>
          <w:i w:val="0"/>
          <w:iCs w:val="0"/>
          <w:color w:val="000000" w:themeColor="text1"/>
          <w:sz w:val="22"/>
          <w:szCs w:val="22"/>
        </w:rPr>
        <w:t xml:space="preserve">Tablica </w:t>
      </w:r>
      <w:r w:rsidRPr="00460619">
        <w:rPr>
          <w:i w:val="0"/>
          <w:iCs w:val="0"/>
          <w:color w:val="000000" w:themeColor="text1"/>
          <w:sz w:val="22"/>
          <w:szCs w:val="22"/>
        </w:rPr>
        <w:fldChar w:fldCharType="begin"/>
      </w:r>
      <w:r w:rsidRPr="00460619">
        <w:rPr>
          <w:i w:val="0"/>
          <w:iCs w:val="0"/>
          <w:color w:val="000000" w:themeColor="text1"/>
          <w:sz w:val="22"/>
          <w:szCs w:val="22"/>
        </w:rPr>
        <w:instrText xml:space="preserve"> SEQ Tablica \* ARABIC </w:instrText>
      </w:r>
      <w:r w:rsidRPr="00460619">
        <w:rPr>
          <w:i w:val="0"/>
          <w:iCs w:val="0"/>
          <w:color w:val="000000" w:themeColor="text1"/>
          <w:sz w:val="22"/>
          <w:szCs w:val="22"/>
        </w:rPr>
        <w:fldChar w:fldCharType="separate"/>
      </w:r>
      <w:r w:rsidR="00D11EF7">
        <w:rPr>
          <w:i w:val="0"/>
          <w:iCs w:val="0"/>
          <w:noProof/>
          <w:color w:val="000000" w:themeColor="text1"/>
          <w:sz w:val="22"/>
          <w:szCs w:val="22"/>
        </w:rPr>
        <w:t>2</w:t>
      </w:r>
      <w:r w:rsidRPr="00460619">
        <w:rPr>
          <w:i w:val="0"/>
          <w:iCs w:val="0"/>
          <w:color w:val="000000" w:themeColor="text1"/>
          <w:sz w:val="22"/>
          <w:szCs w:val="22"/>
        </w:rPr>
        <w:fldChar w:fldCharType="end"/>
      </w:r>
      <w:r w:rsidRPr="00460619">
        <w:rPr>
          <w:i w:val="0"/>
          <w:iCs w:val="0"/>
          <w:color w:val="000000" w:themeColor="text1"/>
          <w:sz w:val="22"/>
          <w:szCs w:val="22"/>
        </w:rPr>
        <w:t xml:space="preserve">. Korelacijska matrica za sektor C - Prerađivačka industrija (podaci dostavljeni od strane FINA-e, izračun i obrada autorice u programu </w:t>
      </w:r>
      <w:proofErr w:type="spellStart"/>
      <w:r w:rsidRPr="00460619">
        <w:rPr>
          <w:i w:val="0"/>
          <w:iCs w:val="0"/>
          <w:color w:val="000000" w:themeColor="text1"/>
          <w:sz w:val="22"/>
          <w:szCs w:val="22"/>
        </w:rPr>
        <w:t>EViews</w:t>
      </w:r>
      <w:proofErr w:type="spellEnd"/>
      <w:r w:rsidRPr="00460619">
        <w:rPr>
          <w:i w:val="0"/>
          <w:iCs w:val="0"/>
          <w:color w:val="000000" w:themeColor="text1"/>
          <w:sz w:val="22"/>
          <w:szCs w:val="22"/>
        </w:rPr>
        <w:t xml:space="preserve"> 12)</w:t>
      </w:r>
      <w:bookmarkEnd w:id="48"/>
    </w:p>
    <w:p w14:paraId="0C8683DD" w14:textId="77777777" w:rsidR="00B92FBB" w:rsidRDefault="008A09CC">
      <w:r>
        <w:rPr>
          <w:noProof/>
        </w:rPr>
        <w:drawing>
          <wp:inline distT="114300" distB="114300" distL="114300" distR="114300" wp14:anchorId="248FFFE9" wp14:editId="43594FF5">
            <wp:extent cx="5731200" cy="10795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731200" cy="1079500"/>
                    </a:xfrm>
                    <a:prstGeom prst="rect">
                      <a:avLst/>
                    </a:prstGeom>
                    <a:ln/>
                  </pic:spPr>
                </pic:pic>
              </a:graphicData>
            </a:graphic>
          </wp:inline>
        </w:drawing>
      </w:r>
    </w:p>
    <w:p w14:paraId="1F7D6C6F" w14:textId="77777777" w:rsidR="00B92FBB" w:rsidRDefault="00B92FBB"/>
    <w:p w14:paraId="29B5AC2D" w14:textId="1C928F4B" w:rsidR="00B92FBB" w:rsidRDefault="007E5ECC">
      <w:pPr>
        <w:pStyle w:val="Naslov4"/>
      </w:pPr>
      <w:bookmarkStart w:id="49" w:name="_5gkq2g543eeb" w:colFirst="0" w:colLast="0"/>
      <w:bookmarkEnd w:id="49"/>
      <w:r>
        <w:lastRenderedPageBreak/>
        <w:t>4.2</w:t>
      </w:r>
      <w:r w:rsidR="008A09CC">
        <w:t xml:space="preserve">.3. </w:t>
      </w:r>
      <w:r w:rsidR="00EB010F" w:rsidRPr="00EB010F">
        <w:t>Testiranje utjecaja financijske poluge na likvidnost poduzeća</w:t>
      </w:r>
    </w:p>
    <w:p w14:paraId="2DB649B8" w14:textId="77777777" w:rsidR="00ED1E92" w:rsidRPr="00ED1E92" w:rsidRDefault="00ED1E92" w:rsidP="00ED1E92"/>
    <w:p w14:paraId="399B099F" w14:textId="70BBECEE" w:rsidR="00B92FBB" w:rsidRDefault="008A09CC">
      <w:pPr>
        <w:spacing w:line="360" w:lineRule="auto"/>
        <w:jc w:val="both"/>
      </w:pPr>
      <w:r>
        <w:t>Rezultati prvog seta dinamičke panel analize prikazane u Tabli</w:t>
      </w:r>
      <w:r w:rsidR="00460619">
        <w:t>ci 3</w:t>
      </w:r>
      <w:r w:rsidR="009E2F7F">
        <w:t xml:space="preserve"> </w:t>
      </w:r>
      <w:r>
        <w:t xml:space="preserve">temelje se na GMM </w:t>
      </w:r>
      <w:proofErr w:type="spellStart"/>
      <w:r>
        <w:t>Arellano</w:t>
      </w:r>
      <w:proofErr w:type="spellEnd"/>
      <w:r>
        <w:t xml:space="preserve">-Bond metodi. Model uključuje razdoblje od 2010. do 2023. godine te ukupno 415 poduzeća. </w:t>
      </w:r>
      <w:r w:rsidR="00E173EE">
        <w:t>Tako je</w:t>
      </w:r>
      <w:r>
        <w:t xml:space="preserve"> osigurana konzistentnost i robusnost procjena. Specifikacija modela prikazana je </w:t>
      </w:r>
      <w:r w:rsidR="00EB010F">
        <w:t>ekonometrijskom</w:t>
      </w:r>
      <w:r>
        <w:t xml:space="preserve"> jednadžbom:</w:t>
      </w:r>
    </w:p>
    <w:p w14:paraId="02DC9EAD" w14:textId="77777777" w:rsidR="006B694C" w:rsidRDefault="006B694C">
      <w:pPr>
        <w:spacing w:line="360" w:lineRule="auto"/>
        <w:jc w:val="both"/>
      </w:pPr>
    </w:p>
    <w:p w14:paraId="27E15ADF" w14:textId="77777777" w:rsidR="006B694C" w:rsidRPr="00472C6B" w:rsidRDefault="00000000" w:rsidP="006B694C">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 xml:space="preserve">, </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2</m:t>
            </m:r>
          </m:sub>
        </m:sSub>
        <m:sSub>
          <m:sSubPr>
            <m:ctrlPr>
              <w:rPr>
                <w:rFonts w:ascii="Cambria Math" w:hAnsi="Cambria Math"/>
                <w:iCs/>
              </w:rPr>
            </m:ctrlPr>
          </m:sSubPr>
          <m:e>
            <m: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3</m:t>
            </m:r>
          </m:sub>
        </m:sSub>
        <m:sSub>
          <m:sSubPr>
            <m:ctrlPr>
              <w:rPr>
                <w:rFonts w:ascii="Cambria Math" w:hAnsi="Cambria Math"/>
                <w:iCs/>
              </w:rPr>
            </m:ctrlPr>
          </m:sSubPr>
          <m:e>
            <m: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4</m:t>
            </m:r>
          </m:sub>
        </m:sSub>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iCs/>
              </w:rPr>
            </m:ctrlPr>
          </m:sSubPr>
          <m:e>
            <m:r>
              <w:rPr>
                <w:rFonts w:ascii="Cambria Math" w:hAnsi="Cambria Math"/>
              </w:rPr>
              <m:t>β</m:t>
            </m:r>
          </m:e>
          <m:sub>
            <m:r>
              <m:rPr>
                <m:sty m:val="p"/>
              </m:rPr>
              <w:rPr>
                <w:rFonts w:ascii="Cambria Math" w:hAnsi="Cambria Math"/>
              </w:rPr>
              <m:t>5</m:t>
            </m:r>
          </m:sub>
        </m:sSub>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r>
          <m:rPr>
            <m:sty m:val="p"/>
          </m:rPr>
          <w:rPr>
            <w:rFonts w:ascii="Cambria Math" w:hAnsi="Cambria Math"/>
          </w:rPr>
          <m:t>+</m:t>
        </m:r>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w:t>
      </w:r>
    </w:p>
    <w:p w14:paraId="0B67DF2D" w14:textId="77777777" w:rsidR="006B694C" w:rsidRPr="00472C6B" w:rsidRDefault="006B694C" w:rsidP="006B694C">
      <w:pPr>
        <w:spacing w:line="360" w:lineRule="auto"/>
        <w:ind w:left="708"/>
        <w:jc w:val="both"/>
        <w:rPr>
          <w:iCs/>
        </w:rPr>
      </w:pPr>
    </w:p>
    <w:p w14:paraId="2AE983BC" w14:textId="47326DAC" w:rsidR="006B694C" w:rsidRPr="00472C6B" w:rsidRDefault="00000000" w:rsidP="006B694C">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 koeficijent tekuće likvidnosti poduzeća i u vremenu t </w:t>
      </w:r>
      <w:r w:rsidR="006B694C">
        <w:t>za sektor C - Prerađivačka industrija</w:t>
      </w:r>
    </w:p>
    <w:p w14:paraId="5B6F9A96" w14:textId="271780A8" w:rsidR="006B694C" w:rsidRPr="00472C6B" w:rsidRDefault="00000000" w:rsidP="006B694C">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rsidR="006B694C" w:rsidRPr="00472C6B">
        <w:rPr>
          <w:iCs/>
        </w:rPr>
        <w:t xml:space="preserve"> – koeficijent tekuće likvidnosti poduzeća i iz prethodnog razdoblja t-1</w:t>
      </w:r>
      <w:r w:rsidR="006B694C">
        <w:rPr>
          <w:iCs/>
        </w:rPr>
        <w:t xml:space="preserve"> </w:t>
      </w:r>
      <w:r w:rsidR="006B694C">
        <w:t>za sektor C - Prerađivačka industrija</w:t>
      </w:r>
    </w:p>
    <w:p w14:paraId="638A5DC8" w14:textId="22FC228E" w:rsidR="006B694C" w:rsidRPr="00472C6B" w:rsidRDefault="00000000" w:rsidP="006B694C">
      <w:pPr>
        <w:spacing w:line="360" w:lineRule="auto"/>
        <w:ind w:left="708"/>
        <w:jc w:val="both"/>
        <w:rPr>
          <w:iCs/>
        </w:rPr>
      </w:pPr>
      <m:oMath>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 omjer duga i glavnice poduzeću i u vremenu t</w:t>
      </w:r>
      <w:r w:rsidR="006B694C">
        <w:rPr>
          <w:iCs/>
        </w:rPr>
        <w:t xml:space="preserve"> </w:t>
      </w:r>
      <w:r w:rsidR="006B694C">
        <w:t>za sektor C - Prerađivačka industrija</w:t>
      </w:r>
    </w:p>
    <w:p w14:paraId="4E3CB412" w14:textId="7EFEBE5B" w:rsidR="006B694C" w:rsidRPr="00472C6B" w:rsidRDefault="00000000" w:rsidP="006B694C">
      <w:pPr>
        <w:spacing w:line="360" w:lineRule="auto"/>
        <w:ind w:left="708"/>
        <w:jc w:val="both"/>
        <w:rPr>
          <w:iCs/>
        </w:rPr>
      </w:pPr>
      <m:oMath>
        <m:sSub>
          <m:sSubPr>
            <m:ctrlPr>
              <w:rPr>
                <w:rFonts w:ascii="Cambria Math" w:hAnsi="Cambria Math"/>
                <w:iCs/>
              </w:rPr>
            </m:ctrlPr>
          </m:sSubPr>
          <m:e>
            <m:r>
              <m:rPr>
                <m:sty m:val="p"/>
              </m:rP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 profitabilnost imovine poduzeća i u vremenu t</w:t>
      </w:r>
      <w:r w:rsidR="006B694C">
        <w:rPr>
          <w:iCs/>
        </w:rPr>
        <w:t xml:space="preserve"> </w:t>
      </w:r>
      <w:r w:rsidR="006B694C">
        <w:t>za sektor C - Prerađivačka industrija</w:t>
      </w:r>
    </w:p>
    <w:p w14:paraId="2447A9F6" w14:textId="77777777" w:rsidR="006B694C" w:rsidRDefault="00000000" w:rsidP="006B694C">
      <w:pPr>
        <w:spacing w:line="360" w:lineRule="auto"/>
        <w:ind w:left="708"/>
        <w:jc w:val="both"/>
      </w:pPr>
      <m:oMath>
        <m:sSub>
          <m:sSubPr>
            <m:ctrlPr>
              <w:rPr>
                <w:rFonts w:ascii="Cambria Math" w:hAnsi="Cambria Math"/>
                <w:iCs/>
              </w:rPr>
            </m:ctrlPr>
          </m:sSubPr>
          <m:e>
            <m:r>
              <m:rPr>
                <m:sty m:val="p"/>
              </m:rP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 profitabilnost kapitala poduzeću i u vremenu t</w:t>
      </w:r>
      <w:r w:rsidR="006B694C">
        <w:rPr>
          <w:iCs/>
        </w:rPr>
        <w:t xml:space="preserve"> </w:t>
      </w:r>
      <w:r w:rsidR="006B694C">
        <w:t>za sektor C - Prerađivačka industrija</w:t>
      </w:r>
    </w:p>
    <w:p w14:paraId="4B3012BA" w14:textId="55013556" w:rsidR="006B694C" w:rsidRPr="00472C6B" w:rsidRDefault="00000000" w:rsidP="006B694C">
      <w:pPr>
        <w:spacing w:line="360" w:lineRule="auto"/>
        <w:ind w:left="708"/>
        <w:jc w:val="both"/>
        <w:rPr>
          <w:iCs/>
        </w:rPr>
      </w:pPr>
      <m:oMath>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 kapitalna intenzivnost poduzeća i u vremenu t</w:t>
      </w:r>
      <w:r w:rsidR="006B694C">
        <w:rPr>
          <w:iCs/>
        </w:rPr>
        <w:t xml:space="preserve"> </w:t>
      </w:r>
      <w:r w:rsidR="006B694C">
        <w:t>za sektor C - Prerađivačka industrija</w:t>
      </w:r>
    </w:p>
    <w:p w14:paraId="0E4B3F97" w14:textId="71F00448" w:rsidR="006B694C" w:rsidRPr="00472C6B" w:rsidRDefault="00000000" w:rsidP="006B694C">
      <w:pPr>
        <w:spacing w:line="360" w:lineRule="auto"/>
        <w:ind w:left="708"/>
        <w:jc w:val="both"/>
        <w:rPr>
          <w:iCs/>
        </w:rPr>
      </w:pPr>
      <m:oMath>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 postotna promjena prodaje poduzeća i u vremenu t</w:t>
      </w:r>
      <w:r w:rsidR="006B694C">
        <w:rPr>
          <w:iCs/>
        </w:rPr>
        <w:t xml:space="preserve"> </w:t>
      </w:r>
      <w:r w:rsidR="006B694C">
        <w:t>za sektor C - Prerađivačka industrija</w:t>
      </w:r>
    </w:p>
    <w:p w14:paraId="77D34B69" w14:textId="376CCB9E" w:rsidR="006B694C" w:rsidRPr="00472C6B" w:rsidRDefault="006B694C" w:rsidP="006B694C">
      <w:pPr>
        <w:spacing w:line="360" w:lineRule="auto"/>
        <w:ind w:firstLine="708"/>
        <w:jc w:val="both"/>
      </w:pPr>
      <w:r w:rsidRPr="00472C6B">
        <w:t xml:space="preserve">i = 1,…, </w:t>
      </w:r>
      <w:r>
        <w:t>415</w:t>
      </w:r>
      <w:r w:rsidRPr="00472C6B">
        <w:t xml:space="preserve">; t = 1,…,16 </w:t>
      </w:r>
    </w:p>
    <w:p w14:paraId="0000E6E5" w14:textId="77777777" w:rsidR="006B694C" w:rsidRPr="00472C6B" w:rsidRDefault="006B694C" w:rsidP="006B694C">
      <w:pPr>
        <w:spacing w:line="360" w:lineRule="auto"/>
        <w:jc w:val="both"/>
      </w:pPr>
    </w:p>
    <w:p w14:paraId="3DA69A76" w14:textId="77777777" w:rsidR="006B694C" w:rsidRPr="00472C6B" w:rsidRDefault="006B694C" w:rsidP="006B694C">
      <w:pPr>
        <w:spacing w:line="360" w:lineRule="auto"/>
        <w:jc w:val="both"/>
        <w:rPr>
          <w:iCs/>
        </w:rPr>
      </w:pPr>
      <w:r w:rsidRPr="00472C6B">
        <w:rPr>
          <w:iCs/>
        </w:rPr>
        <w:t>pri čemu je:</w:t>
      </w:r>
    </w:p>
    <w:p w14:paraId="3B806E58" w14:textId="77777777" w:rsidR="006B694C" w:rsidRPr="00472C6B" w:rsidRDefault="006B694C" w:rsidP="006B694C">
      <w:pPr>
        <w:spacing w:line="360" w:lineRule="auto"/>
        <w:jc w:val="both"/>
        <w:rPr>
          <w:iCs/>
        </w:rPr>
      </w:pPr>
      <w:r w:rsidRPr="00472C6B">
        <w:rPr>
          <w:iCs/>
        </w:rPr>
        <w:t>N – broj jedinica promatranja,</w:t>
      </w:r>
    </w:p>
    <w:p w14:paraId="4916068D" w14:textId="77777777" w:rsidR="006B694C" w:rsidRPr="00472C6B" w:rsidRDefault="006B694C" w:rsidP="006B694C">
      <w:pPr>
        <w:spacing w:line="360" w:lineRule="auto"/>
        <w:jc w:val="both"/>
        <w:rPr>
          <w:iCs/>
        </w:rPr>
      </w:pPr>
      <w:r w:rsidRPr="00472C6B">
        <w:rPr>
          <w:iCs/>
        </w:rPr>
        <w:t>T – broj razdoblja promatranja,</w:t>
      </w:r>
    </w:p>
    <w:p w14:paraId="6D062E3B" w14:textId="77777777" w:rsidR="006B694C" w:rsidRPr="00472C6B" w:rsidRDefault="006B694C" w:rsidP="006B694C">
      <w:pPr>
        <w:spacing w:line="360" w:lineRule="auto"/>
        <w:jc w:val="both"/>
        <w:rPr>
          <w:iCs/>
        </w:rPr>
      </w:pPr>
      <w:r w:rsidRPr="00472C6B">
        <w:rPr>
          <w:iCs/>
        </w:rPr>
        <w:t>α – zajednički konstantni član različit za sve jedinicu promatranja,</w:t>
      </w:r>
    </w:p>
    <w:p w14:paraId="21287390" w14:textId="77777777" w:rsidR="006B694C" w:rsidRPr="00472C6B" w:rsidRDefault="00000000" w:rsidP="006B694C">
      <w:pPr>
        <w:spacing w:line="360" w:lineRule="auto"/>
        <w:jc w:val="both"/>
        <w:rPr>
          <w:iCs/>
        </w:rPr>
      </w:pPr>
      <m:oMath>
        <m:sSub>
          <m:sSubPr>
            <m:ctrlPr>
              <w:rPr>
                <w:rFonts w:ascii="Cambria Math" w:hAnsi="Cambria Math"/>
                <w:iCs/>
              </w:rPr>
            </m:ctrlPr>
          </m:sSubPr>
          <m:e>
            <m:r>
              <w:rPr>
                <w:rFonts w:ascii="Cambria Math" w:hAnsi="Cambria Math"/>
              </w:rPr>
              <m:t>μ</m:t>
            </m:r>
          </m:e>
          <m:sub>
            <m:r>
              <w:rPr>
                <w:rFonts w:ascii="Cambria Math" w:hAnsi="Cambria Math"/>
              </w:rPr>
              <m:t>i</m:t>
            </m:r>
          </m:sub>
        </m:sSub>
      </m:oMath>
      <w:r w:rsidR="006B694C" w:rsidRPr="00472C6B">
        <w:rPr>
          <w:iCs/>
        </w:rPr>
        <w:t xml:space="preserve"> – slučajni efekt za svaku jedinicu promatranja, </w:t>
      </w:r>
    </w:p>
    <w:p w14:paraId="27E624F8" w14:textId="64A7D6F2" w:rsidR="006B694C" w:rsidRPr="00472C6B" w:rsidRDefault="00000000" w:rsidP="006B694C">
      <w:pPr>
        <w:spacing w:line="360" w:lineRule="auto"/>
        <w:jc w:val="both"/>
        <w:rPr>
          <w:iCs/>
        </w:rPr>
      </w:pPr>
      <m:oMath>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6B694C" w:rsidRPr="00472C6B">
        <w:rPr>
          <w:iCs/>
        </w:rPr>
        <w:t xml:space="preserve"> </w:t>
      </w:r>
      <w:r w:rsidR="00E173EE" w:rsidRPr="00472C6B">
        <w:rPr>
          <w:iCs/>
        </w:rPr>
        <w:t xml:space="preserve">– </w:t>
      </w:r>
      <w:r w:rsidR="006B694C" w:rsidRPr="00472C6B">
        <w:rPr>
          <w:iCs/>
        </w:rPr>
        <w:t>greška relacije za i-te jedinice u vremenu t,</w:t>
      </w:r>
    </w:p>
    <w:p w14:paraId="432506C6" w14:textId="77777777" w:rsidR="006B694C" w:rsidRPr="00472C6B" w:rsidRDefault="00000000" w:rsidP="006B694C">
      <w:pPr>
        <w:spacing w:line="360" w:lineRule="auto"/>
        <w:jc w:val="both"/>
        <w:rPr>
          <w:iCs/>
        </w:rPr>
      </w:pPr>
      <m:oMath>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k</m:t>
            </m:r>
          </m:sub>
        </m:sSub>
      </m:oMath>
      <w:r w:rsidR="006B694C" w:rsidRPr="00472C6B">
        <w:rPr>
          <w:iCs/>
        </w:rPr>
        <w:t xml:space="preserve"> – parametri koje treba procijeniti. </w:t>
      </w:r>
    </w:p>
    <w:p w14:paraId="1DEBAF23" w14:textId="77777777" w:rsidR="006B694C" w:rsidRDefault="006B694C">
      <w:pPr>
        <w:spacing w:line="360" w:lineRule="auto"/>
        <w:jc w:val="both"/>
      </w:pPr>
    </w:p>
    <w:p w14:paraId="75958F6E" w14:textId="06CC8F58" w:rsidR="00B92FBB" w:rsidRDefault="00154FB7">
      <w:pPr>
        <w:spacing w:line="360" w:lineRule="auto"/>
        <w:jc w:val="both"/>
      </w:pPr>
      <w:r w:rsidRPr="00154FB7">
        <w:t xml:space="preserve">Testna veličina AR (1) testa (0,0868)  i AR (2) (0,0928) testa veća je od teorijske razine signifikantnosti α=0,05 (5%) temeljem čega se ne može odbaciti nulta hipoteza pa se zaključuje kako ne postoji </w:t>
      </w:r>
      <w:proofErr w:type="spellStart"/>
      <w:r w:rsidRPr="00154FB7">
        <w:t>autokorelacija</w:t>
      </w:r>
      <w:proofErr w:type="spellEnd"/>
      <w:r w:rsidRPr="00154FB7">
        <w:t xml:space="preserve"> prvog ni drugog reda</w:t>
      </w:r>
      <w:r w:rsidR="008A09CC">
        <w:t xml:space="preserve">. </w:t>
      </w:r>
      <w:proofErr w:type="spellStart"/>
      <w:r w:rsidR="008A09CC">
        <w:t>Hansenov</w:t>
      </w:r>
      <w:proofErr w:type="spellEnd"/>
      <w:r w:rsidR="008A09CC">
        <w:t xml:space="preserve"> J-test (p ≈ 0,30) </w:t>
      </w:r>
      <w:r w:rsidR="008A09CC">
        <w:lastRenderedPageBreak/>
        <w:t>pokazuje da su korišten</w:t>
      </w:r>
      <w:r>
        <w:t>e</w:t>
      </w:r>
      <w:r w:rsidR="008A09CC">
        <w:t xml:space="preserve"> instrument</w:t>
      </w:r>
      <w:r>
        <w:t>alne varijable</w:t>
      </w:r>
      <w:r w:rsidR="008A09CC">
        <w:t xml:space="preserve"> prikladn</w:t>
      </w:r>
      <w:r>
        <w:t>e</w:t>
      </w:r>
      <w:r w:rsidR="008A09CC">
        <w:t xml:space="preserve"> i dobro specificiran</w:t>
      </w:r>
      <w:r>
        <w:t>e</w:t>
      </w:r>
      <w:r w:rsidR="008A09CC">
        <w:t xml:space="preserve"> </w:t>
      </w:r>
      <w:r>
        <w:t>z</w:t>
      </w:r>
      <w:r w:rsidRPr="00154FB7">
        <w:t xml:space="preserve">ato što </w:t>
      </w:r>
      <w:r>
        <w:t>je u</w:t>
      </w:r>
      <w:r w:rsidRPr="00154FB7">
        <w:t xml:space="preserve"> testiranom modelu empirijska razina signifikantnosti odnosno p-vrijednost veća od teorijske razine signifikantnosti α=0,05 (5%) pa se nulta hipoteza ne može odbaciti</w:t>
      </w:r>
      <w:r w:rsidR="008A09CC">
        <w:t xml:space="preserve"> (</w:t>
      </w:r>
      <w:proofErr w:type="spellStart"/>
      <w:r w:rsidR="008A09CC">
        <w:t>Arellano</w:t>
      </w:r>
      <w:proofErr w:type="spellEnd"/>
      <w:r w:rsidR="008A09CC">
        <w:t xml:space="preserve"> </w:t>
      </w:r>
      <w:r w:rsidR="0043109A">
        <w:t>i</w:t>
      </w:r>
      <w:r w:rsidR="008A09CC">
        <w:t xml:space="preserve"> Bond, 1991; </w:t>
      </w:r>
      <w:proofErr w:type="spellStart"/>
      <w:r w:rsidR="008A09CC">
        <w:t>Roodman</w:t>
      </w:r>
      <w:proofErr w:type="spellEnd"/>
      <w:r w:rsidR="008A09CC">
        <w:t>, 2009).</w:t>
      </w:r>
    </w:p>
    <w:p w14:paraId="05AC6CC5" w14:textId="77777777" w:rsidR="00B92FBB" w:rsidRDefault="00B92FBB">
      <w:pPr>
        <w:spacing w:line="360" w:lineRule="auto"/>
        <w:jc w:val="both"/>
      </w:pPr>
    </w:p>
    <w:p w14:paraId="42D57425" w14:textId="4879094F" w:rsidR="00B92FBB" w:rsidRDefault="005D2A4F">
      <w:pPr>
        <w:spacing w:line="360" w:lineRule="auto"/>
        <w:jc w:val="both"/>
      </w:pPr>
      <w:r>
        <w:t>Signifikantan</w:t>
      </w:r>
      <w:r w:rsidR="008A09CC">
        <w:t xml:space="preserve"> koeficijent KTL (0,003; p &lt; 0,01) pokazuje da poduzeća koja su bila likvidna u prethodnim godinama obično ostaju likvidna i kasnije</w:t>
      </w:r>
      <w:r>
        <w:t xml:space="preserve"> </w:t>
      </w:r>
      <w:r w:rsidRPr="005D2A4F">
        <w:t>čime se potvrđuje H1 hipoteza o postojanosti likvidnosti poduzeća u vremenu</w:t>
      </w:r>
      <w:r>
        <w:t xml:space="preserve">. </w:t>
      </w:r>
      <w:r w:rsidRPr="005D2A4F">
        <w:t xml:space="preserve">Ovakav obrazac u skladu je s nalazima </w:t>
      </w:r>
      <w:proofErr w:type="spellStart"/>
      <w:r w:rsidRPr="005D2A4F">
        <w:t>Ferreire</w:t>
      </w:r>
      <w:proofErr w:type="spellEnd"/>
      <w:r w:rsidRPr="005D2A4F">
        <w:t xml:space="preserve"> i </w:t>
      </w:r>
      <w:proofErr w:type="spellStart"/>
      <w:r w:rsidRPr="005D2A4F">
        <w:t>Vilele</w:t>
      </w:r>
      <w:proofErr w:type="spellEnd"/>
      <w:r w:rsidRPr="005D2A4F">
        <w:t xml:space="preserve"> (2004), koji likvidnost opisuju kao inercijsku varijablu u stabilnim sektorima</w:t>
      </w:r>
      <w:r w:rsidR="008A09CC">
        <w:t xml:space="preserve">. To znači da likvidnost u sektoru ima kontinuitet i da poduzeća rijetko brzo mijenjaju način upravljanja kratkoročnom imovinom i obvezama. </w:t>
      </w:r>
    </w:p>
    <w:p w14:paraId="11D57A39" w14:textId="77777777" w:rsidR="00B92FBB" w:rsidRDefault="00B92FBB">
      <w:pPr>
        <w:spacing w:line="360" w:lineRule="auto"/>
        <w:jc w:val="both"/>
      </w:pPr>
    </w:p>
    <w:p w14:paraId="3C465A62" w14:textId="13C0A580" w:rsidR="00B92FBB" w:rsidRDefault="008A09CC">
      <w:pPr>
        <w:spacing w:line="360" w:lineRule="auto"/>
        <w:jc w:val="both"/>
      </w:pPr>
      <w:r>
        <w:t xml:space="preserve">DER (omjer duga i kapitala) ima statistički </w:t>
      </w:r>
      <w:r w:rsidR="005D2A4F">
        <w:t>signifikantan</w:t>
      </w:r>
      <w:r>
        <w:t xml:space="preserve"> </w:t>
      </w:r>
      <w:r w:rsidR="00C90E01">
        <w:t>utjecaj</w:t>
      </w:r>
      <w:r w:rsidR="005D2A4F">
        <w:t xml:space="preserve"> na likvidnost</w:t>
      </w:r>
      <w:r>
        <w:t xml:space="preserve"> (0,00034; p &lt; 0,01) što </w:t>
      </w:r>
      <w:r w:rsidR="003C3246" w:rsidRPr="003C3246">
        <w:t>potvrđuje H2 hipotezu.</w:t>
      </w:r>
      <w:r w:rsidR="003C3246">
        <w:t xml:space="preserve"> To </w:t>
      </w:r>
      <w:r>
        <w:t>implicira da povećana razina financijske poluge, do određene mjere, povećava likvidnost. Ovaj rezultat sugerira da poduzeća s višom zaduženošću raspolažu većim kratkoročnim sredstvima, bilo kroz zadržanu gotovinu radi osiguravanja obveza prema vjerovnicima, bilo kroz učinkovitije korištenje financijskih izvora.</w:t>
      </w:r>
      <w:r w:rsidR="003C3246">
        <w:t xml:space="preserve"> </w:t>
      </w:r>
      <w:r w:rsidR="003C3246" w:rsidRPr="003C3246">
        <w:t>Slične zaključke u domaćem kontekstu donose Mostarac i Petrović</w:t>
      </w:r>
      <w:r w:rsidR="00F93671">
        <w:t xml:space="preserve"> (2013)</w:t>
      </w:r>
      <w:r w:rsidR="003C3246" w:rsidRPr="003C3246">
        <w:t>, koji navode da prerađivačka poduzeća često koriste dug za financiranje obrtnog kapitala.</w:t>
      </w:r>
    </w:p>
    <w:p w14:paraId="02D8440A" w14:textId="77777777" w:rsidR="003C3246" w:rsidRDefault="003C3246">
      <w:pPr>
        <w:spacing w:line="360" w:lineRule="auto"/>
        <w:jc w:val="both"/>
      </w:pPr>
    </w:p>
    <w:p w14:paraId="7206313F" w14:textId="68490662" w:rsidR="00B92FBB" w:rsidRDefault="008A09CC">
      <w:pPr>
        <w:spacing w:line="360" w:lineRule="auto"/>
        <w:jc w:val="both"/>
      </w:pPr>
      <w:r>
        <w:t xml:space="preserve">ROA i ROE također pokazuju </w:t>
      </w:r>
      <w:r w:rsidR="00D13C7D">
        <w:t>signifikant</w:t>
      </w:r>
      <w:r w:rsidR="00F93671">
        <w:t>an utjecaj</w:t>
      </w:r>
      <w:r>
        <w:t>, iako manjeg intenziteta (ROA ≈ 8,3e-05; ROE ≈ 0,0021; oba p &lt; 0,01). To ukazuje da profitabilnija poduzeća održavaju ili povećavaju svoju likvidnost, potvrđujući pretpostavku da ostvarivanje većih povrata omogućuje generiranje većih internih izvora financiranja (</w:t>
      </w:r>
      <w:proofErr w:type="spellStart"/>
      <w:r>
        <w:t>Breale</w:t>
      </w:r>
      <w:r w:rsidR="00A80B25">
        <w:t>y</w:t>
      </w:r>
      <w:proofErr w:type="spellEnd"/>
      <w:r w:rsidR="00A80B25">
        <w:t xml:space="preserve"> i </w:t>
      </w:r>
      <w:r w:rsidR="00E173EE">
        <w:t>suradnici</w:t>
      </w:r>
      <w:r w:rsidR="00A80B25">
        <w:t>,</w:t>
      </w:r>
      <w:r>
        <w:t xml:space="preserve"> 2020</w:t>
      </w:r>
      <w:r w:rsidR="00A80B25">
        <w:t>, str. 636</w:t>
      </w:r>
      <w:r>
        <w:t>).</w:t>
      </w:r>
    </w:p>
    <w:p w14:paraId="729C414F" w14:textId="77777777" w:rsidR="00B92FBB" w:rsidRDefault="00B92FBB">
      <w:pPr>
        <w:spacing w:line="360" w:lineRule="auto"/>
        <w:jc w:val="both"/>
      </w:pPr>
    </w:p>
    <w:p w14:paraId="6F82649D" w14:textId="3182251C" w:rsidR="00B92FBB" w:rsidRDefault="008A09CC">
      <w:pPr>
        <w:spacing w:line="360" w:lineRule="auto"/>
        <w:jc w:val="both"/>
      </w:pPr>
      <w:r>
        <w:t xml:space="preserve">Kapitalna intenzivnost (KI) ima </w:t>
      </w:r>
      <w:r w:rsidR="005D2A4F">
        <w:t>signifikantan</w:t>
      </w:r>
      <w:r>
        <w:t xml:space="preserve"> koeficijent (≈ 0,00057; p &lt; 0,01). U kapitalno intenzivnim poduzećima očito postoji tendencija održavanja viših razina kratkoročnih resursa, najčešće zbog visokih operativnih troškova i potrebe za održavanjem stabilnog obrtnog kapitala.</w:t>
      </w:r>
    </w:p>
    <w:p w14:paraId="785AD10B" w14:textId="77777777" w:rsidR="00B92FBB" w:rsidRDefault="00B92FBB">
      <w:pPr>
        <w:spacing w:line="360" w:lineRule="auto"/>
        <w:jc w:val="both"/>
      </w:pPr>
    </w:p>
    <w:p w14:paraId="4F12967F" w14:textId="58950E5F" w:rsidR="00B92FBB" w:rsidRDefault="008A09CC">
      <w:pPr>
        <w:spacing w:line="360" w:lineRule="auto"/>
        <w:jc w:val="both"/>
      </w:pPr>
      <w:r>
        <w:t xml:space="preserve">Postotna promjena prihoda (PP) ima </w:t>
      </w:r>
      <w:r w:rsidR="005D2A4F" w:rsidRPr="005D2A4F">
        <w:t xml:space="preserve">signifikantan </w:t>
      </w:r>
      <w:r>
        <w:t>koeficijent (≈ -1,57e-06; p &lt; 0,01). Ovaj rezultat upućuje da brzi rast prihoda može privremeno iscrpiti likvidnost jer se sredstva usmjeravaju u financiranje rasta. To je tipično za ovaj industrijski sektor zbog ulaganja sredstava u povećanje zaliha, ulaganja u radni kapital i proširenja kapacitet.</w:t>
      </w:r>
    </w:p>
    <w:p w14:paraId="17245796" w14:textId="77777777" w:rsidR="00B92FBB" w:rsidRDefault="00B92FBB">
      <w:pPr>
        <w:spacing w:line="360" w:lineRule="auto"/>
        <w:jc w:val="both"/>
      </w:pPr>
    </w:p>
    <w:p w14:paraId="6840D9F9" w14:textId="77777777" w:rsidR="00B92FBB" w:rsidRDefault="008A09CC">
      <w:pPr>
        <w:spacing w:line="360" w:lineRule="auto"/>
        <w:jc w:val="both"/>
      </w:pPr>
      <w:r>
        <w:t xml:space="preserve">Povezanost između financijske poluge i likvidnosti naglašava važnost pristupa financijskim izvorima u očuvanju kratkoročne solventnosti. Negativan utjecaj rasta prihoda na likvidnost </w:t>
      </w:r>
      <w:r>
        <w:lastRenderedPageBreak/>
        <w:t>može se tumačiti kao posljedica agresivnog financiranja rasta vlastitim sredstvima što privremeno smanjuje raspoložive likvidne resurse.</w:t>
      </w:r>
    </w:p>
    <w:p w14:paraId="047F0654" w14:textId="77777777" w:rsidR="00AA0CA0" w:rsidRDefault="00AA0CA0">
      <w:pPr>
        <w:spacing w:line="360" w:lineRule="auto"/>
        <w:jc w:val="both"/>
      </w:pPr>
    </w:p>
    <w:p w14:paraId="428C7DB6" w14:textId="641045F2" w:rsidR="009E2F7F" w:rsidRPr="009E2F7F" w:rsidRDefault="009E2F7F" w:rsidP="009E2F7F">
      <w:pPr>
        <w:pStyle w:val="Opisslike"/>
        <w:keepNext/>
        <w:spacing w:line="360" w:lineRule="auto"/>
        <w:jc w:val="both"/>
        <w:rPr>
          <w:i w:val="0"/>
          <w:iCs w:val="0"/>
          <w:color w:val="000000" w:themeColor="text1"/>
          <w:sz w:val="22"/>
          <w:szCs w:val="22"/>
        </w:rPr>
      </w:pPr>
      <w:bookmarkStart w:id="50" w:name="_Toc207265197"/>
      <w:r w:rsidRPr="009E2F7F">
        <w:rPr>
          <w:i w:val="0"/>
          <w:iCs w:val="0"/>
          <w:color w:val="000000" w:themeColor="text1"/>
          <w:sz w:val="22"/>
          <w:szCs w:val="22"/>
        </w:rPr>
        <w:t xml:space="preserve">Tablica </w:t>
      </w:r>
      <w:r w:rsidRPr="009E2F7F">
        <w:rPr>
          <w:i w:val="0"/>
          <w:iCs w:val="0"/>
          <w:color w:val="000000" w:themeColor="text1"/>
          <w:sz w:val="22"/>
          <w:szCs w:val="22"/>
        </w:rPr>
        <w:fldChar w:fldCharType="begin"/>
      </w:r>
      <w:r w:rsidRPr="009E2F7F">
        <w:rPr>
          <w:i w:val="0"/>
          <w:iCs w:val="0"/>
          <w:color w:val="000000" w:themeColor="text1"/>
          <w:sz w:val="22"/>
          <w:szCs w:val="22"/>
        </w:rPr>
        <w:instrText xml:space="preserve"> SEQ Tablica \* ARABIC </w:instrText>
      </w:r>
      <w:r w:rsidRPr="009E2F7F">
        <w:rPr>
          <w:i w:val="0"/>
          <w:iCs w:val="0"/>
          <w:color w:val="000000" w:themeColor="text1"/>
          <w:sz w:val="22"/>
          <w:szCs w:val="22"/>
        </w:rPr>
        <w:fldChar w:fldCharType="separate"/>
      </w:r>
      <w:r w:rsidR="00D11EF7">
        <w:rPr>
          <w:i w:val="0"/>
          <w:iCs w:val="0"/>
          <w:noProof/>
          <w:color w:val="000000" w:themeColor="text1"/>
          <w:sz w:val="22"/>
          <w:szCs w:val="22"/>
        </w:rPr>
        <w:t>3</w:t>
      </w:r>
      <w:r w:rsidRPr="009E2F7F">
        <w:rPr>
          <w:i w:val="0"/>
          <w:iCs w:val="0"/>
          <w:color w:val="000000" w:themeColor="text1"/>
          <w:sz w:val="22"/>
          <w:szCs w:val="22"/>
        </w:rPr>
        <w:fldChar w:fldCharType="end"/>
      </w:r>
      <w:r w:rsidRPr="009E2F7F">
        <w:rPr>
          <w:i w:val="0"/>
          <w:iCs w:val="0"/>
          <w:color w:val="000000" w:themeColor="text1"/>
          <w:sz w:val="22"/>
          <w:szCs w:val="22"/>
        </w:rPr>
        <w:t xml:space="preserve">. </w:t>
      </w:r>
      <w:r w:rsidR="006525E9">
        <w:rPr>
          <w:i w:val="0"/>
          <w:iCs w:val="0"/>
          <w:color w:val="000000" w:themeColor="text1"/>
          <w:sz w:val="22"/>
          <w:szCs w:val="22"/>
        </w:rPr>
        <w:t xml:space="preserve"> </w:t>
      </w:r>
      <w:r w:rsidRPr="009E2F7F">
        <w:rPr>
          <w:i w:val="0"/>
          <w:iCs w:val="0"/>
          <w:color w:val="000000" w:themeColor="text1"/>
          <w:sz w:val="22"/>
          <w:szCs w:val="22"/>
        </w:rPr>
        <w:t xml:space="preserve">Rezultati dinamičkog panel modela za sektor C </w:t>
      </w:r>
      <w:r w:rsidRPr="009E2F7F">
        <w:rPr>
          <w:i w:val="0"/>
          <w:iCs w:val="0"/>
          <w:noProof/>
          <w:color w:val="000000" w:themeColor="text1"/>
          <w:sz w:val="22"/>
          <w:szCs w:val="22"/>
        </w:rPr>
        <w:t xml:space="preserve"> (podaci dostavljeni od strane FINA-e, izračun i obrada autorice u programu EViews 12)</w:t>
      </w:r>
      <w:bookmarkEnd w:id="50"/>
    </w:p>
    <w:tbl>
      <w:tblPr>
        <w:tblW w:w="8181" w:type="dxa"/>
        <w:tblLook w:val="04A0" w:firstRow="1" w:lastRow="0" w:firstColumn="1" w:lastColumn="0" w:noHBand="0" w:noVBand="1"/>
      </w:tblPr>
      <w:tblGrid>
        <w:gridCol w:w="1505"/>
        <w:gridCol w:w="2857"/>
        <w:gridCol w:w="2156"/>
        <w:gridCol w:w="1663"/>
      </w:tblGrid>
      <w:tr w:rsidR="00AA0CA0" w:rsidRPr="00AA0CA0" w14:paraId="790FD870" w14:textId="77777777" w:rsidTr="00AA0CA0">
        <w:trPr>
          <w:trHeight w:val="349"/>
        </w:trPr>
        <w:tc>
          <w:tcPr>
            <w:tcW w:w="6518" w:type="dxa"/>
            <w:gridSpan w:val="3"/>
            <w:tcBorders>
              <w:top w:val="single" w:sz="8" w:space="0" w:color="auto"/>
              <w:left w:val="single" w:sz="8" w:space="0" w:color="auto"/>
              <w:bottom w:val="nil"/>
              <w:right w:val="nil"/>
            </w:tcBorders>
            <w:vAlign w:val="center"/>
            <w:hideMark/>
          </w:tcPr>
          <w:p w14:paraId="18227479" w14:textId="77777777" w:rsidR="00AA0CA0" w:rsidRPr="00AA0CA0" w:rsidRDefault="00AA0CA0" w:rsidP="00AA0CA0">
            <w:pPr>
              <w:spacing w:line="240" w:lineRule="auto"/>
              <w:jc w:val="center"/>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color w:val="000000"/>
                <w:szCs w:val="24"/>
                <w:lang w:val="hr-HR" w:eastAsia="hr-HR"/>
              </w:rPr>
              <w:t>Varijabla / Opis</w:t>
            </w:r>
          </w:p>
        </w:tc>
        <w:tc>
          <w:tcPr>
            <w:tcW w:w="1663" w:type="dxa"/>
            <w:tcBorders>
              <w:top w:val="single" w:sz="8" w:space="0" w:color="auto"/>
              <w:left w:val="nil"/>
              <w:bottom w:val="nil"/>
              <w:right w:val="single" w:sz="8" w:space="0" w:color="auto"/>
            </w:tcBorders>
            <w:vAlign w:val="center"/>
            <w:hideMark/>
          </w:tcPr>
          <w:p w14:paraId="7CDB0305" w14:textId="77777777" w:rsidR="00AA0CA0" w:rsidRPr="00AA0CA0" w:rsidRDefault="00AA0CA0" w:rsidP="00AA0CA0">
            <w:pPr>
              <w:spacing w:line="240" w:lineRule="auto"/>
              <w:jc w:val="center"/>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color w:val="000000"/>
                <w:szCs w:val="24"/>
                <w:lang w:val="hr-HR" w:eastAsia="hr-HR"/>
              </w:rPr>
              <w:t xml:space="preserve">Model </w:t>
            </w:r>
          </w:p>
        </w:tc>
      </w:tr>
      <w:tr w:rsidR="00AA0CA0" w:rsidRPr="00AA0CA0" w14:paraId="23B7C2F6" w14:textId="77777777" w:rsidTr="00AA0CA0">
        <w:trPr>
          <w:trHeight w:val="378"/>
        </w:trPr>
        <w:tc>
          <w:tcPr>
            <w:tcW w:w="1505" w:type="dxa"/>
            <w:tcBorders>
              <w:top w:val="nil"/>
              <w:left w:val="single" w:sz="8" w:space="0" w:color="auto"/>
              <w:bottom w:val="nil"/>
              <w:right w:val="nil"/>
            </w:tcBorders>
            <w:shd w:val="clear" w:color="000000" w:fill="D9D9D9"/>
            <w:hideMark/>
          </w:tcPr>
          <w:p w14:paraId="6FEF4A2E" w14:textId="77777777" w:rsidR="00AA0CA0" w:rsidRPr="00AA0CA0" w:rsidRDefault="00AA0CA0" w:rsidP="00AA0CA0">
            <w:pPr>
              <w:spacing w:line="240" w:lineRule="auto"/>
              <w:rPr>
                <w:rFonts w:ascii="Times New Roman" w:eastAsia="Times New Roman" w:hAnsi="Times New Roman" w:cs="Times New Roman"/>
                <w:b/>
                <w:bCs/>
                <w:color w:val="000000"/>
                <w:sz w:val="24"/>
                <w:szCs w:val="24"/>
                <w:lang w:val="hr-HR" w:eastAsia="hr-HR"/>
              </w:rPr>
            </w:pPr>
            <w:r w:rsidRPr="00AA0CA0">
              <w:rPr>
                <w:rFonts w:ascii="Times New Roman" w:eastAsia="Times New Roman" w:hAnsi="Times New Roman" w:cs="Times New Roman"/>
                <w:b/>
                <w:bCs/>
                <w:color w:val="000000"/>
                <w:sz w:val="24"/>
                <w:szCs w:val="24"/>
                <w:lang w:val="hr-HR" w:eastAsia="hr-HR"/>
              </w:rPr>
              <w:t xml:space="preserve">KTL </w:t>
            </w:r>
            <w:proofErr w:type="spellStart"/>
            <w:r w:rsidRPr="00AA0CA0">
              <w:rPr>
                <w:rFonts w:ascii="Times New Roman" w:eastAsia="Times New Roman" w:hAnsi="Times New Roman" w:cs="Times New Roman"/>
                <w:b/>
                <w:bCs/>
                <w:color w:val="000000"/>
                <w:sz w:val="24"/>
                <w:szCs w:val="24"/>
                <w:lang w:val="hr-HR" w:eastAsia="hr-HR"/>
              </w:rPr>
              <w:t>i,t</w:t>
            </w:r>
            <w:proofErr w:type="spellEnd"/>
          </w:p>
        </w:tc>
        <w:tc>
          <w:tcPr>
            <w:tcW w:w="5013" w:type="dxa"/>
            <w:gridSpan w:val="2"/>
            <w:tcBorders>
              <w:top w:val="nil"/>
              <w:left w:val="nil"/>
              <w:bottom w:val="nil"/>
              <w:right w:val="nil"/>
            </w:tcBorders>
            <w:shd w:val="clear" w:color="000000" w:fill="D9D9D9"/>
            <w:vAlign w:val="center"/>
            <w:hideMark/>
          </w:tcPr>
          <w:p w14:paraId="49FDAC8A" w14:textId="77777777" w:rsidR="00AA0CA0" w:rsidRPr="00AA0CA0" w:rsidRDefault="00AA0CA0" w:rsidP="00AA0CA0">
            <w:pPr>
              <w:spacing w:line="240" w:lineRule="auto"/>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color w:val="000000"/>
                <w:lang w:val="hr-HR" w:eastAsia="hr-HR"/>
              </w:rPr>
              <w:t>Zavisna varijabla</w:t>
            </w:r>
          </w:p>
        </w:tc>
        <w:tc>
          <w:tcPr>
            <w:tcW w:w="1663" w:type="dxa"/>
            <w:tcBorders>
              <w:top w:val="nil"/>
              <w:left w:val="nil"/>
              <w:bottom w:val="nil"/>
              <w:right w:val="single" w:sz="8" w:space="0" w:color="auto"/>
            </w:tcBorders>
            <w:shd w:val="clear" w:color="000000" w:fill="D9D9D9"/>
            <w:vAlign w:val="center"/>
            <w:hideMark/>
          </w:tcPr>
          <w:p w14:paraId="23D0FE48" w14:textId="77777777" w:rsidR="00AA0CA0" w:rsidRPr="00AA0CA0" w:rsidRDefault="00AA0CA0" w:rsidP="00AA0CA0">
            <w:pPr>
              <w:spacing w:line="240" w:lineRule="auto"/>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szCs w:val="24"/>
                <w:lang w:val="hr-HR" w:eastAsia="hr-HR"/>
              </w:rPr>
              <w:t>-</w:t>
            </w:r>
          </w:p>
        </w:tc>
      </w:tr>
      <w:tr w:rsidR="00AA0CA0" w:rsidRPr="00AA0CA0" w14:paraId="70AAAFD2" w14:textId="77777777" w:rsidTr="00AA0CA0">
        <w:trPr>
          <w:trHeight w:val="349"/>
        </w:trPr>
        <w:tc>
          <w:tcPr>
            <w:tcW w:w="1505" w:type="dxa"/>
            <w:vMerge w:val="restart"/>
            <w:tcBorders>
              <w:top w:val="nil"/>
              <w:left w:val="single" w:sz="8" w:space="0" w:color="auto"/>
              <w:bottom w:val="nil"/>
              <w:right w:val="nil"/>
            </w:tcBorders>
            <w:hideMark/>
          </w:tcPr>
          <w:p w14:paraId="5BBF10B0" w14:textId="77777777" w:rsidR="00AA0CA0" w:rsidRPr="00AA0CA0" w:rsidRDefault="00AA0CA0" w:rsidP="00AA0CA0">
            <w:pPr>
              <w:spacing w:line="240" w:lineRule="auto"/>
              <w:rPr>
                <w:rFonts w:ascii="Times New Roman" w:eastAsia="Times New Roman" w:hAnsi="Times New Roman" w:cs="Times New Roman"/>
                <w:color w:val="000000"/>
                <w:sz w:val="24"/>
                <w:szCs w:val="24"/>
                <w:lang w:val="hr-HR" w:eastAsia="hr-HR"/>
              </w:rPr>
            </w:pPr>
            <w:r w:rsidRPr="00AA0CA0">
              <w:rPr>
                <w:rFonts w:ascii="Times New Roman" w:eastAsia="Times New Roman" w:hAnsi="Times New Roman" w:cs="Times New Roman"/>
                <w:color w:val="000000"/>
                <w:sz w:val="24"/>
                <w:szCs w:val="24"/>
                <w:lang w:val="hr-HR" w:eastAsia="hr-HR"/>
              </w:rPr>
              <w:t xml:space="preserve">KTL </w:t>
            </w:r>
            <w:proofErr w:type="spellStart"/>
            <w:r w:rsidRPr="00AA0CA0">
              <w:rPr>
                <w:rFonts w:ascii="Times New Roman" w:eastAsia="Times New Roman" w:hAnsi="Times New Roman" w:cs="Times New Roman"/>
                <w:color w:val="000000"/>
                <w:sz w:val="24"/>
                <w:szCs w:val="24"/>
                <w:lang w:val="hr-HR" w:eastAsia="hr-HR"/>
              </w:rPr>
              <w:t>i,t</w:t>
            </w:r>
            <w:proofErr w:type="spellEnd"/>
          </w:p>
        </w:tc>
        <w:tc>
          <w:tcPr>
            <w:tcW w:w="2857" w:type="dxa"/>
            <w:vMerge w:val="restart"/>
            <w:tcBorders>
              <w:top w:val="nil"/>
              <w:left w:val="nil"/>
              <w:bottom w:val="nil"/>
              <w:right w:val="nil"/>
            </w:tcBorders>
            <w:vAlign w:val="center"/>
            <w:hideMark/>
          </w:tcPr>
          <w:p w14:paraId="4BF0080E"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Konstanta</w:t>
            </w:r>
          </w:p>
        </w:tc>
        <w:tc>
          <w:tcPr>
            <w:tcW w:w="2155" w:type="dxa"/>
            <w:tcBorders>
              <w:top w:val="nil"/>
              <w:left w:val="nil"/>
              <w:bottom w:val="nil"/>
              <w:right w:val="nil"/>
            </w:tcBorders>
            <w:vAlign w:val="center"/>
            <w:hideMark/>
          </w:tcPr>
          <w:p w14:paraId="5271CBF0"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 xml:space="preserve">Koeficijent </w:t>
            </w:r>
          </w:p>
        </w:tc>
        <w:tc>
          <w:tcPr>
            <w:tcW w:w="1663" w:type="dxa"/>
            <w:tcBorders>
              <w:top w:val="nil"/>
              <w:left w:val="nil"/>
              <w:bottom w:val="nil"/>
              <w:right w:val="single" w:sz="8" w:space="0" w:color="auto"/>
            </w:tcBorders>
            <w:vAlign w:val="center"/>
            <w:hideMark/>
          </w:tcPr>
          <w:p w14:paraId="72A9A1A2"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0,003021</w:t>
            </w:r>
          </w:p>
        </w:tc>
      </w:tr>
      <w:tr w:rsidR="00AA0CA0" w:rsidRPr="00AA0CA0" w14:paraId="110454CD" w14:textId="77777777" w:rsidTr="00AA0CA0">
        <w:trPr>
          <w:trHeight w:val="349"/>
        </w:trPr>
        <w:tc>
          <w:tcPr>
            <w:tcW w:w="1505" w:type="dxa"/>
            <w:vMerge/>
            <w:tcBorders>
              <w:top w:val="nil"/>
              <w:left w:val="single" w:sz="8" w:space="0" w:color="auto"/>
              <w:bottom w:val="nil"/>
              <w:right w:val="nil"/>
            </w:tcBorders>
            <w:vAlign w:val="center"/>
            <w:hideMark/>
          </w:tcPr>
          <w:p w14:paraId="5F2801C0" w14:textId="77777777" w:rsidR="00AA0CA0" w:rsidRPr="00AA0CA0" w:rsidRDefault="00AA0CA0" w:rsidP="00AA0CA0">
            <w:pPr>
              <w:spacing w:line="240" w:lineRule="auto"/>
              <w:rPr>
                <w:rFonts w:ascii="Times New Roman" w:eastAsia="Times New Roman" w:hAnsi="Times New Roman" w:cs="Times New Roman"/>
                <w:color w:val="000000"/>
                <w:sz w:val="24"/>
                <w:szCs w:val="24"/>
                <w:lang w:val="hr-HR" w:eastAsia="hr-HR"/>
              </w:rPr>
            </w:pPr>
          </w:p>
        </w:tc>
        <w:tc>
          <w:tcPr>
            <w:tcW w:w="2857" w:type="dxa"/>
            <w:vMerge/>
            <w:tcBorders>
              <w:top w:val="nil"/>
              <w:left w:val="nil"/>
              <w:bottom w:val="nil"/>
              <w:right w:val="nil"/>
            </w:tcBorders>
            <w:vAlign w:val="center"/>
            <w:hideMark/>
          </w:tcPr>
          <w:p w14:paraId="1CD80356"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55" w:type="dxa"/>
            <w:tcBorders>
              <w:top w:val="nil"/>
              <w:left w:val="nil"/>
              <w:bottom w:val="nil"/>
              <w:right w:val="nil"/>
            </w:tcBorders>
            <w:vAlign w:val="center"/>
            <w:hideMark/>
          </w:tcPr>
          <w:p w14:paraId="2604B2E4"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p-vrijednost</w:t>
            </w:r>
          </w:p>
        </w:tc>
        <w:tc>
          <w:tcPr>
            <w:tcW w:w="1663" w:type="dxa"/>
            <w:tcBorders>
              <w:top w:val="nil"/>
              <w:left w:val="nil"/>
              <w:bottom w:val="nil"/>
              <w:right w:val="single" w:sz="8" w:space="0" w:color="auto"/>
            </w:tcBorders>
            <w:vAlign w:val="center"/>
            <w:hideMark/>
          </w:tcPr>
          <w:p w14:paraId="1D4F9498"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0,0000</w:t>
            </w:r>
          </w:p>
        </w:tc>
      </w:tr>
      <w:tr w:rsidR="00AA0CA0" w:rsidRPr="00AA0CA0" w14:paraId="7927D131" w14:textId="77777777" w:rsidTr="00AA0CA0">
        <w:trPr>
          <w:trHeight w:val="349"/>
        </w:trPr>
        <w:tc>
          <w:tcPr>
            <w:tcW w:w="1505" w:type="dxa"/>
            <w:vMerge w:val="restart"/>
            <w:tcBorders>
              <w:top w:val="nil"/>
              <w:left w:val="single" w:sz="8" w:space="0" w:color="auto"/>
              <w:bottom w:val="nil"/>
              <w:right w:val="nil"/>
            </w:tcBorders>
            <w:vAlign w:val="center"/>
            <w:hideMark/>
          </w:tcPr>
          <w:p w14:paraId="6E35FE2F"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DER</w:t>
            </w:r>
          </w:p>
        </w:tc>
        <w:tc>
          <w:tcPr>
            <w:tcW w:w="2857" w:type="dxa"/>
            <w:vMerge w:val="restart"/>
            <w:tcBorders>
              <w:top w:val="nil"/>
              <w:left w:val="nil"/>
              <w:bottom w:val="nil"/>
              <w:right w:val="nil"/>
            </w:tcBorders>
            <w:vAlign w:val="center"/>
            <w:hideMark/>
          </w:tcPr>
          <w:p w14:paraId="28653661"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55" w:type="dxa"/>
            <w:tcBorders>
              <w:top w:val="nil"/>
              <w:left w:val="nil"/>
              <w:bottom w:val="nil"/>
              <w:right w:val="nil"/>
            </w:tcBorders>
            <w:vAlign w:val="center"/>
            <w:hideMark/>
          </w:tcPr>
          <w:p w14:paraId="4DE3F0E4"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63" w:type="dxa"/>
            <w:tcBorders>
              <w:top w:val="nil"/>
              <w:left w:val="nil"/>
              <w:bottom w:val="nil"/>
              <w:right w:val="single" w:sz="8" w:space="0" w:color="auto"/>
            </w:tcBorders>
            <w:vAlign w:val="center"/>
            <w:hideMark/>
          </w:tcPr>
          <w:p w14:paraId="3C9D49DF"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0,00034</w:t>
            </w:r>
          </w:p>
        </w:tc>
      </w:tr>
      <w:tr w:rsidR="00AA0CA0" w:rsidRPr="00AA0CA0" w14:paraId="02BF88A9" w14:textId="77777777" w:rsidTr="00AA0CA0">
        <w:trPr>
          <w:trHeight w:val="349"/>
        </w:trPr>
        <w:tc>
          <w:tcPr>
            <w:tcW w:w="1505" w:type="dxa"/>
            <w:vMerge/>
            <w:tcBorders>
              <w:top w:val="nil"/>
              <w:left w:val="single" w:sz="8" w:space="0" w:color="auto"/>
              <w:bottom w:val="nil"/>
              <w:right w:val="nil"/>
            </w:tcBorders>
            <w:vAlign w:val="center"/>
            <w:hideMark/>
          </w:tcPr>
          <w:p w14:paraId="0791353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57" w:type="dxa"/>
            <w:vMerge/>
            <w:tcBorders>
              <w:top w:val="nil"/>
              <w:left w:val="nil"/>
              <w:bottom w:val="nil"/>
              <w:right w:val="nil"/>
            </w:tcBorders>
            <w:vAlign w:val="center"/>
            <w:hideMark/>
          </w:tcPr>
          <w:p w14:paraId="68B2845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55" w:type="dxa"/>
            <w:tcBorders>
              <w:top w:val="nil"/>
              <w:left w:val="nil"/>
              <w:bottom w:val="nil"/>
              <w:right w:val="nil"/>
            </w:tcBorders>
            <w:vAlign w:val="center"/>
            <w:hideMark/>
          </w:tcPr>
          <w:p w14:paraId="238B30BB"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nil"/>
              <w:right w:val="single" w:sz="8" w:space="0" w:color="auto"/>
            </w:tcBorders>
            <w:vAlign w:val="center"/>
            <w:hideMark/>
          </w:tcPr>
          <w:p w14:paraId="2DD941D6"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0,0000</w:t>
            </w:r>
          </w:p>
        </w:tc>
      </w:tr>
      <w:tr w:rsidR="00AA0CA0" w:rsidRPr="00AA0CA0" w14:paraId="344FA109" w14:textId="77777777" w:rsidTr="00AA0CA0">
        <w:trPr>
          <w:trHeight w:val="349"/>
        </w:trPr>
        <w:tc>
          <w:tcPr>
            <w:tcW w:w="1505" w:type="dxa"/>
            <w:vMerge w:val="restart"/>
            <w:tcBorders>
              <w:top w:val="nil"/>
              <w:left w:val="single" w:sz="8" w:space="0" w:color="auto"/>
              <w:bottom w:val="nil"/>
              <w:right w:val="nil"/>
            </w:tcBorders>
            <w:vAlign w:val="center"/>
            <w:hideMark/>
          </w:tcPr>
          <w:p w14:paraId="08EA6DAD"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ROA</w:t>
            </w:r>
          </w:p>
        </w:tc>
        <w:tc>
          <w:tcPr>
            <w:tcW w:w="2857" w:type="dxa"/>
            <w:vMerge w:val="restart"/>
            <w:tcBorders>
              <w:top w:val="nil"/>
              <w:left w:val="nil"/>
              <w:bottom w:val="nil"/>
              <w:right w:val="nil"/>
            </w:tcBorders>
            <w:vAlign w:val="center"/>
            <w:hideMark/>
          </w:tcPr>
          <w:p w14:paraId="247E34C2"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55" w:type="dxa"/>
            <w:tcBorders>
              <w:top w:val="nil"/>
              <w:left w:val="nil"/>
              <w:bottom w:val="nil"/>
              <w:right w:val="nil"/>
            </w:tcBorders>
            <w:vAlign w:val="center"/>
            <w:hideMark/>
          </w:tcPr>
          <w:p w14:paraId="18BAB5B6"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63" w:type="dxa"/>
            <w:tcBorders>
              <w:top w:val="nil"/>
              <w:left w:val="nil"/>
              <w:bottom w:val="nil"/>
              <w:right w:val="single" w:sz="8" w:space="0" w:color="auto"/>
            </w:tcBorders>
            <w:vAlign w:val="center"/>
            <w:hideMark/>
          </w:tcPr>
          <w:p w14:paraId="4DD9B709"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8,33E-05</w:t>
            </w:r>
          </w:p>
        </w:tc>
      </w:tr>
      <w:tr w:rsidR="00AA0CA0" w:rsidRPr="00AA0CA0" w14:paraId="59E6EF54" w14:textId="77777777" w:rsidTr="00AA0CA0">
        <w:trPr>
          <w:trHeight w:val="349"/>
        </w:trPr>
        <w:tc>
          <w:tcPr>
            <w:tcW w:w="1505" w:type="dxa"/>
            <w:vMerge/>
            <w:tcBorders>
              <w:top w:val="nil"/>
              <w:left w:val="single" w:sz="8" w:space="0" w:color="auto"/>
              <w:bottom w:val="nil"/>
              <w:right w:val="nil"/>
            </w:tcBorders>
            <w:vAlign w:val="center"/>
            <w:hideMark/>
          </w:tcPr>
          <w:p w14:paraId="6DE1A07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57" w:type="dxa"/>
            <w:vMerge/>
            <w:tcBorders>
              <w:top w:val="nil"/>
              <w:left w:val="nil"/>
              <w:bottom w:val="nil"/>
              <w:right w:val="nil"/>
            </w:tcBorders>
            <w:vAlign w:val="center"/>
            <w:hideMark/>
          </w:tcPr>
          <w:p w14:paraId="03D52EE0"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55" w:type="dxa"/>
            <w:tcBorders>
              <w:top w:val="nil"/>
              <w:left w:val="nil"/>
              <w:bottom w:val="nil"/>
              <w:right w:val="nil"/>
            </w:tcBorders>
            <w:vAlign w:val="center"/>
            <w:hideMark/>
          </w:tcPr>
          <w:p w14:paraId="24740BC9"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nil"/>
              <w:right w:val="single" w:sz="8" w:space="0" w:color="auto"/>
            </w:tcBorders>
            <w:vAlign w:val="center"/>
            <w:hideMark/>
          </w:tcPr>
          <w:p w14:paraId="12F4F1A5"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0,0000</w:t>
            </w:r>
          </w:p>
        </w:tc>
      </w:tr>
      <w:tr w:rsidR="00AA0CA0" w:rsidRPr="00AA0CA0" w14:paraId="3CB3AFE9" w14:textId="77777777" w:rsidTr="00AA0CA0">
        <w:trPr>
          <w:trHeight w:val="349"/>
        </w:trPr>
        <w:tc>
          <w:tcPr>
            <w:tcW w:w="1505" w:type="dxa"/>
            <w:vMerge w:val="restart"/>
            <w:tcBorders>
              <w:top w:val="nil"/>
              <w:left w:val="single" w:sz="8" w:space="0" w:color="auto"/>
              <w:bottom w:val="nil"/>
              <w:right w:val="nil"/>
            </w:tcBorders>
            <w:vAlign w:val="center"/>
            <w:hideMark/>
          </w:tcPr>
          <w:p w14:paraId="0B783FB0"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ROE</w:t>
            </w:r>
          </w:p>
        </w:tc>
        <w:tc>
          <w:tcPr>
            <w:tcW w:w="2857" w:type="dxa"/>
            <w:vMerge w:val="restart"/>
            <w:tcBorders>
              <w:top w:val="nil"/>
              <w:left w:val="nil"/>
              <w:bottom w:val="nil"/>
              <w:right w:val="nil"/>
            </w:tcBorders>
            <w:vAlign w:val="center"/>
            <w:hideMark/>
          </w:tcPr>
          <w:p w14:paraId="1F2FF212"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55" w:type="dxa"/>
            <w:tcBorders>
              <w:top w:val="nil"/>
              <w:left w:val="nil"/>
              <w:bottom w:val="nil"/>
              <w:right w:val="nil"/>
            </w:tcBorders>
            <w:vAlign w:val="center"/>
            <w:hideMark/>
          </w:tcPr>
          <w:p w14:paraId="0D6659AF"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63" w:type="dxa"/>
            <w:tcBorders>
              <w:top w:val="nil"/>
              <w:left w:val="nil"/>
              <w:bottom w:val="nil"/>
              <w:right w:val="single" w:sz="8" w:space="0" w:color="auto"/>
            </w:tcBorders>
            <w:vAlign w:val="center"/>
            <w:hideMark/>
          </w:tcPr>
          <w:p w14:paraId="2A8B4A72"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0,002097</w:t>
            </w:r>
          </w:p>
        </w:tc>
      </w:tr>
      <w:tr w:rsidR="00AA0CA0" w:rsidRPr="00AA0CA0" w14:paraId="7EEEFCAE" w14:textId="77777777" w:rsidTr="00AA0CA0">
        <w:trPr>
          <w:trHeight w:val="349"/>
        </w:trPr>
        <w:tc>
          <w:tcPr>
            <w:tcW w:w="1505" w:type="dxa"/>
            <w:vMerge/>
            <w:tcBorders>
              <w:top w:val="nil"/>
              <w:left w:val="single" w:sz="8" w:space="0" w:color="auto"/>
              <w:bottom w:val="nil"/>
              <w:right w:val="nil"/>
            </w:tcBorders>
            <w:vAlign w:val="center"/>
            <w:hideMark/>
          </w:tcPr>
          <w:p w14:paraId="547055D6"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57" w:type="dxa"/>
            <w:vMerge/>
            <w:tcBorders>
              <w:top w:val="nil"/>
              <w:left w:val="nil"/>
              <w:bottom w:val="nil"/>
              <w:right w:val="nil"/>
            </w:tcBorders>
            <w:vAlign w:val="center"/>
            <w:hideMark/>
          </w:tcPr>
          <w:p w14:paraId="7499C490"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55" w:type="dxa"/>
            <w:tcBorders>
              <w:top w:val="nil"/>
              <w:left w:val="nil"/>
              <w:bottom w:val="nil"/>
              <w:right w:val="nil"/>
            </w:tcBorders>
            <w:vAlign w:val="center"/>
            <w:hideMark/>
          </w:tcPr>
          <w:p w14:paraId="4A16AFA3"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nil"/>
              <w:right w:val="single" w:sz="8" w:space="0" w:color="auto"/>
            </w:tcBorders>
            <w:vAlign w:val="center"/>
            <w:hideMark/>
          </w:tcPr>
          <w:p w14:paraId="635CECA2"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0,0000</w:t>
            </w:r>
          </w:p>
        </w:tc>
      </w:tr>
      <w:tr w:rsidR="00AA0CA0" w:rsidRPr="00AA0CA0" w14:paraId="01BC2A20" w14:textId="77777777" w:rsidTr="00AA0CA0">
        <w:trPr>
          <w:trHeight w:val="349"/>
        </w:trPr>
        <w:tc>
          <w:tcPr>
            <w:tcW w:w="1505" w:type="dxa"/>
            <w:vMerge w:val="restart"/>
            <w:tcBorders>
              <w:top w:val="nil"/>
              <w:left w:val="single" w:sz="8" w:space="0" w:color="auto"/>
              <w:bottom w:val="nil"/>
              <w:right w:val="nil"/>
            </w:tcBorders>
            <w:vAlign w:val="center"/>
            <w:hideMark/>
          </w:tcPr>
          <w:p w14:paraId="3160ACC0"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KI</w:t>
            </w:r>
          </w:p>
        </w:tc>
        <w:tc>
          <w:tcPr>
            <w:tcW w:w="2857" w:type="dxa"/>
            <w:vMerge w:val="restart"/>
            <w:tcBorders>
              <w:top w:val="nil"/>
              <w:left w:val="nil"/>
              <w:bottom w:val="nil"/>
              <w:right w:val="nil"/>
            </w:tcBorders>
            <w:vAlign w:val="center"/>
            <w:hideMark/>
          </w:tcPr>
          <w:p w14:paraId="64D0203C"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55" w:type="dxa"/>
            <w:tcBorders>
              <w:top w:val="nil"/>
              <w:left w:val="nil"/>
              <w:bottom w:val="nil"/>
              <w:right w:val="nil"/>
            </w:tcBorders>
            <w:vAlign w:val="center"/>
            <w:hideMark/>
          </w:tcPr>
          <w:p w14:paraId="1F717983"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63" w:type="dxa"/>
            <w:tcBorders>
              <w:top w:val="nil"/>
              <w:left w:val="nil"/>
              <w:bottom w:val="nil"/>
              <w:right w:val="single" w:sz="8" w:space="0" w:color="auto"/>
            </w:tcBorders>
            <w:vAlign w:val="center"/>
            <w:hideMark/>
          </w:tcPr>
          <w:p w14:paraId="5F4F56A7"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0,000507</w:t>
            </w:r>
          </w:p>
        </w:tc>
      </w:tr>
      <w:tr w:rsidR="00AA0CA0" w:rsidRPr="00AA0CA0" w14:paraId="71A32A49" w14:textId="77777777" w:rsidTr="00AA0CA0">
        <w:trPr>
          <w:trHeight w:val="349"/>
        </w:trPr>
        <w:tc>
          <w:tcPr>
            <w:tcW w:w="1505" w:type="dxa"/>
            <w:vMerge/>
            <w:tcBorders>
              <w:top w:val="nil"/>
              <w:left w:val="single" w:sz="8" w:space="0" w:color="auto"/>
              <w:bottom w:val="nil"/>
              <w:right w:val="nil"/>
            </w:tcBorders>
            <w:vAlign w:val="center"/>
            <w:hideMark/>
          </w:tcPr>
          <w:p w14:paraId="2AA8BEDB"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57" w:type="dxa"/>
            <w:vMerge/>
            <w:tcBorders>
              <w:top w:val="nil"/>
              <w:left w:val="nil"/>
              <w:bottom w:val="nil"/>
              <w:right w:val="nil"/>
            </w:tcBorders>
            <w:vAlign w:val="center"/>
            <w:hideMark/>
          </w:tcPr>
          <w:p w14:paraId="26AE9800"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55" w:type="dxa"/>
            <w:tcBorders>
              <w:top w:val="nil"/>
              <w:left w:val="nil"/>
              <w:bottom w:val="nil"/>
              <w:right w:val="nil"/>
            </w:tcBorders>
            <w:vAlign w:val="center"/>
            <w:hideMark/>
          </w:tcPr>
          <w:p w14:paraId="130A0A93"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nil"/>
              <w:right w:val="single" w:sz="8" w:space="0" w:color="auto"/>
            </w:tcBorders>
            <w:vAlign w:val="center"/>
            <w:hideMark/>
          </w:tcPr>
          <w:p w14:paraId="03446353"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0,0000</w:t>
            </w:r>
          </w:p>
        </w:tc>
      </w:tr>
      <w:tr w:rsidR="00AA0CA0" w:rsidRPr="00AA0CA0" w14:paraId="6358A5C0" w14:textId="77777777" w:rsidTr="00AA0CA0">
        <w:trPr>
          <w:trHeight w:val="349"/>
        </w:trPr>
        <w:tc>
          <w:tcPr>
            <w:tcW w:w="1505" w:type="dxa"/>
            <w:vMerge w:val="restart"/>
            <w:tcBorders>
              <w:top w:val="nil"/>
              <w:left w:val="single" w:sz="8" w:space="0" w:color="auto"/>
              <w:bottom w:val="nil"/>
              <w:right w:val="nil"/>
            </w:tcBorders>
            <w:vAlign w:val="center"/>
            <w:hideMark/>
          </w:tcPr>
          <w:p w14:paraId="1B9A2923"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PP</w:t>
            </w:r>
          </w:p>
        </w:tc>
        <w:tc>
          <w:tcPr>
            <w:tcW w:w="2857" w:type="dxa"/>
            <w:vMerge w:val="restart"/>
            <w:tcBorders>
              <w:top w:val="nil"/>
              <w:left w:val="nil"/>
              <w:bottom w:val="nil"/>
              <w:right w:val="nil"/>
            </w:tcBorders>
            <w:vAlign w:val="center"/>
            <w:hideMark/>
          </w:tcPr>
          <w:p w14:paraId="0428DC71"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Nezavisna varijabla</w:t>
            </w:r>
          </w:p>
        </w:tc>
        <w:tc>
          <w:tcPr>
            <w:tcW w:w="2155" w:type="dxa"/>
            <w:tcBorders>
              <w:top w:val="nil"/>
              <w:left w:val="nil"/>
              <w:bottom w:val="nil"/>
              <w:right w:val="nil"/>
            </w:tcBorders>
            <w:vAlign w:val="center"/>
            <w:hideMark/>
          </w:tcPr>
          <w:p w14:paraId="2E9D7B6C"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63" w:type="dxa"/>
            <w:tcBorders>
              <w:top w:val="nil"/>
              <w:left w:val="nil"/>
              <w:bottom w:val="nil"/>
              <w:right w:val="single" w:sz="8" w:space="0" w:color="auto"/>
            </w:tcBorders>
            <w:vAlign w:val="center"/>
            <w:hideMark/>
          </w:tcPr>
          <w:p w14:paraId="6A94A3B1"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1,57E-06</w:t>
            </w:r>
          </w:p>
        </w:tc>
      </w:tr>
      <w:tr w:rsidR="00AA0CA0" w:rsidRPr="00AA0CA0" w14:paraId="69BB4816" w14:textId="77777777" w:rsidTr="00AA0CA0">
        <w:trPr>
          <w:trHeight w:val="363"/>
        </w:trPr>
        <w:tc>
          <w:tcPr>
            <w:tcW w:w="1505" w:type="dxa"/>
            <w:vMerge/>
            <w:tcBorders>
              <w:top w:val="nil"/>
              <w:left w:val="single" w:sz="8" w:space="0" w:color="auto"/>
              <w:bottom w:val="nil"/>
              <w:right w:val="nil"/>
            </w:tcBorders>
            <w:vAlign w:val="center"/>
            <w:hideMark/>
          </w:tcPr>
          <w:p w14:paraId="5ADB9888"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57" w:type="dxa"/>
            <w:vMerge/>
            <w:tcBorders>
              <w:top w:val="nil"/>
              <w:left w:val="nil"/>
              <w:bottom w:val="nil"/>
              <w:right w:val="nil"/>
            </w:tcBorders>
            <w:vAlign w:val="center"/>
            <w:hideMark/>
          </w:tcPr>
          <w:p w14:paraId="357774D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55" w:type="dxa"/>
            <w:tcBorders>
              <w:top w:val="nil"/>
              <w:left w:val="nil"/>
              <w:bottom w:val="nil"/>
              <w:right w:val="nil"/>
            </w:tcBorders>
            <w:vAlign w:val="center"/>
            <w:hideMark/>
          </w:tcPr>
          <w:p w14:paraId="42C966D8"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single" w:sz="8" w:space="0" w:color="auto"/>
              <w:right w:val="single" w:sz="8" w:space="0" w:color="auto"/>
            </w:tcBorders>
            <w:vAlign w:val="center"/>
            <w:hideMark/>
          </w:tcPr>
          <w:p w14:paraId="437B3C0B"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0,0000</w:t>
            </w:r>
          </w:p>
        </w:tc>
      </w:tr>
      <w:tr w:rsidR="00AA0CA0" w:rsidRPr="00AA0CA0" w14:paraId="1E8F3CA5" w14:textId="77777777" w:rsidTr="00AA0CA0">
        <w:trPr>
          <w:trHeight w:val="349"/>
        </w:trPr>
        <w:tc>
          <w:tcPr>
            <w:tcW w:w="6518" w:type="dxa"/>
            <w:gridSpan w:val="3"/>
            <w:tcBorders>
              <w:top w:val="single" w:sz="8" w:space="0" w:color="auto"/>
              <w:left w:val="single" w:sz="8" w:space="0" w:color="auto"/>
              <w:bottom w:val="nil"/>
              <w:right w:val="nil"/>
            </w:tcBorders>
            <w:vAlign w:val="center"/>
            <w:hideMark/>
          </w:tcPr>
          <w:p w14:paraId="50C968E1"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Broj opažanja</w:t>
            </w:r>
          </w:p>
        </w:tc>
        <w:tc>
          <w:tcPr>
            <w:tcW w:w="1663" w:type="dxa"/>
            <w:tcBorders>
              <w:top w:val="nil"/>
              <w:left w:val="nil"/>
              <w:bottom w:val="nil"/>
              <w:right w:val="single" w:sz="8" w:space="0" w:color="auto"/>
            </w:tcBorders>
            <w:vAlign w:val="center"/>
            <w:hideMark/>
          </w:tcPr>
          <w:p w14:paraId="59C9675D"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5810</w:t>
            </w:r>
          </w:p>
        </w:tc>
      </w:tr>
      <w:tr w:rsidR="00AA0CA0" w:rsidRPr="00AA0CA0" w14:paraId="10DBC86D" w14:textId="77777777" w:rsidTr="00AA0CA0">
        <w:trPr>
          <w:trHeight w:val="349"/>
        </w:trPr>
        <w:tc>
          <w:tcPr>
            <w:tcW w:w="6518" w:type="dxa"/>
            <w:gridSpan w:val="3"/>
            <w:tcBorders>
              <w:top w:val="nil"/>
              <w:left w:val="single" w:sz="8" w:space="0" w:color="auto"/>
              <w:bottom w:val="nil"/>
              <w:right w:val="nil"/>
            </w:tcBorders>
            <w:vAlign w:val="center"/>
            <w:hideMark/>
          </w:tcPr>
          <w:p w14:paraId="781641F5"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Broj poduzeća</w:t>
            </w:r>
          </w:p>
        </w:tc>
        <w:tc>
          <w:tcPr>
            <w:tcW w:w="1663" w:type="dxa"/>
            <w:tcBorders>
              <w:top w:val="nil"/>
              <w:left w:val="nil"/>
              <w:bottom w:val="nil"/>
              <w:right w:val="single" w:sz="8" w:space="0" w:color="auto"/>
            </w:tcBorders>
            <w:vAlign w:val="center"/>
            <w:hideMark/>
          </w:tcPr>
          <w:p w14:paraId="08ED40CE"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415</w:t>
            </w:r>
          </w:p>
        </w:tc>
      </w:tr>
      <w:tr w:rsidR="00AA0CA0" w:rsidRPr="00AA0CA0" w14:paraId="5C7A254D" w14:textId="77777777" w:rsidTr="00AA0CA0">
        <w:trPr>
          <w:trHeight w:val="349"/>
        </w:trPr>
        <w:tc>
          <w:tcPr>
            <w:tcW w:w="4362" w:type="dxa"/>
            <w:gridSpan w:val="2"/>
            <w:tcBorders>
              <w:top w:val="nil"/>
              <w:left w:val="single" w:sz="8" w:space="0" w:color="auto"/>
              <w:bottom w:val="nil"/>
              <w:right w:val="nil"/>
            </w:tcBorders>
            <w:vAlign w:val="center"/>
            <w:hideMark/>
          </w:tcPr>
          <w:p w14:paraId="5AA4A9CE"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J-</w:t>
            </w:r>
            <w:proofErr w:type="spellStart"/>
            <w:r w:rsidRPr="00AA0CA0">
              <w:rPr>
                <w:rFonts w:ascii="Times New Roman" w:eastAsia="Times New Roman" w:hAnsi="Times New Roman" w:cs="Times New Roman"/>
                <w:color w:val="000000"/>
                <w:szCs w:val="24"/>
                <w:lang w:val="hr-HR" w:eastAsia="hr-HR"/>
              </w:rPr>
              <w:t>statistic</w:t>
            </w:r>
            <w:proofErr w:type="spellEnd"/>
          </w:p>
        </w:tc>
        <w:tc>
          <w:tcPr>
            <w:tcW w:w="2155" w:type="dxa"/>
            <w:tcBorders>
              <w:top w:val="nil"/>
              <w:left w:val="nil"/>
              <w:bottom w:val="nil"/>
              <w:right w:val="nil"/>
            </w:tcBorders>
            <w:vAlign w:val="center"/>
            <w:hideMark/>
          </w:tcPr>
          <w:p w14:paraId="7A13241E"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nil"/>
              <w:right w:val="single" w:sz="8" w:space="0" w:color="auto"/>
            </w:tcBorders>
            <w:vAlign w:val="center"/>
            <w:hideMark/>
          </w:tcPr>
          <w:p w14:paraId="4B5D7C66"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0,302041</w:t>
            </w:r>
          </w:p>
        </w:tc>
      </w:tr>
      <w:tr w:rsidR="00AA0CA0" w:rsidRPr="00AA0CA0" w14:paraId="3FA70B6C" w14:textId="77777777" w:rsidTr="00AA0CA0">
        <w:trPr>
          <w:trHeight w:val="669"/>
        </w:trPr>
        <w:tc>
          <w:tcPr>
            <w:tcW w:w="4362" w:type="dxa"/>
            <w:gridSpan w:val="2"/>
            <w:tcBorders>
              <w:top w:val="nil"/>
              <w:left w:val="single" w:sz="8" w:space="0" w:color="auto"/>
              <w:bottom w:val="nil"/>
              <w:right w:val="nil"/>
            </w:tcBorders>
            <w:vAlign w:val="center"/>
            <w:hideMark/>
          </w:tcPr>
          <w:p w14:paraId="54F5E96A"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proofErr w:type="spellStart"/>
            <w:r w:rsidRPr="00AA0CA0">
              <w:rPr>
                <w:rFonts w:ascii="Times New Roman" w:eastAsia="Times New Roman" w:hAnsi="Times New Roman" w:cs="Times New Roman"/>
                <w:color w:val="000000"/>
                <w:szCs w:val="24"/>
                <w:lang w:val="hr-HR" w:eastAsia="hr-HR"/>
              </w:rPr>
              <w:t>Arellano</w:t>
            </w:r>
            <w:proofErr w:type="spellEnd"/>
            <w:r w:rsidRPr="00AA0CA0">
              <w:rPr>
                <w:rFonts w:ascii="Times New Roman" w:eastAsia="Times New Roman" w:hAnsi="Times New Roman" w:cs="Times New Roman"/>
                <w:color w:val="000000"/>
                <w:szCs w:val="24"/>
                <w:lang w:val="hr-HR" w:eastAsia="hr-HR"/>
              </w:rPr>
              <w:t>-Bond test AR (1)</w:t>
            </w:r>
          </w:p>
        </w:tc>
        <w:tc>
          <w:tcPr>
            <w:tcW w:w="2155" w:type="dxa"/>
            <w:tcBorders>
              <w:top w:val="nil"/>
              <w:left w:val="nil"/>
              <w:bottom w:val="nil"/>
              <w:right w:val="nil"/>
            </w:tcBorders>
            <w:vAlign w:val="center"/>
            <w:hideMark/>
          </w:tcPr>
          <w:p w14:paraId="79087DAB"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nil"/>
              <w:right w:val="single" w:sz="8" w:space="0" w:color="auto"/>
            </w:tcBorders>
            <w:vAlign w:val="center"/>
            <w:hideMark/>
          </w:tcPr>
          <w:p w14:paraId="55C9F41E"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0,1679</w:t>
            </w:r>
          </w:p>
        </w:tc>
      </w:tr>
      <w:tr w:rsidR="00AA0CA0" w:rsidRPr="00AA0CA0" w14:paraId="089D9453" w14:textId="77777777" w:rsidTr="00AA0CA0">
        <w:trPr>
          <w:trHeight w:val="363"/>
        </w:trPr>
        <w:tc>
          <w:tcPr>
            <w:tcW w:w="4362" w:type="dxa"/>
            <w:gridSpan w:val="2"/>
            <w:tcBorders>
              <w:top w:val="nil"/>
              <w:left w:val="single" w:sz="8" w:space="0" w:color="auto"/>
              <w:bottom w:val="single" w:sz="8" w:space="0" w:color="auto"/>
              <w:right w:val="nil"/>
            </w:tcBorders>
            <w:vAlign w:val="center"/>
            <w:hideMark/>
          </w:tcPr>
          <w:p w14:paraId="066E16FD"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proofErr w:type="spellStart"/>
            <w:r w:rsidRPr="00AA0CA0">
              <w:rPr>
                <w:rFonts w:ascii="Times New Roman" w:eastAsia="Times New Roman" w:hAnsi="Times New Roman" w:cs="Times New Roman"/>
                <w:color w:val="000000"/>
                <w:szCs w:val="24"/>
                <w:lang w:val="hr-HR" w:eastAsia="hr-HR"/>
              </w:rPr>
              <w:t>Arellano</w:t>
            </w:r>
            <w:proofErr w:type="spellEnd"/>
            <w:r w:rsidRPr="00AA0CA0">
              <w:rPr>
                <w:rFonts w:ascii="Times New Roman" w:eastAsia="Times New Roman" w:hAnsi="Times New Roman" w:cs="Times New Roman"/>
                <w:color w:val="000000"/>
                <w:szCs w:val="24"/>
                <w:lang w:val="hr-HR" w:eastAsia="hr-HR"/>
              </w:rPr>
              <w:t xml:space="preserve">-Bond test AR (2) </w:t>
            </w:r>
          </w:p>
        </w:tc>
        <w:tc>
          <w:tcPr>
            <w:tcW w:w="2155" w:type="dxa"/>
            <w:tcBorders>
              <w:top w:val="nil"/>
              <w:left w:val="nil"/>
              <w:bottom w:val="single" w:sz="8" w:space="0" w:color="auto"/>
              <w:right w:val="nil"/>
            </w:tcBorders>
            <w:vAlign w:val="center"/>
            <w:hideMark/>
          </w:tcPr>
          <w:p w14:paraId="487498D7"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63" w:type="dxa"/>
            <w:tcBorders>
              <w:top w:val="nil"/>
              <w:left w:val="nil"/>
              <w:bottom w:val="single" w:sz="8" w:space="0" w:color="auto"/>
              <w:right w:val="single" w:sz="8" w:space="0" w:color="auto"/>
            </w:tcBorders>
            <w:vAlign w:val="center"/>
            <w:hideMark/>
          </w:tcPr>
          <w:p w14:paraId="3C183B09"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0,9918</w:t>
            </w:r>
          </w:p>
        </w:tc>
      </w:tr>
    </w:tbl>
    <w:p w14:paraId="3829765C" w14:textId="77777777" w:rsidR="00B92FBB" w:rsidRDefault="00B92FBB">
      <w:pPr>
        <w:spacing w:line="360" w:lineRule="auto"/>
        <w:jc w:val="both"/>
      </w:pPr>
    </w:p>
    <w:p w14:paraId="66EEF76A" w14:textId="3A023AA3" w:rsidR="007E5ECC" w:rsidRDefault="008A09CC" w:rsidP="007E5ECC">
      <w:pPr>
        <w:pStyle w:val="Naslov3"/>
        <w:numPr>
          <w:ilvl w:val="1"/>
          <w:numId w:val="7"/>
        </w:numPr>
      </w:pPr>
      <w:bookmarkStart w:id="51" w:name="_8vq6u5a0vi1f" w:colFirst="0" w:colLast="0"/>
      <w:bookmarkStart w:id="52" w:name="_Toc207275894"/>
      <w:bookmarkEnd w:id="51"/>
      <w:r>
        <w:t>Područje H - Prijevoz i skladištenje</w:t>
      </w:r>
      <w:bookmarkEnd w:id="52"/>
    </w:p>
    <w:p w14:paraId="4F9DD9D9" w14:textId="77777777" w:rsidR="007E5ECC" w:rsidRPr="007E5ECC" w:rsidRDefault="007E5ECC" w:rsidP="007E5ECC"/>
    <w:p w14:paraId="282B874C" w14:textId="71332D3E" w:rsidR="00B92FBB" w:rsidRDefault="007E5ECC">
      <w:pPr>
        <w:pStyle w:val="Naslov4"/>
      </w:pPr>
      <w:bookmarkStart w:id="53" w:name="_gcu4p2916gzk" w:colFirst="0" w:colLast="0"/>
      <w:bookmarkEnd w:id="53"/>
      <w:r>
        <w:t>4.3</w:t>
      </w:r>
      <w:r w:rsidR="008A09CC">
        <w:t>.1. Deskriptivna statistika</w:t>
      </w:r>
    </w:p>
    <w:p w14:paraId="2D15987D" w14:textId="77777777" w:rsidR="007E5ECC" w:rsidRPr="007E5ECC" w:rsidRDefault="007E5ECC" w:rsidP="007E5ECC"/>
    <w:p w14:paraId="28F22C80" w14:textId="127A244C" w:rsidR="00B92FBB" w:rsidRDefault="008A09CC">
      <w:pPr>
        <w:spacing w:line="360" w:lineRule="auto"/>
        <w:jc w:val="both"/>
      </w:pPr>
      <w:r>
        <w:t xml:space="preserve">Promatrani uzorak sektora H, prijevoz i skladištenje, obuhvaća 114 poduzeća za razdoblje od 2008. do 2023. godine. Analiza pokazuje </w:t>
      </w:r>
      <w:r w:rsidR="005D2A4F">
        <w:t>određenu</w:t>
      </w:r>
      <w:r>
        <w:t xml:space="preserve"> heterogenost pokazatelja s izraženim </w:t>
      </w:r>
      <w:proofErr w:type="spellStart"/>
      <w:r>
        <w:t>outlierima</w:t>
      </w:r>
      <w:proofErr w:type="spellEnd"/>
      <w:r>
        <w:t xml:space="preserve"> koji </w:t>
      </w:r>
      <w:r w:rsidR="005D2A4F">
        <w:t>utječu</w:t>
      </w:r>
      <w:r>
        <w:t xml:space="preserve"> prosječne vrijednosti.</w:t>
      </w:r>
      <w:r w:rsidR="005D2A4F">
        <w:t xml:space="preserve"> Ipak, takvi podaci nisu dovoljno brojni da bi značajno narušili reprezentativnost uzorka ili pouzdanost rezultata.</w:t>
      </w:r>
    </w:p>
    <w:p w14:paraId="6DA205AF" w14:textId="77777777" w:rsidR="00B92FBB" w:rsidRDefault="00B92FBB">
      <w:pPr>
        <w:spacing w:line="360" w:lineRule="auto"/>
        <w:jc w:val="both"/>
      </w:pPr>
    </w:p>
    <w:p w14:paraId="7BC10CF2" w14:textId="11FE1E40" w:rsidR="00B92FBB" w:rsidRDefault="008A09CC">
      <w:pPr>
        <w:spacing w:line="360" w:lineRule="auto"/>
        <w:jc w:val="both"/>
      </w:pPr>
      <w:r>
        <w:lastRenderedPageBreak/>
        <w:t>Kako je vidljivo iz Tablice</w:t>
      </w:r>
      <w:r w:rsidR="006525E9">
        <w:t xml:space="preserve"> 4</w:t>
      </w:r>
      <w:r>
        <w:t>, Likvidnost (KTL) u prosjeku iznosi 4,48, dok je medijan znatno niži (1,36). Iz toga se zaključuje da većina poduzeća ima uravnoteženu kratkoročnu likvidnost, a visoke vrijednosti rezultat su nekoliko ekstremnih opažanja. Najviši koeficijenti tekuće likvidnosti zabilježeni su kod BRATOVENSKI d.o.o. (2013.), BELLATOR MARINE d.o.o. (2012.), LUJO TRAVEL d.o.o. (2008. i 2011.), INTERŠPED VUKOVAR d.o.o. (2020.), ČARLI d.o.o. (2023.) te VEDRAN TRANS d.o.o. (2011., 2022. i 2023.). Ove visoke vrijednosti proizlaze iz niske razine kratkoročnih obveza i povećane gotovine ili potraživanja. Takve pojave česte su u poduzećima iz sektora prijevoza i špedicije gdje poslovanje uvelike ovisi o sezoni i ugovorenim projektima. U godinama kada su naplate od klijenata veće, primjerice zbog sezonskog rasta potražnje, poduzeća privremeno raspolažu većim iznosima gotovine i potraživanja, a obveze se ne mijenjaju značajno. To dovodi do privremeno viših pokazatelja tekuće likvidnosti.</w:t>
      </w:r>
    </w:p>
    <w:p w14:paraId="381AA237" w14:textId="77777777" w:rsidR="00B92FBB" w:rsidRDefault="00B92FBB">
      <w:pPr>
        <w:spacing w:line="360" w:lineRule="auto"/>
        <w:jc w:val="both"/>
      </w:pPr>
    </w:p>
    <w:p w14:paraId="70CDED05" w14:textId="5E403DAB" w:rsidR="00B92FBB" w:rsidRDefault="008A09CC">
      <w:pPr>
        <w:spacing w:line="360" w:lineRule="auto"/>
        <w:jc w:val="both"/>
      </w:pPr>
      <w:r>
        <w:t xml:space="preserve">Kod financijske poluge (DER) medijan iznosi 0,00 što znači da znatan broj poduzeća posluje bez značajnijih dugoročnih izvora financiranja, no prosjek (5,78) i ekstremi ukazuju na varijabilnost. Ekstremno visoke vrijednosti zabilježene su kod F.I.R. PRIJEVOZ d.o.o. (2022.) te kod TRADE AIR d.o.o. </w:t>
      </w:r>
      <w:r w:rsidR="00E173EE">
        <w:t>za</w:t>
      </w:r>
      <w:r>
        <w:t xml:space="preserve"> više godina (2010., 2011., 2013., 2015.). Ove rezultate možemo objasniti time što je poslovanje u ovom sektoru kapitalno zahtjevno jer poduzeća često moraju ulagati u flotu vozila, brodova ili zrakoplova. Ta se ulaganja uglavnom financiraju kreditima ili leasingom. Dodatno, od 2019. godine primjenjuje se računovodstveni standard MSFI 16 prema kojem se obveze iz najmova moraju iskazivati u bilanci što dodatno povećava prikazanu razinu duga u financijskim izvještajima (Međunarodni računovodstveni standardi, </w:t>
      </w:r>
      <w:proofErr w:type="spellStart"/>
      <w:r>
        <w:t>n.d</w:t>
      </w:r>
      <w:proofErr w:type="spellEnd"/>
      <w:r>
        <w:t>.). Negativne vrijednosti DER-a, primjerice kod TRADE AIR d.o.o. u razdoblju od 2017. do 2023. ili kod ČARLI d.o.o. (2023.) te TOLTRANS d.o.o. (2014.), rezultat su negativnog kapitala. Kod TRADE AIR-a negativan kapital rezultat je velikih obveza (leasing flote) u kombinaciji s oscilacijama u profitabilnosti. Kod manjih cestovnih prijevoznika negativan kapital često je posljedica višegodišnjih gubitaka uz istovremeno financiranje voznog parka kreditima ili leasingom.</w:t>
      </w:r>
    </w:p>
    <w:p w14:paraId="270ADF3D" w14:textId="77777777" w:rsidR="00B92FBB" w:rsidRDefault="00B92FBB">
      <w:pPr>
        <w:spacing w:line="360" w:lineRule="auto"/>
        <w:jc w:val="both"/>
      </w:pPr>
    </w:p>
    <w:p w14:paraId="6722FBE7" w14:textId="77777777" w:rsidR="00B92FBB" w:rsidRDefault="008A09CC">
      <w:pPr>
        <w:spacing w:line="360" w:lineRule="auto"/>
        <w:jc w:val="both"/>
      </w:pPr>
      <w:r>
        <w:t>Profitabilnost mjerena ROA-om pokazuje niske središnje vrijednosti (medijan 0,012), no uz vrlo izražene ekstreme. Posebno se ističu BUZJAK PROMET d.o.o. (2022.) s iznimno visokom vrijednošću te AUMONA d.o.o. (2016.) s izrazito negativnim ROA-om. Ekstremno visoka vrijednost ROA kod BUZJAK PROMET d.o.o. u 2022. rezultat je vrlo male knjigovodstvene vrijednosti imovine u toj godini, dok je ostvarena određena dobit. Kada je imovina u nazivniku gotovo nula, čak i mali pozitivan rezultat multiplicira pokazatelj. Također, i kod poduzeća AUMONA d.o.o. knjigovodstvena vrijednost imovine u 2016. je jako mala, a financijski rezultat na kraju godine negativan što ROA-u čini ekstremno negativnom.</w:t>
      </w:r>
    </w:p>
    <w:p w14:paraId="4426B777" w14:textId="77777777" w:rsidR="00B92FBB" w:rsidRDefault="00B92FBB">
      <w:pPr>
        <w:spacing w:line="360" w:lineRule="auto"/>
        <w:jc w:val="both"/>
      </w:pPr>
    </w:p>
    <w:p w14:paraId="1C593550" w14:textId="77777777" w:rsidR="00B92FBB" w:rsidRDefault="008A09CC">
      <w:pPr>
        <w:spacing w:line="360" w:lineRule="auto"/>
        <w:jc w:val="both"/>
      </w:pPr>
      <w:r>
        <w:t xml:space="preserve">Sličan obrazac prisutan je i kod ROE-a, gdje niske </w:t>
      </w:r>
      <w:proofErr w:type="spellStart"/>
      <w:r>
        <w:t>medijanske</w:t>
      </w:r>
      <w:proofErr w:type="spellEnd"/>
      <w:r>
        <w:t xml:space="preserve"> vrijednosti (0,0023) prate iznimno visoki pozitivni skokovi, poput onih kod METALIJA-TRANS d.o.o. (2023.) i MORSKA LASTAVICA d.o.o. (2023.) te ekstremno negativni rezultati kod NEMO d.o.o. i TOLTRANS d.o.o.. Takvi rezultati proizlaze iz poslovanja s malom kapitalnom bazom gdje i manja odstupanja u rezultatu značajno utječu na pokazatelje profitabilnosti.</w:t>
      </w:r>
    </w:p>
    <w:p w14:paraId="255EF2D0" w14:textId="77777777" w:rsidR="00B92FBB" w:rsidRDefault="00B92FBB">
      <w:pPr>
        <w:spacing w:line="360" w:lineRule="auto"/>
        <w:jc w:val="both"/>
      </w:pPr>
    </w:p>
    <w:p w14:paraId="4695EA9B" w14:textId="77777777" w:rsidR="00B92FBB" w:rsidRDefault="008A09CC">
      <w:pPr>
        <w:spacing w:line="360" w:lineRule="auto"/>
        <w:jc w:val="both"/>
      </w:pPr>
      <w:r>
        <w:t>Kapitalna intenzivnost (KI) pokazuje izražene ekstreme s medijanom od 0,022 i rasponom vrijednosti od -26.722,81 do 88.618,37. Najviši KI zabilježen je kod TRI VRILA d.o.o. (2013.), MORSKA LASTAVICA d.o.o. (2023.) i EGIS ROAD OPERATION CROATIA d.o.o. (2021.). Takvi rezultati upućuju na visoku razinu dugotrajne imovine u odnosu na obrtna sredstva. Ove vrijednosti uobičajene su za poduzeća s velikim voznim parkom, skladištima ili infrastrukturom, kao i kod koncesionara u cestovnom prometu. Negativne vrijednosti kod NEMO d.o.o. rezultat su vrlo niskih vrijednosti imovine što izobličava pokazatelj.</w:t>
      </w:r>
    </w:p>
    <w:p w14:paraId="00561C5F" w14:textId="77777777" w:rsidR="00B92FBB" w:rsidRDefault="00B92FBB">
      <w:pPr>
        <w:spacing w:line="360" w:lineRule="auto"/>
        <w:jc w:val="both"/>
      </w:pPr>
    </w:p>
    <w:p w14:paraId="028B16BF" w14:textId="77777777" w:rsidR="00B92FBB" w:rsidRDefault="008A09CC">
      <w:pPr>
        <w:spacing w:line="360" w:lineRule="auto"/>
        <w:jc w:val="both"/>
      </w:pPr>
      <w:r>
        <w:t xml:space="preserve">Kod postotne promjene prihoda (PP) medijan je 0,00, no prosjek (66.924,42) i ekstremi pokazuju značajne oscilacije. Ekstremno visoki rast prihoda bilježe APEX d.o.o. (2014.), STYX d.o.o. (2015.) i LORENA USLUGE d.o.o. (2011.). Takve oscilacije posljedica su naglog rasta prihoda zbog realizacije većih ugovora ili ulaska u nove projekte nakon razdoblja s izrazito niskim prihodima što stvara izražen “base </w:t>
      </w:r>
      <w:proofErr w:type="spellStart"/>
      <w:r>
        <w:t>effect</w:t>
      </w:r>
      <w:proofErr w:type="spellEnd"/>
      <w:r>
        <w:t>”.</w:t>
      </w:r>
    </w:p>
    <w:p w14:paraId="2CF453A3" w14:textId="77777777" w:rsidR="00B92FBB" w:rsidRDefault="00B92FBB">
      <w:pPr>
        <w:spacing w:line="360" w:lineRule="auto"/>
        <w:jc w:val="both"/>
      </w:pPr>
    </w:p>
    <w:p w14:paraId="3439698C" w14:textId="77777777" w:rsidR="00B92FBB" w:rsidRDefault="008A09CC">
      <w:pPr>
        <w:spacing w:line="360" w:lineRule="auto"/>
        <w:jc w:val="both"/>
      </w:pPr>
      <w:r>
        <w:t>Sveukupno, deskriptivna analiza potvrđuje veliku heterogenost sektora H. Razlike u kapitalnim strukturama, imovinskim bazama i poslovnim modelima odražavaju se u širokom rasponu vrijednosti svih promatranih varijabli.</w:t>
      </w:r>
    </w:p>
    <w:p w14:paraId="1992F58B" w14:textId="77777777" w:rsidR="00B92FBB" w:rsidRDefault="00B92FBB"/>
    <w:p w14:paraId="5D8EEFCC" w14:textId="625A27C4" w:rsidR="006525E9" w:rsidRPr="006525E9" w:rsidRDefault="006525E9" w:rsidP="006525E9">
      <w:pPr>
        <w:pStyle w:val="Opisslike"/>
        <w:keepNext/>
        <w:spacing w:line="360" w:lineRule="auto"/>
        <w:jc w:val="both"/>
        <w:rPr>
          <w:i w:val="0"/>
          <w:iCs w:val="0"/>
          <w:color w:val="000000" w:themeColor="text1"/>
          <w:sz w:val="22"/>
          <w:szCs w:val="22"/>
        </w:rPr>
      </w:pPr>
      <w:bookmarkStart w:id="54" w:name="_Toc207265198"/>
      <w:r w:rsidRPr="006525E9">
        <w:rPr>
          <w:i w:val="0"/>
          <w:iCs w:val="0"/>
          <w:color w:val="000000" w:themeColor="text1"/>
          <w:sz w:val="22"/>
          <w:szCs w:val="22"/>
        </w:rPr>
        <w:lastRenderedPageBreak/>
        <w:t xml:space="preserve">Tablica </w:t>
      </w:r>
      <w:r w:rsidRPr="006525E9">
        <w:rPr>
          <w:i w:val="0"/>
          <w:iCs w:val="0"/>
          <w:color w:val="000000" w:themeColor="text1"/>
          <w:sz w:val="22"/>
          <w:szCs w:val="22"/>
        </w:rPr>
        <w:fldChar w:fldCharType="begin"/>
      </w:r>
      <w:r w:rsidRPr="006525E9">
        <w:rPr>
          <w:i w:val="0"/>
          <w:iCs w:val="0"/>
          <w:color w:val="000000" w:themeColor="text1"/>
          <w:sz w:val="22"/>
          <w:szCs w:val="22"/>
        </w:rPr>
        <w:instrText xml:space="preserve"> SEQ Tablica \* ARABIC </w:instrText>
      </w:r>
      <w:r w:rsidRPr="006525E9">
        <w:rPr>
          <w:i w:val="0"/>
          <w:iCs w:val="0"/>
          <w:color w:val="000000" w:themeColor="text1"/>
          <w:sz w:val="22"/>
          <w:szCs w:val="22"/>
        </w:rPr>
        <w:fldChar w:fldCharType="separate"/>
      </w:r>
      <w:r w:rsidR="00D11EF7">
        <w:rPr>
          <w:i w:val="0"/>
          <w:iCs w:val="0"/>
          <w:noProof/>
          <w:color w:val="000000" w:themeColor="text1"/>
          <w:sz w:val="22"/>
          <w:szCs w:val="22"/>
        </w:rPr>
        <w:t>4</w:t>
      </w:r>
      <w:r w:rsidRPr="006525E9">
        <w:rPr>
          <w:i w:val="0"/>
          <w:iCs w:val="0"/>
          <w:color w:val="000000" w:themeColor="text1"/>
          <w:sz w:val="22"/>
          <w:szCs w:val="22"/>
        </w:rPr>
        <w:fldChar w:fldCharType="end"/>
      </w:r>
      <w:r w:rsidRPr="006525E9">
        <w:rPr>
          <w:i w:val="0"/>
          <w:iCs w:val="0"/>
          <w:color w:val="000000" w:themeColor="text1"/>
          <w:sz w:val="22"/>
          <w:szCs w:val="22"/>
        </w:rPr>
        <w:t xml:space="preserve">. Deskriptivna statistika za sektor H - Prijevoz i skladištenje (podaci dostavljeni od strane FINA-e, izračun i obrada autorice u programu </w:t>
      </w:r>
      <w:proofErr w:type="spellStart"/>
      <w:r w:rsidRPr="006525E9">
        <w:rPr>
          <w:i w:val="0"/>
          <w:iCs w:val="0"/>
          <w:color w:val="000000" w:themeColor="text1"/>
          <w:sz w:val="22"/>
          <w:szCs w:val="22"/>
        </w:rPr>
        <w:t>EViews</w:t>
      </w:r>
      <w:proofErr w:type="spellEnd"/>
      <w:r w:rsidRPr="006525E9">
        <w:rPr>
          <w:i w:val="0"/>
          <w:iCs w:val="0"/>
          <w:color w:val="000000" w:themeColor="text1"/>
          <w:sz w:val="22"/>
          <w:szCs w:val="22"/>
        </w:rPr>
        <w:t xml:space="preserve"> 12)</w:t>
      </w:r>
      <w:bookmarkEnd w:id="54"/>
    </w:p>
    <w:p w14:paraId="4FDCCC7C" w14:textId="77777777" w:rsidR="00B92FBB" w:rsidRDefault="008A09CC">
      <w:r>
        <w:rPr>
          <w:noProof/>
        </w:rPr>
        <w:drawing>
          <wp:inline distT="114300" distB="114300" distL="114300" distR="114300" wp14:anchorId="63F9C22D" wp14:editId="7F9B32DA">
            <wp:extent cx="5731200" cy="228600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731200" cy="2286000"/>
                    </a:xfrm>
                    <a:prstGeom prst="rect">
                      <a:avLst/>
                    </a:prstGeom>
                    <a:ln/>
                  </pic:spPr>
                </pic:pic>
              </a:graphicData>
            </a:graphic>
          </wp:inline>
        </w:drawing>
      </w:r>
    </w:p>
    <w:p w14:paraId="3C91E924" w14:textId="77777777" w:rsidR="006525E9" w:rsidRDefault="008A09CC" w:rsidP="006525E9">
      <w:pPr>
        <w:keepNext/>
      </w:pPr>
      <w:r>
        <w:rPr>
          <w:noProof/>
        </w:rPr>
        <w:lastRenderedPageBreak/>
        <w:drawing>
          <wp:inline distT="114300" distB="114300" distL="114300" distR="114300" wp14:anchorId="7FFAD4B8" wp14:editId="54BF9D0A">
            <wp:extent cx="5731200" cy="9550400"/>
            <wp:effectExtent l="0" t="0" r="0" b="0"/>
            <wp:docPr id="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731200" cy="9550400"/>
                    </a:xfrm>
                    <a:prstGeom prst="rect">
                      <a:avLst/>
                    </a:prstGeom>
                    <a:ln/>
                  </pic:spPr>
                </pic:pic>
              </a:graphicData>
            </a:graphic>
          </wp:inline>
        </w:drawing>
      </w:r>
    </w:p>
    <w:p w14:paraId="7D0C8F3E" w14:textId="6DBAD3B7" w:rsidR="007E5ECC" w:rsidRDefault="006525E9" w:rsidP="006525E9">
      <w:pPr>
        <w:pStyle w:val="Opisslike"/>
        <w:spacing w:line="360" w:lineRule="auto"/>
        <w:jc w:val="both"/>
        <w:rPr>
          <w:i w:val="0"/>
          <w:iCs w:val="0"/>
          <w:color w:val="000000" w:themeColor="text1"/>
          <w:sz w:val="22"/>
          <w:szCs w:val="22"/>
        </w:rPr>
      </w:pPr>
      <w:bookmarkStart w:id="55" w:name="_Toc207263313"/>
      <w:r w:rsidRPr="006525E9">
        <w:rPr>
          <w:i w:val="0"/>
          <w:iCs w:val="0"/>
          <w:color w:val="000000" w:themeColor="text1"/>
          <w:sz w:val="22"/>
          <w:szCs w:val="22"/>
        </w:rPr>
        <w:lastRenderedPageBreak/>
        <w:t xml:space="preserve">Slika </w:t>
      </w:r>
      <w:r w:rsidRPr="006525E9">
        <w:rPr>
          <w:i w:val="0"/>
          <w:iCs w:val="0"/>
          <w:color w:val="000000" w:themeColor="text1"/>
          <w:sz w:val="22"/>
          <w:szCs w:val="22"/>
        </w:rPr>
        <w:fldChar w:fldCharType="begin"/>
      </w:r>
      <w:r w:rsidRPr="006525E9">
        <w:rPr>
          <w:i w:val="0"/>
          <w:iCs w:val="0"/>
          <w:color w:val="000000" w:themeColor="text1"/>
          <w:sz w:val="22"/>
          <w:szCs w:val="22"/>
        </w:rPr>
        <w:instrText xml:space="preserve"> SEQ Slika \* ARABIC </w:instrText>
      </w:r>
      <w:r w:rsidRPr="006525E9">
        <w:rPr>
          <w:i w:val="0"/>
          <w:iCs w:val="0"/>
          <w:color w:val="000000" w:themeColor="text1"/>
          <w:sz w:val="22"/>
          <w:szCs w:val="22"/>
        </w:rPr>
        <w:fldChar w:fldCharType="separate"/>
      </w:r>
      <w:r w:rsidR="001648A1">
        <w:rPr>
          <w:i w:val="0"/>
          <w:iCs w:val="0"/>
          <w:noProof/>
          <w:color w:val="000000" w:themeColor="text1"/>
          <w:sz w:val="22"/>
          <w:szCs w:val="22"/>
        </w:rPr>
        <w:t>3</w:t>
      </w:r>
      <w:r w:rsidRPr="006525E9">
        <w:rPr>
          <w:i w:val="0"/>
          <w:iCs w:val="0"/>
          <w:color w:val="000000" w:themeColor="text1"/>
          <w:sz w:val="22"/>
          <w:szCs w:val="22"/>
        </w:rPr>
        <w:fldChar w:fldCharType="end"/>
      </w:r>
      <w:r w:rsidRPr="006525E9">
        <w:rPr>
          <w:i w:val="0"/>
          <w:iCs w:val="0"/>
          <w:color w:val="000000" w:themeColor="text1"/>
          <w:sz w:val="22"/>
          <w:szCs w:val="22"/>
        </w:rPr>
        <w:t xml:space="preserve">. Distribucija vrijednosti varijabli (KTL, DER, ROA, ROE, KI i PP) u sektoru H - Prijevoz i skladištenje (podaci dostavljeni od strane FINA-e, izračun i obrada autorice u programu </w:t>
      </w:r>
      <w:proofErr w:type="spellStart"/>
      <w:r w:rsidRPr="006525E9">
        <w:rPr>
          <w:i w:val="0"/>
          <w:iCs w:val="0"/>
          <w:color w:val="000000" w:themeColor="text1"/>
          <w:sz w:val="22"/>
          <w:szCs w:val="22"/>
        </w:rPr>
        <w:t>EViews</w:t>
      </w:r>
      <w:proofErr w:type="spellEnd"/>
      <w:r w:rsidRPr="006525E9">
        <w:rPr>
          <w:i w:val="0"/>
          <w:iCs w:val="0"/>
          <w:color w:val="000000" w:themeColor="text1"/>
          <w:sz w:val="22"/>
          <w:szCs w:val="22"/>
        </w:rPr>
        <w:t xml:space="preserve"> 12)</w:t>
      </w:r>
      <w:bookmarkEnd w:id="55"/>
    </w:p>
    <w:p w14:paraId="00442AEA" w14:textId="77777777" w:rsidR="006525E9" w:rsidRPr="006525E9" w:rsidRDefault="006525E9" w:rsidP="006525E9"/>
    <w:p w14:paraId="3B27DD78" w14:textId="4560D58C" w:rsidR="00B92FBB" w:rsidRDefault="007E5ECC">
      <w:pPr>
        <w:pStyle w:val="Naslov4"/>
      </w:pPr>
      <w:bookmarkStart w:id="56" w:name="_tzkwuxqprqum" w:colFirst="0" w:colLast="0"/>
      <w:bookmarkEnd w:id="56"/>
      <w:r>
        <w:t>4.3</w:t>
      </w:r>
      <w:r w:rsidR="008A09CC">
        <w:t>.2. Korelacijska analiza</w:t>
      </w:r>
    </w:p>
    <w:p w14:paraId="5FE3C6A9" w14:textId="77777777" w:rsidR="007E5ECC" w:rsidRPr="007E5ECC" w:rsidRDefault="007E5ECC" w:rsidP="007E5ECC"/>
    <w:p w14:paraId="03680A0E" w14:textId="3E4E252B" w:rsidR="00B92FBB" w:rsidRDefault="008A09CC">
      <w:pPr>
        <w:spacing w:line="360" w:lineRule="auto"/>
        <w:jc w:val="both"/>
      </w:pPr>
      <w:r>
        <w:t xml:space="preserve">Korelacijska matrica za sektor H u Tablici </w:t>
      </w:r>
      <w:r w:rsidR="006525E9">
        <w:t xml:space="preserve">5. </w:t>
      </w:r>
      <w:r>
        <w:t>pokazuje nisku međusobnu povezanost između većine promatranih varijabli. Znači da je povezanost među indikatorima likvidnosti, zaduženosti, profitabilnosti, kapitalne intenzivnosti i postotne promjene prihoda slaba.</w:t>
      </w:r>
    </w:p>
    <w:p w14:paraId="49567D2C" w14:textId="77777777" w:rsidR="00B92FBB" w:rsidRDefault="00B92FBB">
      <w:pPr>
        <w:spacing w:line="360" w:lineRule="auto"/>
        <w:jc w:val="both"/>
      </w:pPr>
    </w:p>
    <w:p w14:paraId="160CE2C5" w14:textId="77777777" w:rsidR="00B92FBB" w:rsidRDefault="008A09CC">
      <w:pPr>
        <w:spacing w:line="360" w:lineRule="auto"/>
        <w:jc w:val="both"/>
      </w:pPr>
      <w:r>
        <w:t>Korelacija KTL-a (koeficijent tekuće likvidnosti) i DER-a (odnos duga i kapitala) iznosi 0,0089. To znači da zaduženost poduzeća ne utječe značajno na likvidnost. U praksi to upućuje na činjenicu da mnoga poduzeća u ovom sektoru održavaju likvidnost prvenstveno kroz operativne novčane tokove, a ne kroz strukturu financiranja.</w:t>
      </w:r>
    </w:p>
    <w:p w14:paraId="0764549F" w14:textId="77777777" w:rsidR="00B92FBB" w:rsidRDefault="00B92FBB">
      <w:pPr>
        <w:spacing w:line="360" w:lineRule="auto"/>
        <w:jc w:val="both"/>
      </w:pPr>
    </w:p>
    <w:p w14:paraId="2F0EFBF4" w14:textId="77777777" w:rsidR="00B92FBB" w:rsidRDefault="008A09CC">
      <w:pPr>
        <w:spacing w:line="360" w:lineRule="auto"/>
        <w:jc w:val="both"/>
      </w:pPr>
      <w:r>
        <w:t>Korelacija KTL-a i KI (kapitalne intenzivnosti) također je vrlo niska (0,0037). Ulaganja u dugotrajnu imovinu ne mijenjaju kratkoročnu likvidnost. Ovo je takva situacija očekivana jer kapitalno intenzivna ulaganja u prijevoznoj i logističkoj industriji često prate dugoročni krediti ili leasing aranžmani, a kratkoročne pozicije poduzeća time ostaju stabilne.</w:t>
      </w:r>
    </w:p>
    <w:p w14:paraId="6CE48F36" w14:textId="77777777" w:rsidR="00B92FBB" w:rsidRDefault="00B92FBB">
      <w:pPr>
        <w:spacing w:line="360" w:lineRule="auto"/>
        <w:jc w:val="both"/>
      </w:pPr>
    </w:p>
    <w:p w14:paraId="17570713" w14:textId="77777777" w:rsidR="00B92FBB" w:rsidRDefault="008A09CC">
      <w:pPr>
        <w:spacing w:line="360" w:lineRule="auto"/>
        <w:jc w:val="both"/>
      </w:pPr>
      <w:r>
        <w:t>Negativna korelacija KTL-a i PP-a (postotne promjene prihoda) (-0,0068) ukazuje na slab, ali negativan odnos, tj. da kod manjih oscilacija prihoda poduzeća ne mijenjaju značajno razinu tekuće likvidnosti. Drugim riječima, brži rast prihoda nije nužno praćen povećanjem likvidnosti jer se dodatni novčani tokovi često reinvestiraju u operacije ili otplatu obveza.</w:t>
      </w:r>
    </w:p>
    <w:p w14:paraId="00B73282" w14:textId="77777777" w:rsidR="00B92FBB" w:rsidRDefault="00B92FBB">
      <w:pPr>
        <w:spacing w:line="360" w:lineRule="auto"/>
        <w:jc w:val="both"/>
      </w:pPr>
    </w:p>
    <w:p w14:paraId="0F194719" w14:textId="77777777" w:rsidR="00B92FBB" w:rsidRDefault="008A09CC">
      <w:pPr>
        <w:spacing w:line="360" w:lineRule="auto"/>
        <w:jc w:val="both"/>
      </w:pPr>
      <w:r>
        <w:t>Korelacija DER-a i KI (0,0074) pokazuje da su poduzeća s višim razinama kapitalne intenzivnosti blago zaduženija. Ovo je u skladu s poslovnim modelima u tom sektoru budući da se ulaganja u vozni park, skladišne kapacitete ili infrastrukturu često financiraju dugoročnim obvezama.</w:t>
      </w:r>
    </w:p>
    <w:p w14:paraId="57C94174" w14:textId="77777777" w:rsidR="00B92FBB" w:rsidRDefault="00B92FBB">
      <w:pPr>
        <w:spacing w:line="360" w:lineRule="auto"/>
        <w:jc w:val="both"/>
      </w:pPr>
    </w:p>
    <w:p w14:paraId="5EE0ED65" w14:textId="77777777" w:rsidR="00B92FBB" w:rsidRDefault="008A09CC">
      <w:pPr>
        <w:spacing w:line="360" w:lineRule="auto"/>
        <w:jc w:val="both"/>
      </w:pPr>
      <w:r>
        <w:t>Povezanost između ROE-a (povrat na kapital) i KI (0,217) jedina pokazuje nešto izraženiju, iako još uvijek umjerenu pozitivnu korelaciju. To implicira da poduzeća s većom kapitalnom osnovicom i višom kapitalnom intenzivnošću u određenim razdobljima ostvaruju viši povrat na kapital što može biti rezultat učinkovitijeg korištenja resursa ili uspješnog upravljanja.</w:t>
      </w:r>
    </w:p>
    <w:p w14:paraId="76003393" w14:textId="77777777" w:rsidR="00B92FBB" w:rsidRDefault="00B92FBB">
      <w:pPr>
        <w:spacing w:line="360" w:lineRule="auto"/>
        <w:jc w:val="both"/>
      </w:pPr>
    </w:p>
    <w:p w14:paraId="00C78039" w14:textId="77777777" w:rsidR="00B92FBB" w:rsidRDefault="008A09CC">
      <w:pPr>
        <w:spacing w:line="360" w:lineRule="auto"/>
        <w:jc w:val="both"/>
      </w:pPr>
      <w:r>
        <w:lastRenderedPageBreak/>
        <w:t xml:space="preserve">Sve ostale korelacije, uključujući odnose između profitabilnosti (ROA i ROE) te promjena u prihodima (PP), nalaze se blizu nule. To znači da u sektoru prijevoza i skladištenja nema stabilnog linearnog odnosa između profitabilnosti i promjena u prihodima. To je česta posljedica volatilnosti u tržišnim uvjetima i ovisnosti o vanjskim faktorima, poput cijena goriva, regulatornih promjena ili </w:t>
      </w:r>
      <w:proofErr w:type="spellStart"/>
      <w:r>
        <w:t>sezonalnosti</w:t>
      </w:r>
      <w:proofErr w:type="spellEnd"/>
      <w:r>
        <w:t xml:space="preserve"> potražnje.</w:t>
      </w:r>
    </w:p>
    <w:p w14:paraId="008EBAE4" w14:textId="77777777" w:rsidR="00B92FBB" w:rsidRDefault="00B92FBB">
      <w:pPr>
        <w:spacing w:line="360" w:lineRule="auto"/>
        <w:jc w:val="both"/>
      </w:pPr>
    </w:p>
    <w:p w14:paraId="7EA4686F" w14:textId="77777777" w:rsidR="00B92FBB" w:rsidRDefault="008A09CC">
      <w:pPr>
        <w:spacing w:line="360" w:lineRule="auto"/>
        <w:jc w:val="both"/>
      </w:pPr>
      <w:r>
        <w:t xml:space="preserve">Sve u svemu, sektor H pokazuje niske razine povezanosti među varijablama. Ne postoji </w:t>
      </w:r>
      <w:proofErr w:type="spellStart"/>
      <w:r>
        <w:t>kolinearnost</w:t>
      </w:r>
      <w:proofErr w:type="spellEnd"/>
      <w:r>
        <w:t xml:space="preserve"> što je povoljno za panel analizu. Promjene u likvidnosti, zaduženosti i profitabilnosti događaju se neovisno, ovisno o specifičnim poslovnim okolnostima svakog poduzeća.</w:t>
      </w:r>
    </w:p>
    <w:p w14:paraId="42E406C8" w14:textId="0518487E" w:rsidR="00B92FBB" w:rsidRDefault="00B92FBB"/>
    <w:p w14:paraId="0A391E3A" w14:textId="5C2D1886" w:rsidR="006525E9" w:rsidRPr="006525E9" w:rsidRDefault="006525E9" w:rsidP="006525E9">
      <w:pPr>
        <w:pStyle w:val="Opisslike"/>
        <w:keepNext/>
        <w:spacing w:line="360" w:lineRule="auto"/>
        <w:jc w:val="both"/>
        <w:rPr>
          <w:i w:val="0"/>
          <w:iCs w:val="0"/>
          <w:color w:val="000000" w:themeColor="text1"/>
          <w:sz w:val="22"/>
          <w:szCs w:val="22"/>
        </w:rPr>
      </w:pPr>
      <w:bookmarkStart w:id="57" w:name="_Toc207265199"/>
      <w:r w:rsidRPr="006525E9">
        <w:rPr>
          <w:i w:val="0"/>
          <w:iCs w:val="0"/>
          <w:color w:val="000000" w:themeColor="text1"/>
          <w:sz w:val="22"/>
          <w:szCs w:val="22"/>
        </w:rPr>
        <w:t xml:space="preserve">Tablica </w:t>
      </w:r>
      <w:r w:rsidRPr="006525E9">
        <w:rPr>
          <w:i w:val="0"/>
          <w:iCs w:val="0"/>
          <w:color w:val="000000" w:themeColor="text1"/>
          <w:sz w:val="22"/>
          <w:szCs w:val="22"/>
        </w:rPr>
        <w:fldChar w:fldCharType="begin"/>
      </w:r>
      <w:r w:rsidRPr="006525E9">
        <w:rPr>
          <w:i w:val="0"/>
          <w:iCs w:val="0"/>
          <w:color w:val="000000" w:themeColor="text1"/>
          <w:sz w:val="22"/>
          <w:szCs w:val="22"/>
        </w:rPr>
        <w:instrText xml:space="preserve"> SEQ Tablica \* ARABIC </w:instrText>
      </w:r>
      <w:r w:rsidRPr="006525E9">
        <w:rPr>
          <w:i w:val="0"/>
          <w:iCs w:val="0"/>
          <w:color w:val="000000" w:themeColor="text1"/>
          <w:sz w:val="22"/>
          <w:szCs w:val="22"/>
        </w:rPr>
        <w:fldChar w:fldCharType="separate"/>
      </w:r>
      <w:r w:rsidR="00D11EF7">
        <w:rPr>
          <w:i w:val="0"/>
          <w:iCs w:val="0"/>
          <w:noProof/>
          <w:color w:val="000000" w:themeColor="text1"/>
          <w:sz w:val="22"/>
          <w:szCs w:val="22"/>
        </w:rPr>
        <w:t>5</w:t>
      </w:r>
      <w:r w:rsidRPr="006525E9">
        <w:rPr>
          <w:i w:val="0"/>
          <w:iCs w:val="0"/>
          <w:color w:val="000000" w:themeColor="text1"/>
          <w:sz w:val="22"/>
          <w:szCs w:val="22"/>
        </w:rPr>
        <w:fldChar w:fldCharType="end"/>
      </w:r>
      <w:r w:rsidRPr="006525E9">
        <w:rPr>
          <w:i w:val="0"/>
          <w:iCs w:val="0"/>
          <w:color w:val="000000" w:themeColor="text1"/>
          <w:sz w:val="22"/>
          <w:szCs w:val="22"/>
        </w:rPr>
        <w:t>. Korelacijska matrica za sektor H - Prijevoz i skladištenje</w:t>
      </w:r>
      <w:r w:rsidRPr="006525E9">
        <w:rPr>
          <w:i w:val="0"/>
          <w:iCs w:val="0"/>
          <w:noProof/>
          <w:color w:val="000000" w:themeColor="text1"/>
          <w:sz w:val="22"/>
          <w:szCs w:val="22"/>
        </w:rPr>
        <w:t xml:space="preserve"> (podaci dostavljeni od strane FINA-e, izračun i obrada autorice u programu EViews 12)</w:t>
      </w:r>
      <w:bookmarkEnd w:id="57"/>
    </w:p>
    <w:p w14:paraId="40E4EDB0" w14:textId="77777777" w:rsidR="00B92FBB" w:rsidRDefault="008A09CC">
      <w:r>
        <w:rPr>
          <w:noProof/>
        </w:rPr>
        <w:drawing>
          <wp:inline distT="114300" distB="114300" distL="114300" distR="114300" wp14:anchorId="55F86EC2" wp14:editId="36BDF86C">
            <wp:extent cx="5731200" cy="10795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731200" cy="1079500"/>
                    </a:xfrm>
                    <a:prstGeom prst="rect">
                      <a:avLst/>
                    </a:prstGeom>
                    <a:ln/>
                  </pic:spPr>
                </pic:pic>
              </a:graphicData>
            </a:graphic>
          </wp:inline>
        </w:drawing>
      </w:r>
    </w:p>
    <w:p w14:paraId="50D750C2" w14:textId="77777777" w:rsidR="007E5ECC" w:rsidRDefault="007E5ECC"/>
    <w:p w14:paraId="297F5A45" w14:textId="046D2796" w:rsidR="00B92FBB" w:rsidRDefault="007E5ECC">
      <w:pPr>
        <w:pStyle w:val="Naslov4"/>
      </w:pPr>
      <w:bookmarkStart w:id="58" w:name="_n5po8uod9rbf" w:colFirst="0" w:colLast="0"/>
      <w:bookmarkEnd w:id="58"/>
      <w:r>
        <w:t>4.3</w:t>
      </w:r>
      <w:r w:rsidR="008A09CC">
        <w:t xml:space="preserve">.3. </w:t>
      </w:r>
      <w:r w:rsidR="00EB010F" w:rsidRPr="00EB010F">
        <w:t>Testiranje utjecaja financijske poluge na likvidnost poduzeća</w:t>
      </w:r>
    </w:p>
    <w:p w14:paraId="585F712E" w14:textId="77777777" w:rsidR="007E5ECC" w:rsidRPr="007E5ECC" w:rsidRDefault="007E5ECC" w:rsidP="001648A1">
      <w:pPr>
        <w:spacing w:line="360" w:lineRule="auto"/>
        <w:jc w:val="both"/>
      </w:pPr>
    </w:p>
    <w:p w14:paraId="15B6E109" w14:textId="77777777" w:rsidR="00B92FBB" w:rsidRDefault="008A09CC" w:rsidP="001648A1">
      <w:pPr>
        <w:spacing w:line="360" w:lineRule="auto"/>
        <w:jc w:val="both"/>
      </w:pPr>
      <w:r>
        <w:t xml:space="preserve">Dinamički panel model za sektor H procijenjen je metodom GMM </w:t>
      </w:r>
      <w:proofErr w:type="spellStart"/>
      <w:r>
        <w:t>Arellano</w:t>
      </w:r>
      <w:proofErr w:type="spellEnd"/>
      <w:r>
        <w:t xml:space="preserve">–Bond i prikazan u </w:t>
      </w:r>
    </w:p>
    <w:p w14:paraId="23E3D330" w14:textId="4EDB76BD" w:rsidR="00B92FBB" w:rsidRDefault="008A09CC" w:rsidP="001648A1">
      <w:pPr>
        <w:spacing w:line="360" w:lineRule="auto"/>
        <w:jc w:val="both"/>
      </w:pPr>
      <w:r>
        <w:t>Tablici</w:t>
      </w:r>
      <w:r w:rsidR="001648A1">
        <w:t xml:space="preserve"> 6</w:t>
      </w:r>
      <w:r>
        <w:t xml:space="preserve">. Procijenjena </w:t>
      </w:r>
      <w:r w:rsidR="000C4F57">
        <w:t xml:space="preserve">ekonometrijska </w:t>
      </w:r>
      <w:r>
        <w:t>jednadžba modela glasi:</w:t>
      </w:r>
    </w:p>
    <w:p w14:paraId="6D029FBD" w14:textId="77777777" w:rsidR="000C4F57" w:rsidRDefault="000C4F57"/>
    <w:p w14:paraId="0485533B" w14:textId="77777777" w:rsidR="000C4F57" w:rsidRPr="00472C6B" w:rsidRDefault="00000000" w:rsidP="000C4F57">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 xml:space="preserve">, </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2</m:t>
            </m:r>
          </m:sub>
        </m:sSub>
        <m:sSub>
          <m:sSubPr>
            <m:ctrlPr>
              <w:rPr>
                <w:rFonts w:ascii="Cambria Math" w:hAnsi="Cambria Math"/>
                <w:iCs/>
              </w:rPr>
            </m:ctrlPr>
          </m:sSubPr>
          <m:e>
            <m: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3</m:t>
            </m:r>
          </m:sub>
        </m:sSub>
        <m:sSub>
          <m:sSubPr>
            <m:ctrlPr>
              <w:rPr>
                <w:rFonts w:ascii="Cambria Math" w:hAnsi="Cambria Math"/>
                <w:iCs/>
              </w:rPr>
            </m:ctrlPr>
          </m:sSubPr>
          <m:e>
            <m: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4</m:t>
            </m:r>
          </m:sub>
        </m:sSub>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iCs/>
              </w:rPr>
            </m:ctrlPr>
          </m:sSubPr>
          <m:e>
            <m:r>
              <w:rPr>
                <w:rFonts w:ascii="Cambria Math" w:hAnsi="Cambria Math"/>
              </w:rPr>
              <m:t>β</m:t>
            </m:r>
          </m:e>
          <m:sub>
            <m:r>
              <m:rPr>
                <m:sty m:val="p"/>
              </m:rPr>
              <w:rPr>
                <w:rFonts w:ascii="Cambria Math" w:hAnsi="Cambria Math"/>
              </w:rPr>
              <m:t>5</m:t>
            </m:r>
          </m:sub>
        </m:sSub>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r>
          <m:rPr>
            <m:sty m:val="p"/>
          </m:rPr>
          <w:rPr>
            <w:rFonts w:ascii="Cambria Math" w:hAnsi="Cambria Math"/>
          </w:rPr>
          <m:t>+</m:t>
        </m:r>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w:t>
      </w:r>
    </w:p>
    <w:p w14:paraId="09D69EE2" w14:textId="77777777" w:rsidR="000C4F57" w:rsidRPr="00472C6B" w:rsidRDefault="000C4F57" w:rsidP="000C4F57">
      <w:pPr>
        <w:spacing w:line="360" w:lineRule="auto"/>
        <w:ind w:left="708"/>
        <w:jc w:val="both"/>
        <w:rPr>
          <w:iCs/>
        </w:rPr>
      </w:pPr>
    </w:p>
    <w:p w14:paraId="0999EA2B" w14:textId="6CD31B03" w:rsidR="000C4F57" w:rsidRPr="00472C6B" w:rsidRDefault="00000000" w:rsidP="000C4F57">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koeficijent tekuće likvidnosti poduzeća i u vremenu t </w:t>
      </w:r>
      <w:r w:rsidR="000C4F57">
        <w:t>za sektor H - Prijevoz i skladištenje</w:t>
      </w:r>
    </w:p>
    <w:p w14:paraId="70B93196" w14:textId="5F3AAEE3" w:rsidR="000C4F57" w:rsidRPr="00472C6B" w:rsidRDefault="00000000" w:rsidP="000C4F57">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rsidR="000C4F57" w:rsidRPr="00472C6B">
        <w:rPr>
          <w:iCs/>
        </w:rPr>
        <w:t xml:space="preserve"> – koeficijent tekuće likvidnosti poduzeća i iz prethodnog razdoblja t-1</w:t>
      </w:r>
      <w:r w:rsidR="000C4F57">
        <w:rPr>
          <w:iCs/>
        </w:rPr>
        <w:t xml:space="preserve"> </w:t>
      </w:r>
      <w:r w:rsidR="000C4F57">
        <w:t>za sektor H - Prijevoz i skladištenje</w:t>
      </w:r>
    </w:p>
    <w:p w14:paraId="0BB029A7" w14:textId="5AAFB997" w:rsidR="000C4F57" w:rsidRPr="00472C6B" w:rsidRDefault="00000000" w:rsidP="000C4F57">
      <w:pPr>
        <w:spacing w:line="360" w:lineRule="auto"/>
        <w:ind w:left="708"/>
        <w:jc w:val="both"/>
        <w:rPr>
          <w:iCs/>
        </w:rPr>
      </w:pPr>
      <m:oMath>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omjer duga i glavnice poduzeću i u vremenu t</w:t>
      </w:r>
      <w:r w:rsidR="000C4F57">
        <w:rPr>
          <w:iCs/>
        </w:rPr>
        <w:t xml:space="preserve"> </w:t>
      </w:r>
      <w:r w:rsidR="000C4F57">
        <w:t>za sektor H - Prijevoz i skladištenje</w:t>
      </w:r>
    </w:p>
    <w:p w14:paraId="003A9D5A" w14:textId="3596A497" w:rsidR="000C4F57" w:rsidRPr="00472C6B" w:rsidRDefault="00000000" w:rsidP="000C4F57">
      <w:pPr>
        <w:spacing w:line="360" w:lineRule="auto"/>
        <w:ind w:left="708"/>
        <w:jc w:val="both"/>
        <w:rPr>
          <w:iCs/>
        </w:rPr>
      </w:pPr>
      <m:oMath>
        <m:sSub>
          <m:sSubPr>
            <m:ctrlPr>
              <w:rPr>
                <w:rFonts w:ascii="Cambria Math" w:hAnsi="Cambria Math"/>
                <w:iCs/>
              </w:rPr>
            </m:ctrlPr>
          </m:sSubPr>
          <m:e>
            <m:r>
              <m:rPr>
                <m:sty m:val="p"/>
              </m:rP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profitabilnost imovine poduzeća i u vremenu t</w:t>
      </w:r>
      <w:r w:rsidR="000C4F57">
        <w:rPr>
          <w:iCs/>
        </w:rPr>
        <w:t xml:space="preserve"> </w:t>
      </w:r>
      <w:r w:rsidR="000C4F57">
        <w:t>za sektor H - Prijevoz i skladištenje</w:t>
      </w:r>
    </w:p>
    <w:p w14:paraId="63B32337" w14:textId="6079203B" w:rsidR="000C4F57" w:rsidRPr="00472C6B" w:rsidRDefault="00000000" w:rsidP="000C4F57">
      <w:pPr>
        <w:spacing w:line="360" w:lineRule="auto"/>
        <w:ind w:left="708"/>
        <w:jc w:val="both"/>
        <w:rPr>
          <w:iCs/>
        </w:rPr>
      </w:pPr>
      <m:oMath>
        <m:sSub>
          <m:sSubPr>
            <m:ctrlPr>
              <w:rPr>
                <w:rFonts w:ascii="Cambria Math" w:hAnsi="Cambria Math"/>
                <w:iCs/>
              </w:rPr>
            </m:ctrlPr>
          </m:sSubPr>
          <m:e>
            <m:r>
              <m:rPr>
                <m:sty m:val="p"/>
              </m:rP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profitabilnost kapitala poduzeću i u vremenu t</w:t>
      </w:r>
      <w:r w:rsidR="000C4F57">
        <w:rPr>
          <w:iCs/>
        </w:rPr>
        <w:t xml:space="preserve"> </w:t>
      </w:r>
      <w:r w:rsidR="000C4F57">
        <w:t>za sektor H - Prijevoz i skladištenje</w:t>
      </w:r>
    </w:p>
    <w:p w14:paraId="6A5AE48C" w14:textId="3B00822A" w:rsidR="000C4F57" w:rsidRPr="00472C6B" w:rsidRDefault="00000000" w:rsidP="000C4F57">
      <w:pPr>
        <w:spacing w:line="360" w:lineRule="auto"/>
        <w:ind w:left="708"/>
        <w:jc w:val="both"/>
        <w:rPr>
          <w:iCs/>
        </w:rPr>
      </w:pPr>
      <m:oMath>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kapitalna intenzivnost poduzeća i u vremenu t</w:t>
      </w:r>
      <w:r w:rsidR="000C4F57">
        <w:rPr>
          <w:iCs/>
        </w:rPr>
        <w:t xml:space="preserve"> </w:t>
      </w:r>
      <w:r w:rsidR="000C4F57">
        <w:t>za sektor H - Prijevoz i skladištenje</w:t>
      </w:r>
    </w:p>
    <w:p w14:paraId="3BFEC8D8" w14:textId="7919DCCE" w:rsidR="000C4F57" w:rsidRPr="00472C6B" w:rsidRDefault="00000000" w:rsidP="000C4F57">
      <w:pPr>
        <w:spacing w:line="360" w:lineRule="auto"/>
        <w:ind w:left="708"/>
        <w:jc w:val="both"/>
        <w:rPr>
          <w:iCs/>
        </w:rPr>
      </w:pPr>
      <m:oMath>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postotna promjena prodaje poduzeća i u vremenu t</w:t>
      </w:r>
      <w:r w:rsidR="000C4F57">
        <w:rPr>
          <w:iCs/>
        </w:rPr>
        <w:t xml:space="preserve"> </w:t>
      </w:r>
      <w:r w:rsidR="000C4F57">
        <w:t>za sektor H - Prijevoz i skladištenje</w:t>
      </w:r>
    </w:p>
    <w:p w14:paraId="386BD538" w14:textId="203814F4" w:rsidR="000C4F57" w:rsidRPr="00472C6B" w:rsidRDefault="000C4F57" w:rsidP="000C4F57">
      <w:pPr>
        <w:spacing w:line="360" w:lineRule="auto"/>
        <w:ind w:firstLine="708"/>
        <w:jc w:val="both"/>
      </w:pPr>
      <w:r w:rsidRPr="00472C6B">
        <w:t xml:space="preserve">i = 1,…, </w:t>
      </w:r>
      <w:r>
        <w:t>114</w:t>
      </w:r>
      <w:r w:rsidRPr="00472C6B">
        <w:t xml:space="preserve">; t = 1,…,16 </w:t>
      </w:r>
    </w:p>
    <w:p w14:paraId="1BDF9B84" w14:textId="77777777" w:rsidR="000C4F57" w:rsidRPr="00472C6B" w:rsidRDefault="000C4F57" w:rsidP="000C4F57">
      <w:pPr>
        <w:spacing w:line="360" w:lineRule="auto"/>
        <w:jc w:val="both"/>
      </w:pPr>
    </w:p>
    <w:p w14:paraId="6C5DC615" w14:textId="77777777" w:rsidR="000C4F57" w:rsidRPr="00472C6B" w:rsidRDefault="000C4F57" w:rsidP="000C4F57">
      <w:pPr>
        <w:spacing w:line="360" w:lineRule="auto"/>
        <w:jc w:val="both"/>
        <w:rPr>
          <w:iCs/>
        </w:rPr>
      </w:pPr>
      <w:r w:rsidRPr="00472C6B">
        <w:rPr>
          <w:iCs/>
        </w:rPr>
        <w:t>pri čemu je:</w:t>
      </w:r>
    </w:p>
    <w:p w14:paraId="6484F722" w14:textId="77777777" w:rsidR="000C4F57" w:rsidRPr="00472C6B" w:rsidRDefault="000C4F57" w:rsidP="000C4F57">
      <w:pPr>
        <w:spacing w:line="360" w:lineRule="auto"/>
        <w:jc w:val="both"/>
        <w:rPr>
          <w:iCs/>
        </w:rPr>
      </w:pPr>
      <w:r w:rsidRPr="00472C6B">
        <w:rPr>
          <w:iCs/>
        </w:rPr>
        <w:t>N – broj jedinica promatranja,</w:t>
      </w:r>
    </w:p>
    <w:p w14:paraId="5C09B595" w14:textId="77777777" w:rsidR="000C4F57" w:rsidRPr="00472C6B" w:rsidRDefault="000C4F57" w:rsidP="000C4F57">
      <w:pPr>
        <w:spacing w:line="360" w:lineRule="auto"/>
        <w:jc w:val="both"/>
        <w:rPr>
          <w:iCs/>
        </w:rPr>
      </w:pPr>
      <w:r w:rsidRPr="00472C6B">
        <w:rPr>
          <w:iCs/>
        </w:rPr>
        <w:t>T – broj razdoblja promatranja,</w:t>
      </w:r>
    </w:p>
    <w:p w14:paraId="7B87F3FC" w14:textId="77777777" w:rsidR="000C4F57" w:rsidRPr="00472C6B" w:rsidRDefault="000C4F57" w:rsidP="000C4F57">
      <w:pPr>
        <w:spacing w:line="360" w:lineRule="auto"/>
        <w:jc w:val="both"/>
        <w:rPr>
          <w:iCs/>
        </w:rPr>
      </w:pPr>
      <w:r w:rsidRPr="00472C6B">
        <w:rPr>
          <w:iCs/>
        </w:rPr>
        <w:t>α – zajednički konstantni član različit za sve jedinicu promatranja,</w:t>
      </w:r>
    </w:p>
    <w:p w14:paraId="29A8091A" w14:textId="77777777" w:rsidR="000C4F57" w:rsidRPr="00472C6B" w:rsidRDefault="00000000" w:rsidP="000C4F57">
      <w:pPr>
        <w:spacing w:line="360" w:lineRule="auto"/>
        <w:jc w:val="both"/>
        <w:rPr>
          <w:iCs/>
        </w:rPr>
      </w:pPr>
      <m:oMath>
        <m:sSub>
          <m:sSubPr>
            <m:ctrlPr>
              <w:rPr>
                <w:rFonts w:ascii="Cambria Math" w:hAnsi="Cambria Math"/>
                <w:iCs/>
              </w:rPr>
            </m:ctrlPr>
          </m:sSubPr>
          <m:e>
            <m:r>
              <w:rPr>
                <w:rFonts w:ascii="Cambria Math" w:hAnsi="Cambria Math"/>
              </w:rPr>
              <m:t>μ</m:t>
            </m:r>
          </m:e>
          <m:sub>
            <m:r>
              <w:rPr>
                <w:rFonts w:ascii="Cambria Math" w:hAnsi="Cambria Math"/>
              </w:rPr>
              <m:t>i</m:t>
            </m:r>
          </m:sub>
        </m:sSub>
      </m:oMath>
      <w:r w:rsidR="000C4F57" w:rsidRPr="00472C6B">
        <w:rPr>
          <w:iCs/>
        </w:rPr>
        <w:t xml:space="preserve"> – slučajni efekt za svaku jedinicu promatranja, </w:t>
      </w:r>
    </w:p>
    <w:p w14:paraId="2E71FC58" w14:textId="77777777" w:rsidR="000C4F57" w:rsidRPr="00472C6B" w:rsidRDefault="00000000" w:rsidP="000C4F57">
      <w:pPr>
        <w:spacing w:line="360" w:lineRule="auto"/>
        <w:jc w:val="both"/>
        <w:rPr>
          <w:iCs/>
        </w:rPr>
      </w:pPr>
      <m:oMath>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0C4F57" w:rsidRPr="00472C6B">
        <w:rPr>
          <w:iCs/>
        </w:rPr>
        <w:t xml:space="preserve"> - greška relacije za i-te jedinice u vremenu t,</w:t>
      </w:r>
    </w:p>
    <w:p w14:paraId="65EA83E6" w14:textId="77777777" w:rsidR="000C4F57" w:rsidRPr="00472C6B" w:rsidRDefault="00000000" w:rsidP="000C4F57">
      <w:pPr>
        <w:spacing w:line="360" w:lineRule="auto"/>
        <w:jc w:val="both"/>
        <w:rPr>
          <w:iCs/>
        </w:rPr>
      </w:pPr>
      <m:oMath>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k</m:t>
            </m:r>
          </m:sub>
        </m:sSub>
      </m:oMath>
      <w:r w:rsidR="000C4F57" w:rsidRPr="00472C6B">
        <w:rPr>
          <w:iCs/>
        </w:rPr>
        <w:t xml:space="preserve"> – parametri koje treba procijeniti. </w:t>
      </w:r>
    </w:p>
    <w:p w14:paraId="0728A87F" w14:textId="77777777" w:rsidR="00B92FBB" w:rsidRDefault="00B92FBB">
      <w:pPr>
        <w:rPr>
          <w:highlight w:val="yellow"/>
        </w:rPr>
      </w:pPr>
    </w:p>
    <w:p w14:paraId="3DD4C004" w14:textId="68340D84" w:rsidR="00B92FBB" w:rsidRDefault="00154FB7">
      <w:pPr>
        <w:spacing w:line="360" w:lineRule="auto"/>
        <w:jc w:val="both"/>
      </w:pPr>
      <w:r w:rsidRPr="00154FB7">
        <w:t xml:space="preserve">Testna veličina AR (1) testa (0,0868)  i AR (2) testa (0,0928) veća je od teorijske razine signifikantnosti α=0,05 (5%) </w:t>
      </w:r>
      <w:r w:rsidR="00ED79F3">
        <w:t>na temelju</w:t>
      </w:r>
      <w:r w:rsidRPr="00154FB7">
        <w:t xml:space="preserve"> čega se ne može odbaciti nulta hipoteza pa se zaključuje kako ne postoji </w:t>
      </w:r>
      <w:proofErr w:type="spellStart"/>
      <w:r w:rsidRPr="00154FB7">
        <w:t>autokorelacija</w:t>
      </w:r>
      <w:proofErr w:type="spellEnd"/>
      <w:r w:rsidRPr="00154FB7">
        <w:t xml:space="preserve"> prvog ni drugog reda.</w:t>
      </w:r>
      <w:r>
        <w:t xml:space="preserve"> </w:t>
      </w:r>
      <w:proofErr w:type="spellStart"/>
      <w:r w:rsidRPr="00154FB7">
        <w:t>Hansenov</w:t>
      </w:r>
      <w:proofErr w:type="spellEnd"/>
      <w:r w:rsidRPr="00154FB7">
        <w:t xml:space="preserve"> J-test pokazuje da su korišten</w:t>
      </w:r>
      <w:r>
        <w:t>e</w:t>
      </w:r>
      <w:r w:rsidRPr="00154FB7">
        <w:t xml:space="preserve"> instrumentalne varijable prikladne i dobro specificirane </w:t>
      </w:r>
      <w:r>
        <w:t>z</w:t>
      </w:r>
      <w:r w:rsidRPr="00154FB7">
        <w:t xml:space="preserve">ato što </w:t>
      </w:r>
      <w:r>
        <w:t>je u</w:t>
      </w:r>
      <w:r w:rsidRPr="00154FB7">
        <w:t xml:space="preserve"> testiranom modelu empirijska razina signifikantnosti odnosno p-vrijednost veća od teorijske razine signifikantnosti α=0,05 (5%) pa se nulta hipoteza ne može odbaciti (</w:t>
      </w:r>
      <w:proofErr w:type="spellStart"/>
      <w:r w:rsidRPr="00154FB7">
        <w:t>Arellano</w:t>
      </w:r>
      <w:proofErr w:type="spellEnd"/>
      <w:r w:rsidRPr="00154FB7">
        <w:t xml:space="preserve"> </w:t>
      </w:r>
      <w:r w:rsidR="0043109A">
        <w:t>i</w:t>
      </w:r>
      <w:r w:rsidRPr="00154FB7">
        <w:t xml:space="preserve"> Bond, 1991; </w:t>
      </w:r>
      <w:proofErr w:type="spellStart"/>
      <w:r w:rsidRPr="00154FB7">
        <w:t>Roodman</w:t>
      </w:r>
      <w:proofErr w:type="spellEnd"/>
      <w:r w:rsidRPr="00154FB7">
        <w:t>, 2009).</w:t>
      </w:r>
    </w:p>
    <w:p w14:paraId="25D735EB" w14:textId="77777777" w:rsidR="00B92FBB" w:rsidRDefault="00B92FBB">
      <w:pPr>
        <w:spacing w:line="360" w:lineRule="auto"/>
        <w:jc w:val="both"/>
      </w:pPr>
    </w:p>
    <w:p w14:paraId="54D6065F" w14:textId="053610F6" w:rsidR="003C3246" w:rsidRDefault="008A09CC">
      <w:pPr>
        <w:spacing w:line="360" w:lineRule="auto"/>
        <w:jc w:val="both"/>
      </w:pPr>
      <w:r>
        <w:t xml:space="preserve">Koeficijent za KTL je pozitivan </w:t>
      </w:r>
      <w:r w:rsidR="00F93671">
        <w:t xml:space="preserve">i statistički značajan </w:t>
      </w:r>
      <w:r>
        <w:t>(0,0238; p &lt; 0,01). To ukazuje na postojanost likvidnosti</w:t>
      </w:r>
      <w:r w:rsidR="003C3246">
        <w:t xml:space="preserve"> </w:t>
      </w:r>
      <w:r w:rsidR="003C3246" w:rsidRPr="003C3246">
        <w:t>čime se potvrđuje H1 hipoteza</w:t>
      </w:r>
      <w:r>
        <w:t xml:space="preserve">. Poduzeća koja su u prethodnim godinama imala stabilnu tekuću likvidnost zadržavaju sličan trend i kasnije. </w:t>
      </w:r>
      <w:r w:rsidR="003C3246" w:rsidRPr="003C3246">
        <w:t xml:space="preserve">Ova postojanost likvidnosti u skladu je s nalazima </w:t>
      </w:r>
      <w:proofErr w:type="spellStart"/>
      <w:r w:rsidR="003C3246" w:rsidRPr="003C3246">
        <w:t>Ferreire</w:t>
      </w:r>
      <w:proofErr w:type="spellEnd"/>
      <w:r w:rsidR="003C3246" w:rsidRPr="003C3246">
        <w:t xml:space="preserve"> i </w:t>
      </w:r>
      <w:proofErr w:type="spellStart"/>
      <w:r w:rsidR="003C3246" w:rsidRPr="003C3246">
        <w:t>Vilele</w:t>
      </w:r>
      <w:proofErr w:type="spellEnd"/>
      <w:r w:rsidR="003C3246" w:rsidRPr="003C3246">
        <w:t xml:space="preserve"> (2004)</w:t>
      </w:r>
      <w:r w:rsidR="003C3246">
        <w:t xml:space="preserve">. </w:t>
      </w:r>
      <w:r>
        <w:t xml:space="preserve">Koeficijent za DER je </w:t>
      </w:r>
      <w:r w:rsidR="005D2A4F" w:rsidRPr="005D2A4F">
        <w:t>signifikantan</w:t>
      </w:r>
      <w:r>
        <w:t xml:space="preserve"> (-0,00036; p &lt; 0,01). Viša razina zaduženosti smanjuje likvidnost jer veći iznos sredstava odlazi na otplaćivanje obveza</w:t>
      </w:r>
      <w:r w:rsidR="003C3246">
        <w:t xml:space="preserve"> št</w:t>
      </w:r>
      <w:r w:rsidR="003C3246" w:rsidRPr="003C3246">
        <w:t>o potvrđuje H2 hipotezu</w:t>
      </w:r>
      <w:r>
        <w:t xml:space="preserve">. </w:t>
      </w:r>
    </w:p>
    <w:p w14:paraId="0F3F184E" w14:textId="77777777" w:rsidR="003C3246" w:rsidRDefault="003C3246">
      <w:pPr>
        <w:spacing w:line="360" w:lineRule="auto"/>
        <w:jc w:val="both"/>
      </w:pPr>
    </w:p>
    <w:p w14:paraId="4C3C3164" w14:textId="2E4690BD" w:rsidR="00B92FBB" w:rsidRDefault="003C3246">
      <w:pPr>
        <w:spacing w:line="360" w:lineRule="auto"/>
        <w:jc w:val="both"/>
      </w:pPr>
      <w:r w:rsidRPr="003C3246">
        <w:t>Kontrolne varijable, uključene u model radi robusnosti rezultata, daju dodatne uvide u dinamiku likvidnosti i potvrđuju H3 hipotezu.</w:t>
      </w:r>
      <w:r>
        <w:t xml:space="preserve"> </w:t>
      </w:r>
      <w:r w:rsidR="008A09CC">
        <w:t xml:space="preserve">ROA </w:t>
      </w:r>
      <w:r>
        <w:t xml:space="preserve">pokazuje manju signifikantnost </w:t>
      </w:r>
      <w:r w:rsidR="008A09CC">
        <w:t xml:space="preserve">(5,26e-08; p &lt; 0,01). Blaga profitabilnost povećava likvidnost, ali bez velikog utjecaja. ROE pokazuje negativan učinak (-2,34e-05; p &lt; 0,01). Visoka profitabilnost kapitala ne povećava likvidnost jer se dobit često koristi za otplatu duga ili ulaganja u poslovanje. KI također ima </w:t>
      </w:r>
      <w:r w:rsidR="005D2A4F">
        <w:t xml:space="preserve">signifikantan </w:t>
      </w:r>
      <w:r w:rsidR="008A09CC">
        <w:t>učinak (-2,34e-05; p &lt; 0,01). Poduzeća s visokim udjelom dugotrajne imovine drže manje likvidnih sredstava jer im kapital ostaje vezan u imovini. PP ima negativan koeficijent (-3,30e-</w:t>
      </w:r>
      <w:r w:rsidR="008A09CC">
        <w:lastRenderedPageBreak/>
        <w:t>08; p &lt; 0,01). Rast prihoda iscrpljuje likvidnost jer se dodatna sredstva koriste za financiranje redovno poslovanje i plaćanje kratkoročnih obveza.</w:t>
      </w:r>
    </w:p>
    <w:p w14:paraId="3C3FABEF" w14:textId="77777777" w:rsidR="00B92FBB" w:rsidRDefault="00B92FBB">
      <w:pPr>
        <w:spacing w:line="360" w:lineRule="auto"/>
        <w:jc w:val="both"/>
      </w:pPr>
    </w:p>
    <w:p w14:paraId="71B3CB29" w14:textId="77777777" w:rsidR="00B92FBB" w:rsidRDefault="008A09CC">
      <w:pPr>
        <w:spacing w:line="360" w:lineRule="auto"/>
        <w:jc w:val="both"/>
      </w:pPr>
      <w:r>
        <w:t>Rezultati potvrđuju stabilnost likvidnosti u sektoru prijevoza i skladištenja. Likvidnost je najosjetljivija na razinu zaduženosti i kapitalnu intenzivnost. Rast prihoda i profitabilnosti ne osigurava veće rezerve gotovine jer se sredstva uglavnom reinvestiraju. Model je statistički pouzdan, a dijagnostički testovi potvrđuju njegovu valjanost.</w:t>
      </w:r>
    </w:p>
    <w:p w14:paraId="1985CDD9" w14:textId="77777777" w:rsidR="00B92FBB" w:rsidRDefault="00B92FBB">
      <w:pPr>
        <w:spacing w:line="360" w:lineRule="auto"/>
        <w:jc w:val="both"/>
      </w:pPr>
    </w:p>
    <w:p w14:paraId="656FF5F1" w14:textId="4B1DC309" w:rsidR="001648A1" w:rsidRPr="001648A1" w:rsidRDefault="001648A1" w:rsidP="001648A1">
      <w:pPr>
        <w:pStyle w:val="Opisslike"/>
        <w:keepNext/>
        <w:spacing w:line="360" w:lineRule="auto"/>
        <w:jc w:val="both"/>
        <w:rPr>
          <w:i w:val="0"/>
          <w:iCs w:val="0"/>
          <w:color w:val="000000" w:themeColor="text1"/>
          <w:sz w:val="22"/>
          <w:szCs w:val="22"/>
        </w:rPr>
      </w:pPr>
      <w:bookmarkStart w:id="59" w:name="_Toc207265200"/>
      <w:r w:rsidRPr="001648A1">
        <w:rPr>
          <w:i w:val="0"/>
          <w:iCs w:val="0"/>
          <w:color w:val="000000" w:themeColor="text1"/>
          <w:sz w:val="22"/>
          <w:szCs w:val="22"/>
        </w:rPr>
        <w:t xml:space="preserve">Tablica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Tablica \* ARABIC </w:instrText>
      </w:r>
      <w:r w:rsidRPr="001648A1">
        <w:rPr>
          <w:i w:val="0"/>
          <w:iCs w:val="0"/>
          <w:color w:val="000000" w:themeColor="text1"/>
          <w:sz w:val="22"/>
          <w:szCs w:val="22"/>
        </w:rPr>
        <w:fldChar w:fldCharType="separate"/>
      </w:r>
      <w:r w:rsidR="00D11EF7">
        <w:rPr>
          <w:i w:val="0"/>
          <w:iCs w:val="0"/>
          <w:noProof/>
          <w:color w:val="000000" w:themeColor="text1"/>
          <w:sz w:val="22"/>
          <w:szCs w:val="22"/>
        </w:rPr>
        <w:t>6</w:t>
      </w:r>
      <w:r w:rsidRPr="001648A1">
        <w:rPr>
          <w:i w:val="0"/>
          <w:iCs w:val="0"/>
          <w:color w:val="000000" w:themeColor="text1"/>
          <w:sz w:val="22"/>
          <w:szCs w:val="22"/>
        </w:rPr>
        <w:fldChar w:fldCharType="end"/>
      </w:r>
      <w:r w:rsidRPr="001648A1">
        <w:rPr>
          <w:i w:val="0"/>
          <w:iCs w:val="0"/>
          <w:color w:val="000000" w:themeColor="text1"/>
          <w:sz w:val="22"/>
          <w:szCs w:val="22"/>
        </w:rPr>
        <w:t xml:space="preserve">. Rezultati dinamičkog panel modela za sektor H - Prijevoz i skladištenje (podaci dostavljeni od strane FINA-e, izračun i obrada autorice u programu </w:t>
      </w:r>
      <w:proofErr w:type="spellStart"/>
      <w:r w:rsidRPr="001648A1">
        <w:rPr>
          <w:i w:val="0"/>
          <w:iCs w:val="0"/>
          <w:color w:val="000000" w:themeColor="text1"/>
          <w:sz w:val="22"/>
          <w:szCs w:val="22"/>
        </w:rPr>
        <w:t>EViews</w:t>
      </w:r>
      <w:proofErr w:type="spellEnd"/>
      <w:r w:rsidRPr="001648A1">
        <w:rPr>
          <w:i w:val="0"/>
          <w:iCs w:val="0"/>
          <w:color w:val="000000" w:themeColor="text1"/>
          <w:sz w:val="22"/>
          <w:szCs w:val="22"/>
        </w:rPr>
        <w:t xml:space="preserve"> 12)</w:t>
      </w:r>
      <w:bookmarkEnd w:id="59"/>
    </w:p>
    <w:tbl>
      <w:tblPr>
        <w:tblW w:w="8068" w:type="dxa"/>
        <w:tblLook w:val="04A0" w:firstRow="1" w:lastRow="0" w:firstColumn="1" w:lastColumn="0" w:noHBand="0" w:noVBand="1"/>
      </w:tblPr>
      <w:tblGrid>
        <w:gridCol w:w="1487"/>
        <w:gridCol w:w="2837"/>
        <w:gridCol w:w="2117"/>
        <w:gridCol w:w="1627"/>
      </w:tblGrid>
      <w:tr w:rsidR="00AA0CA0" w:rsidRPr="00AA0CA0" w14:paraId="33C6B1F5" w14:textId="77777777" w:rsidTr="00AA0CA0">
        <w:trPr>
          <w:trHeight w:val="510"/>
        </w:trPr>
        <w:tc>
          <w:tcPr>
            <w:tcW w:w="6441" w:type="dxa"/>
            <w:gridSpan w:val="3"/>
            <w:tcBorders>
              <w:top w:val="single" w:sz="8" w:space="0" w:color="auto"/>
              <w:left w:val="single" w:sz="8" w:space="0" w:color="auto"/>
              <w:bottom w:val="nil"/>
              <w:right w:val="nil"/>
            </w:tcBorders>
            <w:vAlign w:val="center"/>
            <w:hideMark/>
          </w:tcPr>
          <w:p w14:paraId="56E177AE" w14:textId="77777777" w:rsidR="00AA0CA0" w:rsidRPr="00AA0CA0" w:rsidRDefault="00AA0CA0" w:rsidP="00AA0CA0">
            <w:pPr>
              <w:spacing w:line="240" w:lineRule="auto"/>
              <w:jc w:val="center"/>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color w:val="000000"/>
                <w:szCs w:val="24"/>
                <w:lang w:val="hr-HR" w:eastAsia="hr-HR"/>
              </w:rPr>
              <w:t>Varijabla / Opis</w:t>
            </w:r>
          </w:p>
        </w:tc>
        <w:tc>
          <w:tcPr>
            <w:tcW w:w="1627" w:type="dxa"/>
            <w:tcBorders>
              <w:top w:val="single" w:sz="8" w:space="0" w:color="auto"/>
              <w:left w:val="nil"/>
              <w:bottom w:val="nil"/>
              <w:right w:val="single" w:sz="8" w:space="0" w:color="auto"/>
            </w:tcBorders>
            <w:vAlign w:val="center"/>
            <w:hideMark/>
          </w:tcPr>
          <w:p w14:paraId="22B924D5" w14:textId="77777777" w:rsidR="00AA0CA0" w:rsidRPr="00AA0CA0" w:rsidRDefault="00AA0CA0" w:rsidP="00AA0CA0">
            <w:pPr>
              <w:spacing w:line="240" w:lineRule="auto"/>
              <w:jc w:val="center"/>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color w:val="000000"/>
                <w:szCs w:val="24"/>
                <w:lang w:val="hr-HR" w:eastAsia="hr-HR"/>
              </w:rPr>
              <w:t xml:space="preserve">Model </w:t>
            </w:r>
          </w:p>
        </w:tc>
      </w:tr>
      <w:tr w:rsidR="00AA0CA0" w:rsidRPr="00AA0CA0" w14:paraId="58D85810" w14:textId="77777777" w:rsidTr="00AA0CA0">
        <w:trPr>
          <w:trHeight w:val="553"/>
        </w:trPr>
        <w:tc>
          <w:tcPr>
            <w:tcW w:w="1487" w:type="dxa"/>
            <w:tcBorders>
              <w:top w:val="nil"/>
              <w:left w:val="single" w:sz="8" w:space="0" w:color="auto"/>
              <w:bottom w:val="nil"/>
              <w:right w:val="nil"/>
            </w:tcBorders>
            <w:shd w:val="clear" w:color="000000" w:fill="D9D9D9"/>
            <w:hideMark/>
          </w:tcPr>
          <w:p w14:paraId="68A5CEC8" w14:textId="77777777" w:rsidR="00AA0CA0" w:rsidRPr="00AA0CA0" w:rsidRDefault="00AA0CA0" w:rsidP="00AA0CA0">
            <w:pPr>
              <w:spacing w:line="240" w:lineRule="auto"/>
              <w:rPr>
                <w:rFonts w:ascii="Times New Roman" w:eastAsia="Times New Roman" w:hAnsi="Times New Roman" w:cs="Times New Roman"/>
                <w:b/>
                <w:bCs/>
                <w:color w:val="000000"/>
                <w:sz w:val="24"/>
                <w:szCs w:val="24"/>
                <w:lang w:val="hr-HR" w:eastAsia="hr-HR"/>
              </w:rPr>
            </w:pPr>
            <w:r w:rsidRPr="00AA0CA0">
              <w:rPr>
                <w:rFonts w:ascii="Times New Roman" w:eastAsia="Times New Roman" w:hAnsi="Times New Roman" w:cs="Times New Roman"/>
                <w:b/>
                <w:bCs/>
                <w:color w:val="000000"/>
                <w:sz w:val="24"/>
                <w:szCs w:val="24"/>
                <w:lang w:val="hr-HR" w:eastAsia="hr-HR"/>
              </w:rPr>
              <w:t xml:space="preserve">KTL </w:t>
            </w:r>
            <w:proofErr w:type="spellStart"/>
            <w:r w:rsidRPr="00AA0CA0">
              <w:rPr>
                <w:rFonts w:ascii="Times New Roman" w:eastAsia="Times New Roman" w:hAnsi="Times New Roman" w:cs="Times New Roman"/>
                <w:b/>
                <w:bCs/>
                <w:color w:val="000000"/>
                <w:sz w:val="24"/>
                <w:szCs w:val="24"/>
                <w:lang w:val="hr-HR" w:eastAsia="hr-HR"/>
              </w:rPr>
              <w:t>i,t</w:t>
            </w:r>
            <w:proofErr w:type="spellEnd"/>
          </w:p>
        </w:tc>
        <w:tc>
          <w:tcPr>
            <w:tcW w:w="4954" w:type="dxa"/>
            <w:gridSpan w:val="2"/>
            <w:tcBorders>
              <w:top w:val="nil"/>
              <w:left w:val="nil"/>
              <w:bottom w:val="nil"/>
              <w:right w:val="nil"/>
            </w:tcBorders>
            <w:shd w:val="clear" w:color="000000" w:fill="D9D9D9"/>
            <w:vAlign w:val="center"/>
            <w:hideMark/>
          </w:tcPr>
          <w:p w14:paraId="3BFAB323" w14:textId="77777777" w:rsidR="00AA0CA0" w:rsidRPr="00AA0CA0" w:rsidRDefault="00AA0CA0" w:rsidP="00AA0CA0">
            <w:pPr>
              <w:spacing w:line="240" w:lineRule="auto"/>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color w:val="000000"/>
                <w:lang w:val="hr-HR" w:eastAsia="hr-HR"/>
              </w:rPr>
              <w:t>Zavisna varijabla</w:t>
            </w:r>
          </w:p>
        </w:tc>
        <w:tc>
          <w:tcPr>
            <w:tcW w:w="1627" w:type="dxa"/>
            <w:tcBorders>
              <w:top w:val="nil"/>
              <w:left w:val="nil"/>
              <w:bottom w:val="nil"/>
              <w:right w:val="single" w:sz="8" w:space="0" w:color="auto"/>
            </w:tcBorders>
            <w:shd w:val="clear" w:color="000000" w:fill="D9D9D9"/>
            <w:vAlign w:val="center"/>
            <w:hideMark/>
          </w:tcPr>
          <w:p w14:paraId="1BB70F72" w14:textId="77777777" w:rsidR="00AA0CA0" w:rsidRPr="00AA0CA0" w:rsidRDefault="00AA0CA0" w:rsidP="00AA0CA0">
            <w:pPr>
              <w:spacing w:line="240" w:lineRule="auto"/>
              <w:rPr>
                <w:rFonts w:ascii="Times New Roman" w:eastAsia="Times New Roman" w:hAnsi="Times New Roman" w:cs="Times New Roman"/>
                <w:b/>
                <w:bCs/>
                <w:color w:val="000000"/>
                <w:lang w:val="hr-HR" w:eastAsia="hr-HR"/>
              </w:rPr>
            </w:pPr>
            <w:r w:rsidRPr="00AA0CA0">
              <w:rPr>
                <w:rFonts w:ascii="Times New Roman" w:eastAsia="Times New Roman" w:hAnsi="Times New Roman" w:cs="Times New Roman"/>
                <w:b/>
                <w:bCs/>
                <w:szCs w:val="24"/>
                <w:lang w:val="hr-HR" w:eastAsia="hr-HR"/>
              </w:rPr>
              <w:t>-</w:t>
            </w:r>
          </w:p>
        </w:tc>
      </w:tr>
      <w:tr w:rsidR="00AA0CA0" w:rsidRPr="00AA0CA0" w14:paraId="46F785CC" w14:textId="77777777" w:rsidTr="00AA0CA0">
        <w:trPr>
          <w:trHeight w:val="510"/>
        </w:trPr>
        <w:tc>
          <w:tcPr>
            <w:tcW w:w="1487" w:type="dxa"/>
            <w:vMerge w:val="restart"/>
            <w:tcBorders>
              <w:top w:val="nil"/>
              <w:left w:val="single" w:sz="8" w:space="0" w:color="auto"/>
              <w:bottom w:val="nil"/>
              <w:right w:val="nil"/>
            </w:tcBorders>
            <w:hideMark/>
          </w:tcPr>
          <w:p w14:paraId="7EB73ADF" w14:textId="77777777" w:rsidR="00AA0CA0" w:rsidRPr="00AA0CA0" w:rsidRDefault="00AA0CA0" w:rsidP="00AA0CA0">
            <w:pPr>
              <w:spacing w:line="240" w:lineRule="auto"/>
              <w:rPr>
                <w:rFonts w:ascii="Times New Roman" w:eastAsia="Times New Roman" w:hAnsi="Times New Roman" w:cs="Times New Roman"/>
                <w:color w:val="000000"/>
                <w:sz w:val="24"/>
                <w:szCs w:val="24"/>
                <w:lang w:val="hr-HR" w:eastAsia="hr-HR"/>
              </w:rPr>
            </w:pPr>
            <w:r w:rsidRPr="00AA0CA0">
              <w:rPr>
                <w:rFonts w:ascii="Times New Roman" w:eastAsia="Times New Roman" w:hAnsi="Times New Roman" w:cs="Times New Roman"/>
                <w:color w:val="000000"/>
                <w:sz w:val="24"/>
                <w:szCs w:val="24"/>
                <w:lang w:val="hr-HR" w:eastAsia="hr-HR"/>
              </w:rPr>
              <w:t xml:space="preserve">KTL </w:t>
            </w:r>
            <w:proofErr w:type="spellStart"/>
            <w:r w:rsidRPr="00AA0CA0">
              <w:rPr>
                <w:rFonts w:ascii="Times New Roman" w:eastAsia="Times New Roman" w:hAnsi="Times New Roman" w:cs="Times New Roman"/>
                <w:color w:val="000000"/>
                <w:sz w:val="24"/>
                <w:szCs w:val="24"/>
                <w:lang w:val="hr-HR" w:eastAsia="hr-HR"/>
              </w:rPr>
              <w:t>i,t</w:t>
            </w:r>
            <w:proofErr w:type="spellEnd"/>
          </w:p>
        </w:tc>
        <w:tc>
          <w:tcPr>
            <w:tcW w:w="2836" w:type="dxa"/>
            <w:vMerge w:val="restart"/>
            <w:tcBorders>
              <w:top w:val="nil"/>
              <w:left w:val="nil"/>
              <w:bottom w:val="nil"/>
              <w:right w:val="nil"/>
            </w:tcBorders>
            <w:vAlign w:val="center"/>
            <w:hideMark/>
          </w:tcPr>
          <w:p w14:paraId="565A6DC7"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Konstanta</w:t>
            </w:r>
          </w:p>
        </w:tc>
        <w:tc>
          <w:tcPr>
            <w:tcW w:w="2117" w:type="dxa"/>
            <w:tcBorders>
              <w:top w:val="nil"/>
              <w:left w:val="nil"/>
              <w:bottom w:val="nil"/>
              <w:right w:val="nil"/>
            </w:tcBorders>
            <w:vAlign w:val="center"/>
            <w:hideMark/>
          </w:tcPr>
          <w:p w14:paraId="6632535E"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 xml:space="preserve">Koeficijent </w:t>
            </w:r>
          </w:p>
        </w:tc>
        <w:tc>
          <w:tcPr>
            <w:tcW w:w="1627" w:type="dxa"/>
            <w:tcBorders>
              <w:top w:val="nil"/>
              <w:left w:val="nil"/>
              <w:bottom w:val="nil"/>
              <w:right w:val="single" w:sz="8" w:space="0" w:color="auto"/>
            </w:tcBorders>
            <w:vAlign w:val="center"/>
            <w:hideMark/>
          </w:tcPr>
          <w:p w14:paraId="33B52274"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0,023864</w:t>
            </w:r>
          </w:p>
        </w:tc>
      </w:tr>
      <w:tr w:rsidR="00AA0CA0" w:rsidRPr="00AA0CA0" w14:paraId="7807AE95" w14:textId="77777777" w:rsidTr="00AA0CA0">
        <w:trPr>
          <w:trHeight w:val="510"/>
        </w:trPr>
        <w:tc>
          <w:tcPr>
            <w:tcW w:w="1487" w:type="dxa"/>
            <w:vMerge/>
            <w:tcBorders>
              <w:top w:val="nil"/>
              <w:left w:val="single" w:sz="8" w:space="0" w:color="auto"/>
              <w:bottom w:val="nil"/>
              <w:right w:val="nil"/>
            </w:tcBorders>
            <w:vAlign w:val="center"/>
            <w:hideMark/>
          </w:tcPr>
          <w:p w14:paraId="20D4ABCB" w14:textId="77777777" w:rsidR="00AA0CA0" w:rsidRPr="00AA0CA0" w:rsidRDefault="00AA0CA0" w:rsidP="00AA0CA0">
            <w:pPr>
              <w:spacing w:line="240" w:lineRule="auto"/>
              <w:rPr>
                <w:rFonts w:ascii="Times New Roman" w:eastAsia="Times New Roman" w:hAnsi="Times New Roman" w:cs="Times New Roman"/>
                <w:color w:val="000000"/>
                <w:sz w:val="24"/>
                <w:szCs w:val="24"/>
                <w:lang w:val="hr-HR" w:eastAsia="hr-HR"/>
              </w:rPr>
            </w:pPr>
          </w:p>
        </w:tc>
        <w:tc>
          <w:tcPr>
            <w:tcW w:w="2836" w:type="dxa"/>
            <w:vMerge/>
            <w:tcBorders>
              <w:top w:val="nil"/>
              <w:left w:val="nil"/>
              <w:bottom w:val="nil"/>
              <w:right w:val="nil"/>
            </w:tcBorders>
            <w:vAlign w:val="center"/>
            <w:hideMark/>
          </w:tcPr>
          <w:p w14:paraId="19CF4591"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17" w:type="dxa"/>
            <w:tcBorders>
              <w:top w:val="nil"/>
              <w:left w:val="nil"/>
              <w:bottom w:val="nil"/>
              <w:right w:val="nil"/>
            </w:tcBorders>
            <w:vAlign w:val="center"/>
            <w:hideMark/>
          </w:tcPr>
          <w:p w14:paraId="3FAC95B5"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p-vrijednost</w:t>
            </w:r>
          </w:p>
        </w:tc>
        <w:tc>
          <w:tcPr>
            <w:tcW w:w="1627" w:type="dxa"/>
            <w:tcBorders>
              <w:top w:val="nil"/>
              <w:left w:val="nil"/>
              <w:bottom w:val="nil"/>
              <w:right w:val="single" w:sz="8" w:space="0" w:color="auto"/>
            </w:tcBorders>
            <w:vAlign w:val="center"/>
            <w:hideMark/>
          </w:tcPr>
          <w:p w14:paraId="5AF805E9" w14:textId="7E34972F"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w:t>
            </w:r>
            <w:r>
              <w:rPr>
                <w:rFonts w:ascii="Times New Roman" w:eastAsia="Times New Roman" w:hAnsi="Times New Roman" w:cs="Times New Roman"/>
                <w:color w:val="000000"/>
                <w:lang w:val="hr-HR" w:eastAsia="hr-HR"/>
              </w:rPr>
              <w:t>,0000</w:t>
            </w:r>
          </w:p>
        </w:tc>
      </w:tr>
      <w:tr w:rsidR="00AA0CA0" w:rsidRPr="00AA0CA0" w14:paraId="658E46BC" w14:textId="77777777" w:rsidTr="00AA0CA0">
        <w:trPr>
          <w:trHeight w:val="510"/>
        </w:trPr>
        <w:tc>
          <w:tcPr>
            <w:tcW w:w="1487" w:type="dxa"/>
            <w:vMerge w:val="restart"/>
            <w:tcBorders>
              <w:top w:val="nil"/>
              <w:left w:val="single" w:sz="8" w:space="0" w:color="auto"/>
              <w:bottom w:val="nil"/>
              <w:right w:val="nil"/>
            </w:tcBorders>
            <w:vAlign w:val="center"/>
            <w:hideMark/>
          </w:tcPr>
          <w:p w14:paraId="59C17C65"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DER</w:t>
            </w:r>
          </w:p>
        </w:tc>
        <w:tc>
          <w:tcPr>
            <w:tcW w:w="2836" w:type="dxa"/>
            <w:vMerge w:val="restart"/>
            <w:tcBorders>
              <w:top w:val="nil"/>
              <w:left w:val="nil"/>
              <w:bottom w:val="nil"/>
              <w:right w:val="nil"/>
            </w:tcBorders>
            <w:vAlign w:val="center"/>
            <w:hideMark/>
          </w:tcPr>
          <w:p w14:paraId="6ECE08AE"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17" w:type="dxa"/>
            <w:tcBorders>
              <w:top w:val="nil"/>
              <w:left w:val="nil"/>
              <w:bottom w:val="nil"/>
              <w:right w:val="nil"/>
            </w:tcBorders>
            <w:vAlign w:val="center"/>
            <w:hideMark/>
          </w:tcPr>
          <w:p w14:paraId="712FDAD1"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27" w:type="dxa"/>
            <w:tcBorders>
              <w:top w:val="nil"/>
              <w:left w:val="nil"/>
              <w:bottom w:val="nil"/>
              <w:right w:val="single" w:sz="8" w:space="0" w:color="auto"/>
            </w:tcBorders>
            <w:vAlign w:val="center"/>
            <w:hideMark/>
          </w:tcPr>
          <w:p w14:paraId="53EA7B6F"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-0,00064</w:t>
            </w:r>
          </w:p>
        </w:tc>
      </w:tr>
      <w:tr w:rsidR="00AA0CA0" w:rsidRPr="00AA0CA0" w14:paraId="5D38F075" w14:textId="77777777" w:rsidTr="00AA0CA0">
        <w:trPr>
          <w:trHeight w:val="510"/>
        </w:trPr>
        <w:tc>
          <w:tcPr>
            <w:tcW w:w="1487" w:type="dxa"/>
            <w:vMerge/>
            <w:tcBorders>
              <w:top w:val="nil"/>
              <w:left w:val="single" w:sz="8" w:space="0" w:color="auto"/>
              <w:bottom w:val="nil"/>
              <w:right w:val="nil"/>
            </w:tcBorders>
            <w:vAlign w:val="center"/>
            <w:hideMark/>
          </w:tcPr>
          <w:p w14:paraId="1E3C8C57"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36" w:type="dxa"/>
            <w:vMerge/>
            <w:tcBorders>
              <w:top w:val="nil"/>
              <w:left w:val="nil"/>
              <w:bottom w:val="nil"/>
              <w:right w:val="nil"/>
            </w:tcBorders>
            <w:vAlign w:val="center"/>
            <w:hideMark/>
          </w:tcPr>
          <w:p w14:paraId="13E0AA9E"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17" w:type="dxa"/>
            <w:tcBorders>
              <w:top w:val="nil"/>
              <w:left w:val="nil"/>
              <w:bottom w:val="nil"/>
              <w:right w:val="nil"/>
            </w:tcBorders>
            <w:vAlign w:val="center"/>
            <w:hideMark/>
          </w:tcPr>
          <w:p w14:paraId="2CFE2E0A"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nil"/>
              <w:right w:val="single" w:sz="8" w:space="0" w:color="auto"/>
            </w:tcBorders>
            <w:vAlign w:val="center"/>
            <w:hideMark/>
          </w:tcPr>
          <w:p w14:paraId="2E3909C7" w14:textId="67F27A6E"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w:t>
            </w:r>
            <w:r>
              <w:rPr>
                <w:rFonts w:ascii="Times New Roman" w:eastAsia="Times New Roman" w:hAnsi="Times New Roman" w:cs="Times New Roman"/>
                <w:color w:val="000000"/>
                <w:lang w:val="hr-HR" w:eastAsia="hr-HR"/>
              </w:rPr>
              <w:t>,0000</w:t>
            </w:r>
          </w:p>
        </w:tc>
      </w:tr>
      <w:tr w:rsidR="00AA0CA0" w:rsidRPr="00AA0CA0" w14:paraId="77ABCF52" w14:textId="77777777" w:rsidTr="00AA0CA0">
        <w:trPr>
          <w:trHeight w:val="510"/>
        </w:trPr>
        <w:tc>
          <w:tcPr>
            <w:tcW w:w="1487" w:type="dxa"/>
            <w:vMerge w:val="restart"/>
            <w:tcBorders>
              <w:top w:val="nil"/>
              <w:left w:val="single" w:sz="8" w:space="0" w:color="auto"/>
              <w:bottom w:val="nil"/>
              <w:right w:val="nil"/>
            </w:tcBorders>
            <w:vAlign w:val="center"/>
            <w:hideMark/>
          </w:tcPr>
          <w:p w14:paraId="6C6D982F"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ROA</w:t>
            </w:r>
          </w:p>
        </w:tc>
        <w:tc>
          <w:tcPr>
            <w:tcW w:w="2836" w:type="dxa"/>
            <w:vMerge w:val="restart"/>
            <w:tcBorders>
              <w:top w:val="nil"/>
              <w:left w:val="nil"/>
              <w:bottom w:val="nil"/>
              <w:right w:val="nil"/>
            </w:tcBorders>
            <w:vAlign w:val="center"/>
            <w:hideMark/>
          </w:tcPr>
          <w:p w14:paraId="4374418E"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17" w:type="dxa"/>
            <w:tcBorders>
              <w:top w:val="nil"/>
              <w:left w:val="nil"/>
              <w:bottom w:val="nil"/>
              <w:right w:val="nil"/>
            </w:tcBorders>
            <w:vAlign w:val="center"/>
            <w:hideMark/>
          </w:tcPr>
          <w:p w14:paraId="5E03AF70"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27" w:type="dxa"/>
            <w:tcBorders>
              <w:top w:val="nil"/>
              <w:left w:val="nil"/>
              <w:bottom w:val="nil"/>
              <w:right w:val="single" w:sz="8" w:space="0" w:color="auto"/>
            </w:tcBorders>
            <w:vAlign w:val="center"/>
            <w:hideMark/>
          </w:tcPr>
          <w:p w14:paraId="4E6E4722"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5,26E-08</w:t>
            </w:r>
          </w:p>
        </w:tc>
      </w:tr>
      <w:tr w:rsidR="00AA0CA0" w:rsidRPr="00AA0CA0" w14:paraId="3F491678" w14:textId="77777777" w:rsidTr="00AA0CA0">
        <w:trPr>
          <w:trHeight w:val="510"/>
        </w:trPr>
        <w:tc>
          <w:tcPr>
            <w:tcW w:w="1487" w:type="dxa"/>
            <w:vMerge/>
            <w:tcBorders>
              <w:top w:val="nil"/>
              <w:left w:val="single" w:sz="8" w:space="0" w:color="auto"/>
              <w:bottom w:val="nil"/>
              <w:right w:val="nil"/>
            </w:tcBorders>
            <w:vAlign w:val="center"/>
            <w:hideMark/>
          </w:tcPr>
          <w:p w14:paraId="153D732E"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36" w:type="dxa"/>
            <w:vMerge/>
            <w:tcBorders>
              <w:top w:val="nil"/>
              <w:left w:val="nil"/>
              <w:bottom w:val="nil"/>
              <w:right w:val="nil"/>
            </w:tcBorders>
            <w:vAlign w:val="center"/>
            <w:hideMark/>
          </w:tcPr>
          <w:p w14:paraId="71785EE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17" w:type="dxa"/>
            <w:tcBorders>
              <w:top w:val="nil"/>
              <w:left w:val="nil"/>
              <w:bottom w:val="nil"/>
              <w:right w:val="nil"/>
            </w:tcBorders>
            <w:vAlign w:val="center"/>
            <w:hideMark/>
          </w:tcPr>
          <w:p w14:paraId="31DD06A1"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nil"/>
              <w:right w:val="single" w:sz="8" w:space="0" w:color="auto"/>
            </w:tcBorders>
            <w:vAlign w:val="center"/>
            <w:hideMark/>
          </w:tcPr>
          <w:p w14:paraId="07541227" w14:textId="4298EEE5"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w:t>
            </w:r>
            <w:r>
              <w:rPr>
                <w:rFonts w:ascii="Times New Roman" w:eastAsia="Times New Roman" w:hAnsi="Times New Roman" w:cs="Times New Roman"/>
                <w:color w:val="000000"/>
                <w:lang w:val="hr-HR" w:eastAsia="hr-HR"/>
              </w:rPr>
              <w:t>,0000</w:t>
            </w:r>
          </w:p>
        </w:tc>
      </w:tr>
      <w:tr w:rsidR="00AA0CA0" w:rsidRPr="00AA0CA0" w14:paraId="57750ABA" w14:textId="77777777" w:rsidTr="00AA0CA0">
        <w:trPr>
          <w:trHeight w:val="510"/>
        </w:trPr>
        <w:tc>
          <w:tcPr>
            <w:tcW w:w="1487" w:type="dxa"/>
            <w:vMerge w:val="restart"/>
            <w:tcBorders>
              <w:top w:val="nil"/>
              <w:left w:val="single" w:sz="8" w:space="0" w:color="auto"/>
              <w:bottom w:val="nil"/>
              <w:right w:val="nil"/>
            </w:tcBorders>
            <w:vAlign w:val="center"/>
            <w:hideMark/>
          </w:tcPr>
          <w:p w14:paraId="71EFCB30"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ROE</w:t>
            </w:r>
          </w:p>
        </w:tc>
        <w:tc>
          <w:tcPr>
            <w:tcW w:w="2836" w:type="dxa"/>
            <w:vMerge w:val="restart"/>
            <w:tcBorders>
              <w:top w:val="nil"/>
              <w:left w:val="nil"/>
              <w:bottom w:val="nil"/>
              <w:right w:val="nil"/>
            </w:tcBorders>
            <w:vAlign w:val="center"/>
            <w:hideMark/>
          </w:tcPr>
          <w:p w14:paraId="1752E93A"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17" w:type="dxa"/>
            <w:tcBorders>
              <w:top w:val="nil"/>
              <w:left w:val="nil"/>
              <w:bottom w:val="nil"/>
              <w:right w:val="nil"/>
            </w:tcBorders>
            <w:vAlign w:val="center"/>
            <w:hideMark/>
          </w:tcPr>
          <w:p w14:paraId="62CA020D"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27" w:type="dxa"/>
            <w:tcBorders>
              <w:top w:val="nil"/>
              <w:left w:val="nil"/>
              <w:bottom w:val="nil"/>
              <w:right w:val="single" w:sz="8" w:space="0" w:color="auto"/>
            </w:tcBorders>
            <w:vAlign w:val="center"/>
            <w:hideMark/>
          </w:tcPr>
          <w:p w14:paraId="7ABD9E76"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-2,34E-05</w:t>
            </w:r>
          </w:p>
        </w:tc>
      </w:tr>
      <w:tr w:rsidR="00AA0CA0" w:rsidRPr="00AA0CA0" w14:paraId="33F674F3" w14:textId="77777777" w:rsidTr="00AA0CA0">
        <w:trPr>
          <w:trHeight w:val="510"/>
        </w:trPr>
        <w:tc>
          <w:tcPr>
            <w:tcW w:w="1487" w:type="dxa"/>
            <w:vMerge/>
            <w:tcBorders>
              <w:top w:val="nil"/>
              <w:left w:val="single" w:sz="8" w:space="0" w:color="auto"/>
              <w:bottom w:val="nil"/>
              <w:right w:val="nil"/>
            </w:tcBorders>
            <w:vAlign w:val="center"/>
            <w:hideMark/>
          </w:tcPr>
          <w:p w14:paraId="4029772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36" w:type="dxa"/>
            <w:vMerge/>
            <w:tcBorders>
              <w:top w:val="nil"/>
              <w:left w:val="nil"/>
              <w:bottom w:val="nil"/>
              <w:right w:val="nil"/>
            </w:tcBorders>
            <w:vAlign w:val="center"/>
            <w:hideMark/>
          </w:tcPr>
          <w:p w14:paraId="11CC2CF8"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17" w:type="dxa"/>
            <w:tcBorders>
              <w:top w:val="nil"/>
              <w:left w:val="nil"/>
              <w:bottom w:val="nil"/>
              <w:right w:val="nil"/>
            </w:tcBorders>
            <w:vAlign w:val="center"/>
            <w:hideMark/>
          </w:tcPr>
          <w:p w14:paraId="60E5E2DC"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nil"/>
              <w:right w:val="single" w:sz="8" w:space="0" w:color="auto"/>
            </w:tcBorders>
            <w:vAlign w:val="center"/>
            <w:hideMark/>
          </w:tcPr>
          <w:p w14:paraId="6E3CF7AC" w14:textId="6E842E2D"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w:t>
            </w:r>
            <w:r>
              <w:rPr>
                <w:rFonts w:ascii="Times New Roman" w:eastAsia="Times New Roman" w:hAnsi="Times New Roman" w:cs="Times New Roman"/>
                <w:color w:val="000000"/>
                <w:lang w:val="hr-HR" w:eastAsia="hr-HR"/>
              </w:rPr>
              <w:t>,0000</w:t>
            </w:r>
          </w:p>
        </w:tc>
      </w:tr>
      <w:tr w:rsidR="00AA0CA0" w:rsidRPr="00AA0CA0" w14:paraId="4827AE37" w14:textId="77777777" w:rsidTr="00AA0CA0">
        <w:trPr>
          <w:trHeight w:val="510"/>
        </w:trPr>
        <w:tc>
          <w:tcPr>
            <w:tcW w:w="1487" w:type="dxa"/>
            <w:vMerge w:val="restart"/>
            <w:tcBorders>
              <w:top w:val="nil"/>
              <w:left w:val="single" w:sz="8" w:space="0" w:color="auto"/>
              <w:bottom w:val="nil"/>
              <w:right w:val="nil"/>
            </w:tcBorders>
            <w:vAlign w:val="center"/>
            <w:hideMark/>
          </w:tcPr>
          <w:p w14:paraId="10F164AC"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KI</w:t>
            </w:r>
          </w:p>
        </w:tc>
        <w:tc>
          <w:tcPr>
            <w:tcW w:w="2836" w:type="dxa"/>
            <w:vMerge w:val="restart"/>
            <w:tcBorders>
              <w:top w:val="nil"/>
              <w:left w:val="nil"/>
              <w:bottom w:val="nil"/>
              <w:right w:val="nil"/>
            </w:tcBorders>
            <w:vAlign w:val="center"/>
            <w:hideMark/>
          </w:tcPr>
          <w:p w14:paraId="17AFDE86"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Nezavisna varijabla</w:t>
            </w:r>
          </w:p>
        </w:tc>
        <w:tc>
          <w:tcPr>
            <w:tcW w:w="2117" w:type="dxa"/>
            <w:tcBorders>
              <w:top w:val="nil"/>
              <w:left w:val="nil"/>
              <w:bottom w:val="nil"/>
              <w:right w:val="nil"/>
            </w:tcBorders>
            <w:vAlign w:val="center"/>
            <w:hideMark/>
          </w:tcPr>
          <w:p w14:paraId="50F86B75"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27" w:type="dxa"/>
            <w:tcBorders>
              <w:top w:val="nil"/>
              <w:left w:val="nil"/>
              <w:bottom w:val="nil"/>
              <w:right w:val="single" w:sz="8" w:space="0" w:color="auto"/>
            </w:tcBorders>
            <w:vAlign w:val="center"/>
            <w:hideMark/>
          </w:tcPr>
          <w:p w14:paraId="653F4ADB"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2,34E-05</w:t>
            </w:r>
          </w:p>
        </w:tc>
      </w:tr>
      <w:tr w:rsidR="00AA0CA0" w:rsidRPr="00AA0CA0" w14:paraId="161B3D75" w14:textId="77777777" w:rsidTr="00AA0CA0">
        <w:trPr>
          <w:trHeight w:val="510"/>
        </w:trPr>
        <w:tc>
          <w:tcPr>
            <w:tcW w:w="1487" w:type="dxa"/>
            <w:vMerge/>
            <w:tcBorders>
              <w:top w:val="nil"/>
              <w:left w:val="single" w:sz="8" w:space="0" w:color="auto"/>
              <w:bottom w:val="nil"/>
              <w:right w:val="nil"/>
            </w:tcBorders>
            <w:vAlign w:val="center"/>
            <w:hideMark/>
          </w:tcPr>
          <w:p w14:paraId="35535B15"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36" w:type="dxa"/>
            <w:vMerge/>
            <w:tcBorders>
              <w:top w:val="nil"/>
              <w:left w:val="nil"/>
              <w:bottom w:val="nil"/>
              <w:right w:val="nil"/>
            </w:tcBorders>
            <w:vAlign w:val="center"/>
            <w:hideMark/>
          </w:tcPr>
          <w:p w14:paraId="59DA0C12"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17" w:type="dxa"/>
            <w:tcBorders>
              <w:top w:val="nil"/>
              <w:left w:val="nil"/>
              <w:bottom w:val="nil"/>
              <w:right w:val="nil"/>
            </w:tcBorders>
            <w:vAlign w:val="center"/>
            <w:hideMark/>
          </w:tcPr>
          <w:p w14:paraId="1D0DE768"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nil"/>
              <w:right w:val="single" w:sz="8" w:space="0" w:color="auto"/>
            </w:tcBorders>
            <w:vAlign w:val="center"/>
            <w:hideMark/>
          </w:tcPr>
          <w:p w14:paraId="39734498" w14:textId="2FA053BA"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w:t>
            </w:r>
            <w:r>
              <w:rPr>
                <w:rFonts w:ascii="Times New Roman" w:eastAsia="Times New Roman" w:hAnsi="Times New Roman" w:cs="Times New Roman"/>
                <w:color w:val="000000"/>
                <w:lang w:val="hr-HR" w:eastAsia="hr-HR"/>
              </w:rPr>
              <w:t>,0000</w:t>
            </w:r>
          </w:p>
        </w:tc>
      </w:tr>
      <w:tr w:rsidR="00AA0CA0" w:rsidRPr="00AA0CA0" w14:paraId="7081443B" w14:textId="77777777" w:rsidTr="00AA0CA0">
        <w:trPr>
          <w:trHeight w:val="510"/>
        </w:trPr>
        <w:tc>
          <w:tcPr>
            <w:tcW w:w="1487" w:type="dxa"/>
            <w:vMerge w:val="restart"/>
            <w:tcBorders>
              <w:top w:val="nil"/>
              <w:left w:val="single" w:sz="8" w:space="0" w:color="auto"/>
              <w:bottom w:val="nil"/>
              <w:right w:val="nil"/>
            </w:tcBorders>
            <w:vAlign w:val="center"/>
            <w:hideMark/>
          </w:tcPr>
          <w:p w14:paraId="2E117ADC"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PP</w:t>
            </w:r>
          </w:p>
        </w:tc>
        <w:tc>
          <w:tcPr>
            <w:tcW w:w="2836" w:type="dxa"/>
            <w:vMerge w:val="restart"/>
            <w:tcBorders>
              <w:top w:val="nil"/>
              <w:left w:val="nil"/>
              <w:bottom w:val="nil"/>
              <w:right w:val="nil"/>
            </w:tcBorders>
            <w:vAlign w:val="center"/>
            <w:hideMark/>
          </w:tcPr>
          <w:p w14:paraId="6FA31D17"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Nezavisna varijabla</w:t>
            </w:r>
          </w:p>
        </w:tc>
        <w:tc>
          <w:tcPr>
            <w:tcW w:w="2117" w:type="dxa"/>
            <w:tcBorders>
              <w:top w:val="nil"/>
              <w:left w:val="nil"/>
              <w:bottom w:val="nil"/>
              <w:right w:val="nil"/>
            </w:tcBorders>
            <w:vAlign w:val="center"/>
            <w:hideMark/>
          </w:tcPr>
          <w:p w14:paraId="5F9FED05"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Koeficijent (ß)</w:t>
            </w:r>
          </w:p>
        </w:tc>
        <w:tc>
          <w:tcPr>
            <w:tcW w:w="1627" w:type="dxa"/>
            <w:tcBorders>
              <w:top w:val="nil"/>
              <w:left w:val="nil"/>
              <w:bottom w:val="nil"/>
              <w:right w:val="single" w:sz="8" w:space="0" w:color="auto"/>
            </w:tcBorders>
            <w:vAlign w:val="center"/>
            <w:hideMark/>
          </w:tcPr>
          <w:p w14:paraId="1554C7CA"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-3,30E-08</w:t>
            </w:r>
          </w:p>
        </w:tc>
      </w:tr>
      <w:tr w:rsidR="00AA0CA0" w:rsidRPr="00AA0CA0" w14:paraId="5BB0F669" w14:textId="77777777" w:rsidTr="00AA0CA0">
        <w:trPr>
          <w:trHeight w:val="532"/>
        </w:trPr>
        <w:tc>
          <w:tcPr>
            <w:tcW w:w="1487" w:type="dxa"/>
            <w:vMerge/>
            <w:tcBorders>
              <w:top w:val="nil"/>
              <w:left w:val="single" w:sz="8" w:space="0" w:color="auto"/>
              <w:bottom w:val="nil"/>
              <w:right w:val="nil"/>
            </w:tcBorders>
            <w:vAlign w:val="center"/>
            <w:hideMark/>
          </w:tcPr>
          <w:p w14:paraId="2A237FF3"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836" w:type="dxa"/>
            <w:vMerge/>
            <w:tcBorders>
              <w:top w:val="nil"/>
              <w:left w:val="nil"/>
              <w:bottom w:val="nil"/>
              <w:right w:val="nil"/>
            </w:tcBorders>
            <w:vAlign w:val="center"/>
            <w:hideMark/>
          </w:tcPr>
          <w:p w14:paraId="2EF05223" w14:textId="77777777" w:rsidR="00AA0CA0" w:rsidRPr="00AA0CA0" w:rsidRDefault="00AA0CA0" w:rsidP="00AA0CA0">
            <w:pPr>
              <w:spacing w:line="240" w:lineRule="auto"/>
              <w:rPr>
                <w:rFonts w:ascii="Times New Roman" w:eastAsia="Times New Roman" w:hAnsi="Times New Roman" w:cs="Times New Roman"/>
                <w:color w:val="000000"/>
                <w:lang w:val="hr-HR" w:eastAsia="hr-HR"/>
              </w:rPr>
            </w:pPr>
          </w:p>
        </w:tc>
        <w:tc>
          <w:tcPr>
            <w:tcW w:w="2117" w:type="dxa"/>
            <w:tcBorders>
              <w:top w:val="nil"/>
              <w:left w:val="nil"/>
              <w:bottom w:val="nil"/>
              <w:right w:val="nil"/>
            </w:tcBorders>
            <w:vAlign w:val="center"/>
            <w:hideMark/>
          </w:tcPr>
          <w:p w14:paraId="548BDFC8"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single" w:sz="8" w:space="0" w:color="auto"/>
              <w:right w:val="single" w:sz="8" w:space="0" w:color="auto"/>
            </w:tcBorders>
            <w:vAlign w:val="center"/>
            <w:hideMark/>
          </w:tcPr>
          <w:p w14:paraId="1514D80C" w14:textId="7A67186C"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w:t>
            </w:r>
            <w:r>
              <w:rPr>
                <w:rFonts w:ascii="Times New Roman" w:eastAsia="Times New Roman" w:hAnsi="Times New Roman" w:cs="Times New Roman"/>
                <w:color w:val="000000"/>
                <w:lang w:val="hr-HR" w:eastAsia="hr-HR"/>
              </w:rPr>
              <w:t>,0000</w:t>
            </w:r>
          </w:p>
        </w:tc>
      </w:tr>
      <w:tr w:rsidR="00AA0CA0" w:rsidRPr="00AA0CA0" w14:paraId="70F94EED" w14:textId="77777777" w:rsidTr="00AA0CA0">
        <w:trPr>
          <w:trHeight w:val="510"/>
        </w:trPr>
        <w:tc>
          <w:tcPr>
            <w:tcW w:w="6441" w:type="dxa"/>
            <w:gridSpan w:val="3"/>
            <w:tcBorders>
              <w:top w:val="single" w:sz="8" w:space="0" w:color="auto"/>
              <w:left w:val="single" w:sz="8" w:space="0" w:color="auto"/>
              <w:bottom w:val="nil"/>
              <w:right w:val="nil"/>
            </w:tcBorders>
            <w:vAlign w:val="center"/>
            <w:hideMark/>
          </w:tcPr>
          <w:p w14:paraId="2EEA00DF"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Broj opažanja</w:t>
            </w:r>
          </w:p>
        </w:tc>
        <w:tc>
          <w:tcPr>
            <w:tcW w:w="1627" w:type="dxa"/>
            <w:tcBorders>
              <w:top w:val="nil"/>
              <w:left w:val="nil"/>
              <w:bottom w:val="nil"/>
              <w:right w:val="single" w:sz="8" w:space="0" w:color="auto"/>
            </w:tcBorders>
            <w:vAlign w:val="center"/>
            <w:hideMark/>
          </w:tcPr>
          <w:p w14:paraId="623045F9"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1596</w:t>
            </w:r>
          </w:p>
        </w:tc>
      </w:tr>
      <w:tr w:rsidR="00AA0CA0" w:rsidRPr="00AA0CA0" w14:paraId="111CD936" w14:textId="77777777" w:rsidTr="00AA0CA0">
        <w:trPr>
          <w:trHeight w:val="510"/>
        </w:trPr>
        <w:tc>
          <w:tcPr>
            <w:tcW w:w="6441" w:type="dxa"/>
            <w:gridSpan w:val="3"/>
            <w:tcBorders>
              <w:top w:val="nil"/>
              <w:left w:val="single" w:sz="8" w:space="0" w:color="auto"/>
              <w:bottom w:val="nil"/>
              <w:right w:val="nil"/>
            </w:tcBorders>
            <w:vAlign w:val="center"/>
            <w:hideMark/>
          </w:tcPr>
          <w:p w14:paraId="2755C266"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Broj poduzeća</w:t>
            </w:r>
          </w:p>
        </w:tc>
        <w:tc>
          <w:tcPr>
            <w:tcW w:w="1627" w:type="dxa"/>
            <w:tcBorders>
              <w:top w:val="nil"/>
              <w:left w:val="nil"/>
              <w:bottom w:val="nil"/>
              <w:right w:val="single" w:sz="8" w:space="0" w:color="auto"/>
            </w:tcBorders>
            <w:vAlign w:val="center"/>
            <w:hideMark/>
          </w:tcPr>
          <w:p w14:paraId="200F96E7"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114</w:t>
            </w:r>
          </w:p>
        </w:tc>
      </w:tr>
      <w:tr w:rsidR="00AA0CA0" w:rsidRPr="00AA0CA0" w14:paraId="2BB9787F" w14:textId="77777777" w:rsidTr="00AA0CA0">
        <w:trPr>
          <w:trHeight w:val="510"/>
        </w:trPr>
        <w:tc>
          <w:tcPr>
            <w:tcW w:w="4324" w:type="dxa"/>
            <w:gridSpan w:val="2"/>
            <w:tcBorders>
              <w:top w:val="nil"/>
              <w:left w:val="single" w:sz="8" w:space="0" w:color="auto"/>
              <w:bottom w:val="nil"/>
              <w:right w:val="nil"/>
            </w:tcBorders>
            <w:vAlign w:val="center"/>
            <w:hideMark/>
          </w:tcPr>
          <w:p w14:paraId="1AC5B66D"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J-</w:t>
            </w:r>
            <w:proofErr w:type="spellStart"/>
            <w:r w:rsidRPr="00AA0CA0">
              <w:rPr>
                <w:rFonts w:ascii="Times New Roman" w:eastAsia="Times New Roman" w:hAnsi="Times New Roman" w:cs="Times New Roman"/>
                <w:color w:val="000000"/>
                <w:szCs w:val="24"/>
                <w:lang w:val="hr-HR" w:eastAsia="hr-HR"/>
              </w:rPr>
              <w:t>statistic</w:t>
            </w:r>
            <w:proofErr w:type="spellEnd"/>
          </w:p>
        </w:tc>
        <w:tc>
          <w:tcPr>
            <w:tcW w:w="2117" w:type="dxa"/>
            <w:tcBorders>
              <w:top w:val="nil"/>
              <w:left w:val="nil"/>
              <w:bottom w:val="nil"/>
              <w:right w:val="nil"/>
            </w:tcBorders>
            <w:vAlign w:val="center"/>
            <w:hideMark/>
          </w:tcPr>
          <w:p w14:paraId="2DF423DA"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nil"/>
              <w:right w:val="single" w:sz="8" w:space="0" w:color="auto"/>
            </w:tcBorders>
            <w:vAlign w:val="center"/>
            <w:hideMark/>
          </w:tcPr>
          <w:p w14:paraId="0A103B24"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0,42245</w:t>
            </w:r>
          </w:p>
        </w:tc>
      </w:tr>
      <w:tr w:rsidR="00AA0CA0" w:rsidRPr="00AA0CA0" w14:paraId="4CCD0289" w14:textId="77777777" w:rsidTr="00AA0CA0">
        <w:trPr>
          <w:trHeight w:val="510"/>
        </w:trPr>
        <w:tc>
          <w:tcPr>
            <w:tcW w:w="4324" w:type="dxa"/>
            <w:gridSpan w:val="2"/>
            <w:tcBorders>
              <w:top w:val="nil"/>
              <w:left w:val="single" w:sz="8" w:space="0" w:color="auto"/>
              <w:bottom w:val="nil"/>
              <w:right w:val="nil"/>
            </w:tcBorders>
            <w:vAlign w:val="center"/>
            <w:hideMark/>
          </w:tcPr>
          <w:p w14:paraId="05505E42"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proofErr w:type="spellStart"/>
            <w:r w:rsidRPr="00AA0CA0">
              <w:rPr>
                <w:rFonts w:ascii="Times New Roman" w:eastAsia="Times New Roman" w:hAnsi="Times New Roman" w:cs="Times New Roman"/>
                <w:color w:val="000000"/>
                <w:szCs w:val="24"/>
                <w:lang w:val="hr-HR" w:eastAsia="hr-HR"/>
              </w:rPr>
              <w:t>Arellano</w:t>
            </w:r>
            <w:proofErr w:type="spellEnd"/>
            <w:r w:rsidRPr="00AA0CA0">
              <w:rPr>
                <w:rFonts w:ascii="Times New Roman" w:eastAsia="Times New Roman" w:hAnsi="Times New Roman" w:cs="Times New Roman"/>
                <w:color w:val="000000"/>
                <w:szCs w:val="24"/>
                <w:lang w:val="hr-HR" w:eastAsia="hr-HR"/>
              </w:rPr>
              <w:t>-Bond test AR (1)</w:t>
            </w:r>
          </w:p>
        </w:tc>
        <w:tc>
          <w:tcPr>
            <w:tcW w:w="2117" w:type="dxa"/>
            <w:tcBorders>
              <w:top w:val="nil"/>
              <w:left w:val="nil"/>
              <w:bottom w:val="nil"/>
              <w:right w:val="nil"/>
            </w:tcBorders>
            <w:vAlign w:val="center"/>
            <w:hideMark/>
          </w:tcPr>
          <w:p w14:paraId="773CAD57"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nil"/>
              <w:right w:val="single" w:sz="8" w:space="0" w:color="auto"/>
            </w:tcBorders>
            <w:vAlign w:val="center"/>
            <w:hideMark/>
          </w:tcPr>
          <w:p w14:paraId="6DD2D89D"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0,1266</w:t>
            </w:r>
          </w:p>
        </w:tc>
      </w:tr>
      <w:tr w:rsidR="00AA0CA0" w:rsidRPr="00AA0CA0" w14:paraId="33794EAE" w14:textId="77777777" w:rsidTr="00AA0CA0">
        <w:trPr>
          <w:trHeight w:val="532"/>
        </w:trPr>
        <w:tc>
          <w:tcPr>
            <w:tcW w:w="4324" w:type="dxa"/>
            <w:gridSpan w:val="2"/>
            <w:tcBorders>
              <w:top w:val="nil"/>
              <w:left w:val="single" w:sz="8" w:space="0" w:color="auto"/>
              <w:bottom w:val="single" w:sz="8" w:space="0" w:color="auto"/>
              <w:right w:val="nil"/>
            </w:tcBorders>
            <w:vAlign w:val="center"/>
            <w:hideMark/>
          </w:tcPr>
          <w:p w14:paraId="6FE71337"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proofErr w:type="spellStart"/>
            <w:r w:rsidRPr="00AA0CA0">
              <w:rPr>
                <w:rFonts w:ascii="Times New Roman" w:eastAsia="Times New Roman" w:hAnsi="Times New Roman" w:cs="Times New Roman"/>
                <w:color w:val="000000"/>
                <w:szCs w:val="24"/>
                <w:lang w:val="hr-HR" w:eastAsia="hr-HR"/>
              </w:rPr>
              <w:t>Arellano</w:t>
            </w:r>
            <w:proofErr w:type="spellEnd"/>
            <w:r w:rsidRPr="00AA0CA0">
              <w:rPr>
                <w:rFonts w:ascii="Times New Roman" w:eastAsia="Times New Roman" w:hAnsi="Times New Roman" w:cs="Times New Roman"/>
                <w:color w:val="000000"/>
                <w:szCs w:val="24"/>
                <w:lang w:val="hr-HR" w:eastAsia="hr-HR"/>
              </w:rPr>
              <w:t xml:space="preserve">-Bond test AR (2) </w:t>
            </w:r>
          </w:p>
        </w:tc>
        <w:tc>
          <w:tcPr>
            <w:tcW w:w="2117" w:type="dxa"/>
            <w:tcBorders>
              <w:top w:val="nil"/>
              <w:left w:val="nil"/>
              <w:bottom w:val="single" w:sz="8" w:space="0" w:color="auto"/>
              <w:right w:val="nil"/>
            </w:tcBorders>
            <w:vAlign w:val="center"/>
            <w:hideMark/>
          </w:tcPr>
          <w:p w14:paraId="0ED90FD5" w14:textId="77777777" w:rsidR="00AA0CA0" w:rsidRPr="00AA0CA0" w:rsidRDefault="00AA0CA0" w:rsidP="00AA0CA0">
            <w:pPr>
              <w:spacing w:line="240" w:lineRule="auto"/>
              <w:jc w:val="both"/>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szCs w:val="24"/>
                <w:lang w:val="hr-HR" w:eastAsia="hr-HR"/>
              </w:rPr>
              <w:t>p-vrijednost</w:t>
            </w:r>
          </w:p>
        </w:tc>
        <w:tc>
          <w:tcPr>
            <w:tcW w:w="1627" w:type="dxa"/>
            <w:tcBorders>
              <w:top w:val="nil"/>
              <w:left w:val="nil"/>
              <w:bottom w:val="single" w:sz="8" w:space="0" w:color="auto"/>
              <w:right w:val="single" w:sz="8" w:space="0" w:color="auto"/>
            </w:tcBorders>
            <w:vAlign w:val="center"/>
            <w:hideMark/>
          </w:tcPr>
          <w:p w14:paraId="384112C1" w14:textId="77777777" w:rsidR="00AA0CA0" w:rsidRPr="00AA0CA0" w:rsidRDefault="00AA0CA0" w:rsidP="00AA0CA0">
            <w:pPr>
              <w:spacing w:line="240" w:lineRule="auto"/>
              <w:jc w:val="right"/>
              <w:rPr>
                <w:rFonts w:ascii="Times New Roman" w:eastAsia="Times New Roman" w:hAnsi="Times New Roman" w:cs="Times New Roman"/>
                <w:color w:val="000000"/>
                <w:lang w:val="hr-HR" w:eastAsia="hr-HR"/>
              </w:rPr>
            </w:pPr>
            <w:r w:rsidRPr="00AA0CA0">
              <w:rPr>
                <w:rFonts w:ascii="Times New Roman" w:eastAsia="Times New Roman" w:hAnsi="Times New Roman" w:cs="Times New Roman"/>
                <w:color w:val="000000"/>
                <w:lang w:val="hr-HR" w:eastAsia="hr-HR"/>
              </w:rPr>
              <w:t>0,1426</w:t>
            </w:r>
          </w:p>
        </w:tc>
      </w:tr>
    </w:tbl>
    <w:p w14:paraId="557588E2" w14:textId="77777777" w:rsidR="00AA0CA0" w:rsidRDefault="00AA0CA0">
      <w:pPr>
        <w:spacing w:line="360" w:lineRule="auto"/>
        <w:jc w:val="both"/>
      </w:pPr>
    </w:p>
    <w:p w14:paraId="259CFFA6" w14:textId="0F3504A1" w:rsidR="00B92FBB" w:rsidRDefault="008A09CC" w:rsidP="007E5ECC">
      <w:pPr>
        <w:pStyle w:val="Naslov3"/>
        <w:numPr>
          <w:ilvl w:val="1"/>
          <w:numId w:val="7"/>
        </w:numPr>
      </w:pPr>
      <w:bookmarkStart w:id="60" w:name="_1pazjayjxwqm" w:colFirst="0" w:colLast="0"/>
      <w:bookmarkStart w:id="61" w:name="_Toc207275895"/>
      <w:bookmarkEnd w:id="60"/>
      <w:r>
        <w:t>Područje I - Djelatnosti pružanja smještaja te pripreme i usluživanja hrane</w:t>
      </w:r>
      <w:bookmarkEnd w:id="61"/>
    </w:p>
    <w:p w14:paraId="5F34FF5A" w14:textId="77777777" w:rsidR="007E5ECC" w:rsidRPr="007E5ECC" w:rsidRDefault="007E5ECC" w:rsidP="007E5ECC"/>
    <w:p w14:paraId="13085A00" w14:textId="2B7BDAEA" w:rsidR="00B92FBB" w:rsidRDefault="008A09CC" w:rsidP="008D173A">
      <w:pPr>
        <w:pStyle w:val="Naslov4"/>
        <w:numPr>
          <w:ilvl w:val="2"/>
          <w:numId w:val="7"/>
        </w:numPr>
      </w:pPr>
      <w:bookmarkStart w:id="62" w:name="_sl72f48tcjo4" w:colFirst="0" w:colLast="0"/>
      <w:bookmarkEnd w:id="62"/>
      <w:r>
        <w:t>Deskriptivna statistika</w:t>
      </w:r>
    </w:p>
    <w:p w14:paraId="7358A9ED" w14:textId="77777777" w:rsidR="008D173A" w:rsidRPr="008D173A" w:rsidRDefault="008D173A" w:rsidP="008D173A"/>
    <w:p w14:paraId="42716B8C" w14:textId="4D898C35" w:rsidR="00B92FBB" w:rsidRDefault="008A09CC">
      <w:pPr>
        <w:spacing w:line="360" w:lineRule="auto"/>
        <w:jc w:val="both"/>
      </w:pPr>
      <w:r>
        <w:t xml:space="preserve">Uzorak za sektor I - Djelatnosti pružanja smještaja te pripreme i usluživanja hrane obuhvaća 161 poduzeće </w:t>
      </w:r>
      <w:r w:rsidR="00ED79F3">
        <w:t>za</w:t>
      </w:r>
      <w:r>
        <w:t xml:space="preserve"> razdoblje od 2008. do 2023. godine. Takav uzorak uključuje poduzeća različitih veličina, od malih lokalnih restorana i obiteljskih hotela do većih hotelskih lanaca i ugostiteljskih grupacija. Takva struktura uzorka osigurava reprezentativnost i jasno odražava heterogenost ovog sektora.</w:t>
      </w:r>
    </w:p>
    <w:p w14:paraId="1437A085" w14:textId="77777777" w:rsidR="00B92FBB" w:rsidRDefault="00B92FBB">
      <w:pPr>
        <w:spacing w:line="360" w:lineRule="auto"/>
        <w:jc w:val="both"/>
      </w:pPr>
    </w:p>
    <w:p w14:paraId="3515CCCF" w14:textId="2283E1E0" w:rsidR="00B92FBB" w:rsidRDefault="008A09CC">
      <w:pPr>
        <w:spacing w:line="360" w:lineRule="auto"/>
        <w:jc w:val="both"/>
      </w:pPr>
      <w:r>
        <w:t>Kao što se može vidjeti u Tablici</w:t>
      </w:r>
      <w:r w:rsidR="001648A1">
        <w:t xml:space="preserve"> 7.</w:t>
      </w:r>
      <w:r>
        <w:t>, likvidnost (KTL) bilježi prosječnu vrijednost od 5,64, dok je medijan znatno niži (1,41) što pokazuje da je većina poduzeća umjereno likvidna, a ekstremne vrijednosti značajno podižu prosjek. Najviše vrijednosti uočene su kod poduzeća koja su u pojedinim godinama raspolagala velikim iznosima gotovine uz niske kratkoročne obveze, primjerice manji hoteli ili restorani.</w:t>
      </w:r>
    </w:p>
    <w:p w14:paraId="205EE769" w14:textId="77777777" w:rsidR="00B92FBB" w:rsidRDefault="00B92FBB">
      <w:pPr>
        <w:spacing w:line="360" w:lineRule="auto"/>
        <w:jc w:val="both"/>
      </w:pPr>
    </w:p>
    <w:p w14:paraId="73E0622F" w14:textId="77777777" w:rsidR="00B92FBB" w:rsidRDefault="008A09CC">
      <w:pPr>
        <w:spacing w:line="360" w:lineRule="auto"/>
        <w:jc w:val="both"/>
      </w:pPr>
      <w:r>
        <w:t>Financijska poluga (DER) pokazuje izrazito niske središnje vrijednosti (medijan 0,00), no prosjek (0,42) i ekstremi, s maksimalnim vrijednostima preko 1.300, upućuju na to da dio poduzeća u određenim godinama posluje uz vrlo visoku razinu zaduženosti. To je najčešće povezano s većim investicijskim projektima poput obnove hotela, proširenja kapaciteta ili ulaganja u nove objekte. Negativni DER u pojedinim opažanjima rezultat je negativnog kapitala. To je čest slučaj u manjim ugostiteljskim objektima koji su kumulirali gubitke.</w:t>
      </w:r>
    </w:p>
    <w:p w14:paraId="0223AA60" w14:textId="77777777" w:rsidR="00B92FBB" w:rsidRDefault="00B92FBB">
      <w:pPr>
        <w:spacing w:line="360" w:lineRule="auto"/>
        <w:jc w:val="both"/>
      </w:pPr>
    </w:p>
    <w:p w14:paraId="2D4BDDBF" w14:textId="77777777" w:rsidR="00B92FBB" w:rsidRDefault="008A09CC">
      <w:pPr>
        <w:spacing w:line="360" w:lineRule="auto"/>
        <w:jc w:val="both"/>
      </w:pPr>
      <w:r>
        <w:t>Profitabilnost mjerena ROA-om pokazuje nisku prosječnu vrijednost (0,69) uz medijan od samo 0,012. Iz toga se vidi da je povrat na imovinu kod većine poduzeća skroman. Ipak, ekstremne pozitivne vrijednosti uočene su kod manjih poduzeća s malom imovinskom bazom koja su u određenim godinama ostvarila iznadprosječne rezultate. Negativne vrijednosti ROA-a rezultat su slabijih poslovnih godina, često povezanih s krizama poput pandemije COVID-19 ili poremećajima u turističkoj potražnji.</w:t>
      </w:r>
    </w:p>
    <w:p w14:paraId="5286BD0F" w14:textId="77777777" w:rsidR="00B92FBB" w:rsidRDefault="00B92FBB">
      <w:pPr>
        <w:spacing w:line="360" w:lineRule="auto"/>
        <w:jc w:val="both"/>
      </w:pPr>
    </w:p>
    <w:p w14:paraId="160FBCAC" w14:textId="77777777" w:rsidR="00B92FBB" w:rsidRDefault="008A09CC">
      <w:pPr>
        <w:spacing w:line="360" w:lineRule="auto"/>
        <w:jc w:val="both"/>
      </w:pPr>
      <w:r>
        <w:t xml:space="preserve">Povrat na kapital (ROE) ima prosječnu vrijednost od -4,03, uz širok raspon između minimuma (-11.564,08) i maksimuma (1.746,26). Visoko pozitivne vrijednosti javljaju se kod poduzeća koja su zadržala visoku profitabilnost uz relativno mali kapital što značajno multiplicira </w:t>
      </w:r>
      <w:r>
        <w:lastRenderedPageBreak/>
        <w:t>pokazatelj. S druge strane, ekstremno negativne vrijednosti tipične su za poduzeća s niskom razinom kapitala koja istovremeno bilježe gubitke. Takva situacija naročito je izražena u kriznim razdobljima kada prihodi padaju, a fiksni troškovi ostaju visoki.</w:t>
      </w:r>
    </w:p>
    <w:p w14:paraId="74C5CC40" w14:textId="77777777" w:rsidR="00B92FBB" w:rsidRDefault="00B92FBB">
      <w:pPr>
        <w:spacing w:line="360" w:lineRule="auto"/>
        <w:jc w:val="both"/>
      </w:pPr>
    </w:p>
    <w:p w14:paraId="6339B52D" w14:textId="77777777" w:rsidR="00B92FBB" w:rsidRDefault="008A09CC">
      <w:pPr>
        <w:spacing w:line="360" w:lineRule="auto"/>
        <w:jc w:val="both"/>
      </w:pPr>
      <w:r>
        <w:t>Kapitalna intenzivnost (KI) pokazuje visoku prosječnu vrijednost (167,12) i izražene ekstreme, s maksimumima iznad 308.000. To je karakteristično za hotele i veće ugostiteljske komplekse koji raspolažu značajnom dugotrajnom imovinom u odnosu na obrtna sredstva. Kod manjih objekata KI ostaje nizak što dovodi do izražene neujednačenosti sektora.</w:t>
      </w:r>
    </w:p>
    <w:p w14:paraId="37E857FD" w14:textId="77777777" w:rsidR="00B92FBB" w:rsidRDefault="00B92FBB">
      <w:pPr>
        <w:spacing w:line="360" w:lineRule="auto"/>
        <w:jc w:val="both"/>
      </w:pPr>
    </w:p>
    <w:p w14:paraId="67845A2D" w14:textId="6D888613" w:rsidR="00B92FBB" w:rsidRDefault="008A09CC">
      <w:pPr>
        <w:spacing w:line="360" w:lineRule="auto"/>
        <w:jc w:val="both"/>
      </w:pPr>
      <w:r>
        <w:t xml:space="preserve">Postotna promjena prihoda (PP) pokazuje medijan od 10.278,91, ali i izražene ekstreme kod pojedinih poduzeća. Ove oscilacije odražavaju specifične cikluse u sektoru turizma i ugostiteljstva. U razdoblju nakon globalne financijske krize iz 2008., njezin odjek na hrvatskom tržištu od 2011. do 2014. godini doveo je do pada potražnje, smanjenih dolazaka turista i smanjenih prihoda u brojnim poduzećima. Pad je posebno izražen i </w:t>
      </w:r>
      <w:r w:rsidR="00ED79F3">
        <w:t>tijekom</w:t>
      </w:r>
      <w:r>
        <w:t xml:space="preserve"> pandemije COVID-19 (2020./2021.) kada su hotelski smještaj i restorani potpuno obustavili rad. Suprotno tome, razdoblja oporavka i širenja poslovanja rezultirala su snažnim rastom prihoda. Takvi događaji objašnjavaju izrazitu volatilnost PP pokazatelja pri čemu su negativne vrijednosti povezane s kriznim godinama, a nagli rast s fazama oporavka i intenzivnog investiranja u sektor.</w:t>
      </w:r>
    </w:p>
    <w:p w14:paraId="5B84654F" w14:textId="77777777" w:rsidR="00B92FBB" w:rsidRDefault="00B92FBB">
      <w:pPr>
        <w:spacing w:line="360" w:lineRule="auto"/>
        <w:jc w:val="both"/>
      </w:pPr>
    </w:p>
    <w:p w14:paraId="012F764C" w14:textId="2BFDBE4E" w:rsidR="00B92FBB" w:rsidRDefault="008A09CC">
      <w:pPr>
        <w:spacing w:line="360" w:lineRule="auto"/>
        <w:jc w:val="both"/>
      </w:pPr>
      <w:r>
        <w:t>Sveukupno, deskriptivna analiza sektora I potvrđuje izrazitu heterogenost poduzeća. Takva struktura sektora objašnjava izražene ekstreme u gotovo svim promatranim varijablama što je vidljivo na Slici</w:t>
      </w:r>
      <w:r w:rsidR="008A2981">
        <w:t xml:space="preserve"> 4.</w:t>
      </w:r>
      <w:r>
        <w:t>, ali i naglašava važnost prilagodljivosti poslovnih modela na promjene tržišnih uvjeta i sezonske oscilacije.</w:t>
      </w:r>
    </w:p>
    <w:p w14:paraId="14D9F8FC" w14:textId="77777777" w:rsidR="00B92FBB" w:rsidRDefault="00B92FBB"/>
    <w:p w14:paraId="74200BD7" w14:textId="647FEA8D" w:rsidR="001648A1" w:rsidRPr="001648A1" w:rsidRDefault="001648A1" w:rsidP="001648A1">
      <w:pPr>
        <w:pStyle w:val="Opisslike"/>
        <w:keepNext/>
        <w:spacing w:line="360" w:lineRule="auto"/>
        <w:jc w:val="both"/>
        <w:rPr>
          <w:i w:val="0"/>
          <w:iCs w:val="0"/>
          <w:color w:val="000000" w:themeColor="text1"/>
          <w:sz w:val="22"/>
          <w:szCs w:val="22"/>
        </w:rPr>
      </w:pPr>
      <w:bookmarkStart w:id="63" w:name="_Toc207265201"/>
      <w:r w:rsidRPr="001648A1">
        <w:rPr>
          <w:i w:val="0"/>
          <w:iCs w:val="0"/>
          <w:color w:val="000000" w:themeColor="text1"/>
          <w:sz w:val="22"/>
          <w:szCs w:val="22"/>
        </w:rPr>
        <w:lastRenderedPageBreak/>
        <w:t xml:space="preserve">Tablica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Tablica \* ARABIC </w:instrText>
      </w:r>
      <w:r w:rsidRPr="001648A1">
        <w:rPr>
          <w:i w:val="0"/>
          <w:iCs w:val="0"/>
          <w:color w:val="000000" w:themeColor="text1"/>
          <w:sz w:val="22"/>
          <w:szCs w:val="22"/>
        </w:rPr>
        <w:fldChar w:fldCharType="separate"/>
      </w:r>
      <w:r w:rsidR="00D11EF7">
        <w:rPr>
          <w:i w:val="0"/>
          <w:iCs w:val="0"/>
          <w:noProof/>
          <w:color w:val="000000" w:themeColor="text1"/>
          <w:sz w:val="22"/>
          <w:szCs w:val="22"/>
        </w:rPr>
        <w:t>7</w:t>
      </w:r>
      <w:r w:rsidRPr="001648A1">
        <w:rPr>
          <w:i w:val="0"/>
          <w:iCs w:val="0"/>
          <w:color w:val="000000" w:themeColor="text1"/>
          <w:sz w:val="22"/>
          <w:szCs w:val="22"/>
        </w:rPr>
        <w:fldChar w:fldCharType="end"/>
      </w:r>
      <w:r w:rsidRPr="001648A1">
        <w:rPr>
          <w:i w:val="0"/>
          <w:iCs w:val="0"/>
          <w:color w:val="000000" w:themeColor="text1"/>
          <w:sz w:val="22"/>
          <w:szCs w:val="22"/>
        </w:rPr>
        <w:t xml:space="preserve">. Deskriptivna statistika za sektor I - Djelatnosti pružanja smještaja te pripreme i usluživanja hrane (podaci dostavljeni od strane FINA-e, izračun i obrada autorice u programu </w:t>
      </w:r>
      <w:proofErr w:type="spellStart"/>
      <w:r w:rsidRPr="001648A1">
        <w:rPr>
          <w:i w:val="0"/>
          <w:iCs w:val="0"/>
          <w:color w:val="000000" w:themeColor="text1"/>
          <w:sz w:val="22"/>
          <w:szCs w:val="22"/>
        </w:rPr>
        <w:t>EViews</w:t>
      </w:r>
      <w:proofErr w:type="spellEnd"/>
      <w:r w:rsidRPr="001648A1">
        <w:rPr>
          <w:i w:val="0"/>
          <w:iCs w:val="0"/>
          <w:color w:val="000000" w:themeColor="text1"/>
          <w:sz w:val="22"/>
          <w:szCs w:val="22"/>
        </w:rPr>
        <w:t xml:space="preserve"> 12)</w:t>
      </w:r>
      <w:bookmarkEnd w:id="63"/>
    </w:p>
    <w:p w14:paraId="4E9EC6F6" w14:textId="77777777" w:rsidR="00B92FBB" w:rsidRDefault="008A09CC">
      <w:r>
        <w:rPr>
          <w:noProof/>
        </w:rPr>
        <w:drawing>
          <wp:inline distT="114300" distB="114300" distL="114300" distR="114300" wp14:anchorId="4F3F0F64" wp14:editId="413E5FB9">
            <wp:extent cx="5731200" cy="2286000"/>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731200" cy="2286000"/>
                    </a:xfrm>
                    <a:prstGeom prst="rect">
                      <a:avLst/>
                    </a:prstGeom>
                    <a:ln/>
                  </pic:spPr>
                </pic:pic>
              </a:graphicData>
            </a:graphic>
          </wp:inline>
        </w:drawing>
      </w:r>
    </w:p>
    <w:p w14:paraId="22634D49" w14:textId="77777777" w:rsidR="001648A1" w:rsidRDefault="008A09CC" w:rsidP="001648A1">
      <w:pPr>
        <w:keepNext/>
      </w:pPr>
      <w:r>
        <w:rPr>
          <w:noProof/>
        </w:rPr>
        <w:lastRenderedPageBreak/>
        <w:drawing>
          <wp:inline distT="114300" distB="114300" distL="114300" distR="114300" wp14:anchorId="10EB015E" wp14:editId="22A03FBA">
            <wp:extent cx="5731200" cy="96901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731200" cy="9690100"/>
                    </a:xfrm>
                    <a:prstGeom prst="rect">
                      <a:avLst/>
                    </a:prstGeom>
                    <a:ln/>
                  </pic:spPr>
                </pic:pic>
              </a:graphicData>
            </a:graphic>
          </wp:inline>
        </w:drawing>
      </w:r>
    </w:p>
    <w:p w14:paraId="79C8F27C" w14:textId="5F2B17B2" w:rsidR="008D173A" w:rsidRPr="001648A1" w:rsidRDefault="001648A1" w:rsidP="001648A1">
      <w:pPr>
        <w:pStyle w:val="Opisslike"/>
        <w:spacing w:line="360" w:lineRule="auto"/>
        <w:jc w:val="both"/>
        <w:rPr>
          <w:i w:val="0"/>
          <w:iCs w:val="0"/>
          <w:color w:val="000000" w:themeColor="text1"/>
          <w:sz w:val="22"/>
          <w:szCs w:val="22"/>
        </w:rPr>
      </w:pPr>
      <w:bookmarkStart w:id="64" w:name="_Toc207263314"/>
      <w:r w:rsidRPr="001648A1">
        <w:rPr>
          <w:i w:val="0"/>
          <w:iCs w:val="0"/>
          <w:color w:val="000000" w:themeColor="text1"/>
          <w:sz w:val="22"/>
          <w:szCs w:val="22"/>
        </w:rPr>
        <w:lastRenderedPageBreak/>
        <w:t xml:space="preserve">Slika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Slika \* ARABIC </w:instrText>
      </w:r>
      <w:r w:rsidRPr="001648A1">
        <w:rPr>
          <w:i w:val="0"/>
          <w:iCs w:val="0"/>
          <w:color w:val="000000" w:themeColor="text1"/>
          <w:sz w:val="22"/>
          <w:szCs w:val="22"/>
        </w:rPr>
        <w:fldChar w:fldCharType="separate"/>
      </w:r>
      <w:r>
        <w:rPr>
          <w:i w:val="0"/>
          <w:iCs w:val="0"/>
          <w:noProof/>
          <w:color w:val="000000" w:themeColor="text1"/>
          <w:sz w:val="22"/>
          <w:szCs w:val="22"/>
        </w:rPr>
        <w:t>4</w:t>
      </w:r>
      <w:r w:rsidRPr="001648A1">
        <w:rPr>
          <w:i w:val="0"/>
          <w:iCs w:val="0"/>
          <w:color w:val="000000" w:themeColor="text1"/>
          <w:sz w:val="22"/>
          <w:szCs w:val="22"/>
        </w:rPr>
        <w:fldChar w:fldCharType="end"/>
      </w:r>
      <w:r w:rsidRPr="001648A1">
        <w:rPr>
          <w:i w:val="0"/>
          <w:iCs w:val="0"/>
          <w:color w:val="000000" w:themeColor="text1"/>
          <w:sz w:val="22"/>
          <w:szCs w:val="22"/>
        </w:rPr>
        <w:t>. Distribucija vrijednosti varijabli (KTL, DER, ROA, ROE, KI i PP) u sektoru I - Djelatnosti pružanja smještaja te pripreme i usluživanja hrane</w:t>
      </w:r>
      <w:r w:rsidRPr="001648A1">
        <w:rPr>
          <w:i w:val="0"/>
          <w:iCs w:val="0"/>
          <w:noProof/>
          <w:color w:val="000000" w:themeColor="text1"/>
          <w:sz w:val="22"/>
          <w:szCs w:val="22"/>
        </w:rPr>
        <w:t xml:space="preserve"> (podaci dostavljeni od strane FINA-e, izračun i obrada autorice u programu EViews 12)</w:t>
      </w:r>
      <w:bookmarkEnd w:id="64"/>
    </w:p>
    <w:p w14:paraId="551A40B2" w14:textId="77974887" w:rsidR="00B92FBB" w:rsidRDefault="008A09CC" w:rsidP="008D173A">
      <w:pPr>
        <w:pStyle w:val="Naslov4"/>
        <w:numPr>
          <w:ilvl w:val="2"/>
          <w:numId w:val="7"/>
        </w:numPr>
      </w:pPr>
      <w:bookmarkStart w:id="65" w:name="_p2oupqrbyqja" w:colFirst="0" w:colLast="0"/>
      <w:bookmarkEnd w:id="65"/>
      <w:r>
        <w:t>Korelacijska analiza</w:t>
      </w:r>
    </w:p>
    <w:p w14:paraId="2AFE4484" w14:textId="77777777" w:rsidR="008D173A" w:rsidRPr="008D173A" w:rsidRDefault="008D173A" w:rsidP="008D173A"/>
    <w:p w14:paraId="6B30CD9E" w14:textId="7A20952A" w:rsidR="00B92FBB" w:rsidRDefault="008A09CC">
      <w:pPr>
        <w:spacing w:line="360" w:lineRule="auto"/>
        <w:jc w:val="both"/>
      </w:pPr>
      <w:r>
        <w:t>Korelacijska analiza za sektor I pokazuje da su veze između promatranih varijabli vrlo slabe. Dakle, linearna povezanost između likvidnosti, zaduženosti, profitabilnosti, kapitalne intenzivnosti i promjene prihoda gotovo ne postoji što je vidljivo i u Tablici</w:t>
      </w:r>
      <w:r w:rsidR="008A2981">
        <w:t xml:space="preserve"> 8</w:t>
      </w:r>
      <w:r>
        <w:t xml:space="preserve">. </w:t>
      </w:r>
    </w:p>
    <w:p w14:paraId="4A4D2840" w14:textId="77777777" w:rsidR="00B92FBB" w:rsidRDefault="00B92FBB">
      <w:pPr>
        <w:spacing w:line="360" w:lineRule="auto"/>
        <w:jc w:val="both"/>
      </w:pPr>
    </w:p>
    <w:p w14:paraId="0D0DF0DA" w14:textId="46C85FF5" w:rsidR="00B92FBB" w:rsidRDefault="008A09CC">
      <w:pPr>
        <w:spacing w:line="360" w:lineRule="auto"/>
        <w:jc w:val="both"/>
      </w:pPr>
      <w:r>
        <w:t xml:space="preserve">Korelacija između KTL-a i DER-a je niska u iznosu od -0,014. Razina zaduženosti poduzeća nema </w:t>
      </w:r>
      <w:r w:rsidR="005D2A4F">
        <w:t xml:space="preserve">evidentan </w:t>
      </w:r>
      <w:r>
        <w:t>utjecaj na njihovu likvidnost. Likvidnost u ovom sektoru u većoj se mjeri oblikuje kroz sezonske priljeve i operativne prihode. Struktura financiranja u tom kontekstu ima manju ulogu. Pozitivna, ali vrlo slaba povezanost između KTL-a i ROA-e (0,002) znači da profitabilnost, mjerena povratom na imovinu, gotovo ne utječe na rast likvidnosti. Blago negativan odnos između KTL-a i PP-a (-0,004) sugerira da rast prihoda ne rezultira automatski povećanjem likvidnosti. Dodatni prihodi često se reinvestiraju u poslovanje. To je posebno izraženo tijekom turističke sezone kada je potreban veći obrtni kapital.</w:t>
      </w:r>
    </w:p>
    <w:p w14:paraId="6ADD8740" w14:textId="77777777" w:rsidR="00B92FBB" w:rsidRDefault="00B92FBB">
      <w:pPr>
        <w:spacing w:line="360" w:lineRule="auto"/>
        <w:jc w:val="both"/>
      </w:pPr>
    </w:p>
    <w:p w14:paraId="4F9A9AF5" w14:textId="77777777" w:rsidR="00B92FBB" w:rsidRDefault="008A09CC">
      <w:pPr>
        <w:spacing w:line="360" w:lineRule="auto"/>
        <w:jc w:val="both"/>
      </w:pPr>
      <w:r>
        <w:t>Pozitivna korelacija između DER-a i kapitalne intenzivnosti (0,088) pokazuje da poduzeća s većim udjelom dugotrajne imovine u strukturi bilance češće koriste dug za financiranje. Takva praksa je uobičajena za ulaganja u hotele, apartmane ili ugostiteljsku opremu. Ta ulaganja zahtijevaju dugoročne izvore kapitala. Povezanost između ROA-e i ROE-a je izrazito visoka (2,876). Poduzeća koja generiraju veći povrat na imovinu istodobno ostvaruju više stope povrata na kapital. Slabija pozitivna korelacija između ROE-a i kapitalne intenzivnosti (0,103) pokazuje da kapitalno intenzivnija poduzeća povremeno ostvaruju veći povrat na kapital. Ulaganja u imovinu u takvim slučajevima dovode do rasta prihoda u razdobljima povećane potražnje. Izraženija pozitivna povezanost između ROE-a i postotne promjene prihoda (7,64) ukazuje na snažan utjecaj rasta prihoda na profitabilnost. Rast prihoda najčešće proizlazi iz sezonskih oscilacija i povećane turističke aktivnosti.</w:t>
      </w:r>
    </w:p>
    <w:p w14:paraId="79379AD1" w14:textId="77777777" w:rsidR="00B92FBB" w:rsidRDefault="00B92FBB">
      <w:pPr>
        <w:spacing w:line="360" w:lineRule="auto"/>
        <w:jc w:val="both"/>
      </w:pPr>
    </w:p>
    <w:p w14:paraId="21137EB9" w14:textId="77777777" w:rsidR="001648A1" w:rsidRDefault="008A09CC" w:rsidP="001648A1">
      <w:pPr>
        <w:spacing w:line="360" w:lineRule="auto"/>
        <w:jc w:val="both"/>
      </w:pPr>
      <w:r>
        <w:t xml:space="preserve">Sveukupno, sektor I obilježava slaba povezanost između većine promatranih pokazatelja. Izuzetak je snažna veza između profitabilnosti i rasta prihoda. Likvidnost i zaduženost u ovom sektoru u većoj mjeri ovise o </w:t>
      </w:r>
      <w:proofErr w:type="spellStart"/>
      <w:r>
        <w:t>sezonalnosti</w:t>
      </w:r>
      <w:proofErr w:type="spellEnd"/>
      <w:r>
        <w:t xml:space="preserve"> poslovanja. Profitabilnost i rast prihoda nalaze se u jačoj vezi zbog osjetljivosti sektora na turističku potražnju i sezonske trendove.</w:t>
      </w:r>
    </w:p>
    <w:p w14:paraId="20A3FA90" w14:textId="598893DC" w:rsidR="001648A1" w:rsidRPr="001648A1" w:rsidRDefault="001648A1" w:rsidP="001648A1">
      <w:pPr>
        <w:spacing w:line="360" w:lineRule="auto"/>
        <w:jc w:val="both"/>
      </w:pPr>
      <w:bookmarkStart w:id="66" w:name="_Toc207265202"/>
      <w:r w:rsidRPr="001648A1">
        <w:rPr>
          <w:color w:val="000000" w:themeColor="text1"/>
        </w:rPr>
        <w:lastRenderedPageBreak/>
        <w:t xml:space="preserve">Tablica </w:t>
      </w:r>
      <w:r w:rsidRPr="001648A1">
        <w:rPr>
          <w:color w:val="000000" w:themeColor="text1"/>
        </w:rPr>
        <w:fldChar w:fldCharType="begin"/>
      </w:r>
      <w:r w:rsidRPr="001648A1">
        <w:rPr>
          <w:color w:val="000000" w:themeColor="text1"/>
        </w:rPr>
        <w:instrText xml:space="preserve"> SEQ Tablica \* ARABIC </w:instrText>
      </w:r>
      <w:r w:rsidRPr="001648A1">
        <w:rPr>
          <w:color w:val="000000" w:themeColor="text1"/>
        </w:rPr>
        <w:fldChar w:fldCharType="separate"/>
      </w:r>
      <w:r w:rsidR="00D11EF7">
        <w:rPr>
          <w:noProof/>
          <w:color w:val="000000" w:themeColor="text1"/>
        </w:rPr>
        <w:t>8</w:t>
      </w:r>
      <w:r w:rsidRPr="001648A1">
        <w:rPr>
          <w:color w:val="000000" w:themeColor="text1"/>
        </w:rPr>
        <w:fldChar w:fldCharType="end"/>
      </w:r>
      <w:r w:rsidRPr="001648A1">
        <w:rPr>
          <w:color w:val="000000" w:themeColor="text1"/>
        </w:rPr>
        <w:t xml:space="preserve">. Korelacijska matrica za sektor I - Djelatnosti pružanja smještaja te pripreme i usluživanja hrane (podaci dostavljeni od strane FINA-e, izračun i obrada autorice u programu </w:t>
      </w:r>
      <w:proofErr w:type="spellStart"/>
      <w:r w:rsidRPr="001648A1">
        <w:rPr>
          <w:color w:val="000000" w:themeColor="text1"/>
        </w:rPr>
        <w:t>EViews</w:t>
      </w:r>
      <w:proofErr w:type="spellEnd"/>
      <w:r w:rsidRPr="001648A1">
        <w:rPr>
          <w:color w:val="000000" w:themeColor="text1"/>
        </w:rPr>
        <w:t xml:space="preserve"> 12)</w:t>
      </w:r>
      <w:bookmarkEnd w:id="66"/>
    </w:p>
    <w:p w14:paraId="18E512E7" w14:textId="77777777" w:rsidR="00B92FBB" w:rsidRDefault="008A09CC">
      <w:r>
        <w:rPr>
          <w:noProof/>
        </w:rPr>
        <w:drawing>
          <wp:inline distT="114300" distB="114300" distL="114300" distR="114300" wp14:anchorId="78B98E78" wp14:editId="019B91E0">
            <wp:extent cx="5731200" cy="10795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731200" cy="1079500"/>
                    </a:xfrm>
                    <a:prstGeom prst="rect">
                      <a:avLst/>
                    </a:prstGeom>
                    <a:ln/>
                  </pic:spPr>
                </pic:pic>
              </a:graphicData>
            </a:graphic>
          </wp:inline>
        </w:drawing>
      </w:r>
    </w:p>
    <w:p w14:paraId="2712F971" w14:textId="77777777" w:rsidR="00B92FBB" w:rsidRDefault="00B92FBB"/>
    <w:p w14:paraId="1DF82F82" w14:textId="0AAF661B" w:rsidR="00B92FBB" w:rsidRDefault="008D173A">
      <w:pPr>
        <w:pStyle w:val="Naslov4"/>
      </w:pPr>
      <w:bookmarkStart w:id="67" w:name="_sybtsqeo4gkn" w:colFirst="0" w:colLast="0"/>
      <w:bookmarkEnd w:id="67"/>
      <w:r>
        <w:t>4.4</w:t>
      </w:r>
      <w:r w:rsidR="008A09CC">
        <w:t xml:space="preserve">.3. </w:t>
      </w:r>
      <w:r w:rsidR="00EB010F" w:rsidRPr="00EB010F">
        <w:t>Testiranje utjecaja financijske poluge na likvidnost poduzeća</w:t>
      </w:r>
    </w:p>
    <w:p w14:paraId="55433E54" w14:textId="77777777" w:rsidR="00B92FBB" w:rsidRDefault="00B92FBB"/>
    <w:p w14:paraId="0FBB0DE3" w14:textId="504C2241" w:rsidR="00B92FBB" w:rsidRDefault="008A09CC">
      <w:pPr>
        <w:spacing w:line="360" w:lineRule="auto"/>
        <w:jc w:val="both"/>
      </w:pPr>
      <w:r>
        <w:t xml:space="preserve">Dinamički panel model za sektor I procijenjen je metodom </w:t>
      </w:r>
      <w:proofErr w:type="spellStart"/>
      <w:r>
        <w:t>Arellano</w:t>
      </w:r>
      <w:proofErr w:type="spellEnd"/>
      <w:r>
        <w:t xml:space="preserve">–Bond GMM za razdoblje od 2008. do 2023. godine. Model omogućuje uvid u dinamiku promjena likvidnosti u izrazito sezonski osjetljivom sektoru gdje prihodi i zaduženost snažno osciliraju kroz vrijeme. Specifikacija modela prikazana je u sljedećoj </w:t>
      </w:r>
      <w:r w:rsidR="00DC74A5">
        <w:t xml:space="preserve">ekonometrijskoj </w:t>
      </w:r>
      <w:r>
        <w:t>jednadžbi:</w:t>
      </w:r>
    </w:p>
    <w:p w14:paraId="16106A20" w14:textId="77777777" w:rsidR="00B92FBB" w:rsidRDefault="00B92FBB">
      <w:pPr>
        <w:spacing w:line="360" w:lineRule="auto"/>
        <w:jc w:val="both"/>
      </w:pPr>
    </w:p>
    <w:p w14:paraId="4ADEB95E" w14:textId="77777777"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 xml:space="preserve">, </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2</m:t>
            </m:r>
          </m:sub>
        </m:sSub>
        <m:sSub>
          <m:sSubPr>
            <m:ctrlPr>
              <w:rPr>
                <w:rFonts w:ascii="Cambria Math" w:hAnsi="Cambria Math"/>
                <w:iCs/>
              </w:rPr>
            </m:ctrlPr>
          </m:sSubPr>
          <m:e>
            <m: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3</m:t>
            </m:r>
          </m:sub>
        </m:sSub>
        <m:sSub>
          <m:sSubPr>
            <m:ctrlPr>
              <w:rPr>
                <w:rFonts w:ascii="Cambria Math" w:hAnsi="Cambria Math"/>
                <w:iCs/>
              </w:rPr>
            </m:ctrlPr>
          </m:sSubPr>
          <m:e>
            <m: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4</m:t>
            </m:r>
          </m:sub>
        </m:sSub>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iCs/>
              </w:rPr>
            </m:ctrlPr>
          </m:sSubPr>
          <m:e>
            <m:r>
              <w:rPr>
                <w:rFonts w:ascii="Cambria Math" w:hAnsi="Cambria Math"/>
              </w:rPr>
              <m:t>β</m:t>
            </m:r>
          </m:e>
          <m:sub>
            <m:r>
              <m:rPr>
                <m:sty m:val="p"/>
              </m:rPr>
              <w:rPr>
                <w:rFonts w:ascii="Cambria Math" w:hAnsi="Cambria Math"/>
              </w:rPr>
              <m:t>5</m:t>
            </m:r>
          </m:sub>
        </m:sSub>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r>
          <m:rPr>
            <m:sty m:val="p"/>
          </m:rPr>
          <w:rPr>
            <w:rFonts w:ascii="Cambria Math" w:hAnsi="Cambria Math"/>
          </w:rPr>
          <m:t>+</m:t>
        </m:r>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w:t>
      </w:r>
    </w:p>
    <w:p w14:paraId="5D7A16D3" w14:textId="77777777" w:rsidR="00472C6B" w:rsidRPr="00472C6B" w:rsidRDefault="00472C6B" w:rsidP="00472C6B">
      <w:pPr>
        <w:spacing w:line="360" w:lineRule="auto"/>
        <w:ind w:left="708"/>
        <w:jc w:val="both"/>
        <w:rPr>
          <w:iCs/>
        </w:rPr>
      </w:pPr>
    </w:p>
    <w:p w14:paraId="2FCA8807" w14:textId="50F58590"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koeficijent tekuće likvidnosti poduzeća i u vremenu t </w:t>
      </w:r>
      <w:r w:rsidR="00472C6B">
        <w:t xml:space="preserve">za sektor </w:t>
      </w:r>
      <w:r w:rsidR="00472C6B" w:rsidRPr="00472C6B">
        <w:t>I - Djelatnosti pružanja smještaja te pripreme i usluživanja hrane</w:t>
      </w:r>
    </w:p>
    <w:p w14:paraId="07D13330" w14:textId="7799A104"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rsidR="00472C6B" w:rsidRPr="00472C6B">
        <w:rPr>
          <w:iCs/>
        </w:rPr>
        <w:t xml:space="preserve"> – koeficijent tekuće likvidnosti poduzeća i iz prethodnog razdoblja t-1</w:t>
      </w:r>
      <w:r w:rsidR="00472C6B">
        <w:rPr>
          <w:iCs/>
        </w:rPr>
        <w:t xml:space="preserve"> </w:t>
      </w:r>
      <w:r w:rsidR="00472C6B">
        <w:t xml:space="preserve">za sektor </w:t>
      </w:r>
      <w:r w:rsidR="00472C6B" w:rsidRPr="00472C6B">
        <w:t>I - Djelatnosti pružanja smještaja te pripreme i usluživanja hrane</w:t>
      </w:r>
    </w:p>
    <w:p w14:paraId="7FA56637" w14:textId="5C6EEBDC" w:rsidR="00472C6B" w:rsidRPr="00472C6B" w:rsidRDefault="00000000" w:rsidP="00472C6B">
      <w:pPr>
        <w:spacing w:line="360" w:lineRule="auto"/>
        <w:ind w:left="708"/>
        <w:jc w:val="both"/>
        <w:rPr>
          <w:iCs/>
        </w:rPr>
      </w:pPr>
      <m:oMath>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omjer duga i glavnice poduzeću i u vremenu t</w:t>
      </w:r>
      <w:r w:rsidR="00472C6B">
        <w:rPr>
          <w:iCs/>
        </w:rPr>
        <w:t xml:space="preserve"> </w:t>
      </w:r>
      <w:r w:rsidR="00472C6B">
        <w:t xml:space="preserve">za sektor </w:t>
      </w:r>
      <w:r w:rsidR="00472C6B" w:rsidRPr="00472C6B">
        <w:t>I - Djelatnosti pružanja smještaja te pripreme i usluživanja hrane</w:t>
      </w:r>
    </w:p>
    <w:p w14:paraId="074F4B83" w14:textId="13F7542D" w:rsidR="00472C6B" w:rsidRPr="00472C6B" w:rsidRDefault="00000000" w:rsidP="00472C6B">
      <w:pPr>
        <w:spacing w:line="360" w:lineRule="auto"/>
        <w:ind w:left="708"/>
        <w:jc w:val="both"/>
        <w:rPr>
          <w:iCs/>
        </w:rPr>
      </w:pPr>
      <m:oMath>
        <m:sSub>
          <m:sSubPr>
            <m:ctrlPr>
              <w:rPr>
                <w:rFonts w:ascii="Cambria Math" w:hAnsi="Cambria Math"/>
                <w:iCs/>
              </w:rPr>
            </m:ctrlPr>
          </m:sSubPr>
          <m:e>
            <m:r>
              <m:rPr>
                <m:sty m:val="p"/>
              </m:rP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profitabilnost imovine poduzeća i u vremenu t</w:t>
      </w:r>
      <w:r w:rsidR="00472C6B">
        <w:rPr>
          <w:iCs/>
        </w:rPr>
        <w:t xml:space="preserve"> </w:t>
      </w:r>
      <w:r w:rsidR="00472C6B">
        <w:t xml:space="preserve">za sektor </w:t>
      </w:r>
      <w:r w:rsidR="00472C6B" w:rsidRPr="00472C6B">
        <w:t>I - Djelatnosti pružanja smještaja te pripreme i usluživanja hrane</w:t>
      </w:r>
    </w:p>
    <w:p w14:paraId="08109A10" w14:textId="4A61E158" w:rsidR="00472C6B" w:rsidRPr="00472C6B" w:rsidRDefault="00000000" w:rsidP="00472C6B">
      <w:pPr>
        <w:spacing w:line="360" w:lineRule="auto"/>
        <w:ind w:left="708"/>
        <w:jc w:val="both"/>
        <w:rPr>
          <w:iCs/>
        </w:rPr>
      </w:pPr>
      <m:oMath>
        <m:sSub>
          <m:sSubPr>
            <m:ctrlPr>
              <w:rPr>
                <w:rFonts w:ascii="Cambria Math" w:hAnsi="Cambria Math"/>
                <w:iCs/>
              </w:rPr>
            </m:ctrlPr>
          </m:sSubPr>
          <m:e>
            <m:r>
              <m:rPr>
                <m:sty m:val="p"/>
              </m:rP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profitabilnost kapitala poduzeću i u vremenu t</w:t>
      </w:r>
      <w:r w:rsidR="00472C6B">
        <w:rPr>
          <w:iCs/>
        </w:rPr>
        <w:t xml:space="preserve"> </w:t>
      </w:r>
      <w:r w:rsidR="00472C6B">
        <w:t xml:space="preserve">za sektor </w:t>
      </w:r>
      <w:r w:rsidR="00472C6B" w:rsidRPr="00472C6B">
        <w:t>I - Djelatnosti pružanja smještaja te pripreme i usluživanja hrane</w:t>
      </w:r>
    </w:p>
    <w:p w14:paraId="7FF3177F" w14:textId="34E6E940"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kapitalna intenzivnost poduzeća i u vremenu t</w:t>
      </w:r>
      <w:r w:rsidR="00472C6B">
        <w:rPr>
          <w:iCs/>
        </w:rPr>
        <w:t xml:space="preserve"> </w:t>
      </w:r>
      <w:r w:rsidR="00472C6B">
        <w:t xml:space="preserve">za sektor </w:t>
      </w:r>
      <w:r w:rsidR="008D78A4" w:rsidRPr="00472C6B">
        <w:t>I - Djelatnosti pružanja smještaja te pripreme i usluživanja hrane</w:t>
      </w:r>
    </w:p>
    <w:p w14:paraId="2BD9727A" w14:textId="1FF6518C"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postotna promjena prodaje poduzeća i u vremenu t</w:t>
      </w:r>
      <w:r w:rsidR="00472C6B">
        <w:rPr>
          <w:iCs/>
        </w:rPr>
        <w:t xml:space="preserve"> </w:t>
      </w:r>
      <w:r w:rsidR="00472C6B">
        <w:t xml:space="preserve">za sektor </w:t>
      </w:r>
      <w:r w:rsidR="008D78A4" w:rsidRPr="00472C6B">
        <w:t>I - Djelatnosti pružanja smještaja te pripreme i usluživanja hrane</w:t>
      </w:r>
    </w:p>
    <w:p w14:paraId="5009783A" w14:textId="6AC8C8E8" w:rsidR="00472C6B" w:rsidRPr="00472C6B" w:rsidRDefault="00472C6B" w:rsidP="00472C6B">
      <w:pPr>
        <w:spacing w:line="360" w:lineRule="auto"/>
        <w:ind w:firstLine="708"/>
        <w:jc w:val="both"/>
      </w:pPr>
      <w:r w:rsidRPr="00472C6B">
        <w:t xml:space="preserve">i = 1,…, </w:t>
      </w:r>
      <w:r w:rsidR="00DC74A5">
        <w:t>161</w:t>
      </w:r>
      <w:r w:rsidRPr="00472C6B">
        <w:t xml:space="preserve">; t = 1,…,16 </w:t>
      </w:r>
    </w:p>
    <w:p w14:paraId="165634F8" w14:textId="77777777" w:rsidR="00472C6B" w:rsidRPr="00472C6B" w:rsidRDefault="00472C6B" w:rsidP="00472C6B">
      <w:pPr>
        <w:spacing w:line="360" w:lineRule="auto"/>
        <w:jc w:val="both"/>
      </w:pPr>
    </w:p>
    <w:p w14:paraId="043AD727" w14:textId="77777777" w:rsidR="00472C6B" w:rsidRPr="00472C6B" w:rsidRDefault="00472C6B" w:rsidP="00472C6B">
      <w:pPr>
        <w:spacing w:line="360" w:lineRule="auto"/>
        <w:jc w:val="both"/>
        <w:rPr>
          <w:iCs/>
        </w:rPr>
      </w:pPr>
      <w:r w:rsidRPr="00472C6B">
        <w:rPr>
          <w:iCs/>
        </w:rPr>
        <w:t>pri čemu je:</w:t>
      </w:r>
    </w:p>
    <w:p w14:paraId="605CAA77" w14:textId="77777777" w:rsidR="00472C6B" w:rsidRPr="00472C6B" w:rsidRDefault="00472C6B" w:rsidP="00472C6B">
      <w:pPr>
        <w:spacing w:line="360" w:lineRule="auto"/>
        <w:jc w:val="both"/>
        <w:rPr>
          <w:iCs/>
        </w:rPr>
      </w:pPr>
      <w:r w:rsidRPr="00472C6B">
        <w:rPr>
          <w:iCs/>
        </w:rPr>
        <w:t>N – broj jedinica promatranja,</w:t>
      </w:r>
    </w:p>
    <w:p w14:paraId="5E047304" w14:textId="77777777" w:rsidR="00472C6B" w:rsidRPr="00472C6B" w:rsidRDefault="00472C6B" w:rsidP="00472C6B">
      <w:pPr>
        <w:spacing w:line="360" w:lineRule="auto"/>
        <w:jc w:val="both"/>
        <w:rPr>
          <w:iCs/>
        </w:rPr>
      </w:pPr>
      <w:r w:rsidRPr="00472C6B">
        <w:rPr>
          <w:iCs/>
        </w:rPr>
        <w:lastRenderedPageBreak/>
        <w:t>T – broj razdoblja promatranja,</w:t>
      </w:r>
    </w:p>
    <w:p w14:paraId="6BBD4DD9" w14:textId="77777777" w:rsidR="00472C6B" w:rsidRPr="00472C6B" w:rsidRDefault="00472C6B" w:rsidP="00472C6B">
      <w:pPr>
        <w:spacing w:line="360" w:lineRule="auto"/>
        <w:jc w:val="both"/>
        <w:rPr>
          <w:iCs/>
        </w:rPr>
      </w:pPr>
      <w:r w:rsidRPr="00472C6B">
        <w:rPr>
          <w:iCs/>
        </w:rPr>
        <w:t>α – zajednički konstantni član različit za sve jedinicu promatranja,</w:t>
      </w:r>
    </w:p>
    <w:p w14:paraId="58605F2A" w14:textId="77777777" w:rsidR="00472C6B" w:rsidRPr="00472C6B" w:rsidRDefault="00000000" w:rsidP="00472C6B">
      <w:pPr>
        <w:spacing w:line="360" w:lineRule="auto"/>
        <w:jc w:val="both"/>
        <w:rPr>
          <w:iCs/>
        </w:rPr>
      </w:pPr>
      <m:oMath>
        <m:sSub>
          <m:sSubPr>
            <m:ctrlPr>
              <w:rPr>
                <w:rFonts w:ascii="Cambria Math" w:hAnsi="Cambria Math"/>
                <w:iCs/>
              </w:rPr>
            </m:ctrlPr>
          </m:sSubPr>
          <m:e>
            <m:r>
              <w:rPr>
                <w:rFonts w:ascii="Cambria Math" w:hAnsi="Cambria Math"/>
              </w:rPr>
              <m:t>μ</m:t>
            </m:r>
          </m:e>
          <m:sub>
            <m:r>
              <w:rPr>
                <w:rFonts w:ascii="Cambria Math" w:hAnsi="Cambria Math"/>
              </w:rPr>
              <m:t>i</m:t>
            </m:r>
          </m:sub>
        </m:sSub>
      </m:oMath>
      <w:r w:rsidR="00472C6B" w:rsidRPr="00472C6B">
        <w:rPr>
          <w:iCs/>
        </w:rPr>
        <w:t xml:space="preserve"> – slučajni efekt za svaku jedinicu promatranja, </w:t>
      </w:r>
    </w:p>
    <w:p w14:paraId="042FA64D" w14:textId="77777777" w:rsidR="00472C6B" w:rsidRPr="00472C6B" w:rsidRDefault="00000000" w:rsidP="00472C6B">
      <w:pPr>
        <w:spacing w:line="360" w:lineRule="auto"/>
        <w:jc w:val="both"/>
        <w:rPr>
          <w:iCs/>
        </w:rPr>
      </w:pPr>
      <m:oMath>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greška relacije za i-te jedinice u vremenu t,</w:t>
      </w:r>
    </w:p>
    <w:p w14:paraId="330B9BDC" w14:textId="77777777" w:rsidR="00472C6B" w:rsidRPr="00472C6B" w:rsidRDefault="00000000" w:rsidP="00472C6B">
      <w:pPr>
        <w:spacing w:line="360" w:lineRule="auto"/>
        <w:jc w:val="both"/>
        <w:rPr>
          <w:iCs/>
        </w:rPr>
      </w:pPr>
      <m:oMath>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k</m:t>
            </m:r>
          </m:sub>
        </m:sSub>
      </m:oMath>
      <w:r w:rsidR="00472C6B" w:rsidRPr="00472C6B">
        <w:rPr>
          <w:iCs/>
        </w:rPr>
        <w:t xml:space="preserve"> – parametri koje treba procijeniti. </w:t>
      </w:r>
    </w:p>
    <w:p w14:paraId="02FF4FBF" w14:textId="77777777" w:rsidR="00B92FBB" w:rsidRDefault="00B92FBB">
      <w:pPr>
        <w:spacing w:line="360" w:lineRule="auto"/>
        <w:jc w:val="both"/>
      </w:pPr>
    </w:p>
    <w:p w14:paraId="17A2F7DB" w14:textId="51BDB6B3" w:rsidR="00B92FBB" w:rsidRDefault="008A09CC">
      <w:pPr>
        <w:spacing w:line="360" w:lineRule="auto"/>
        <w:jc w:val="both"/>
      </w:pPr>
      <w:proofErr w:type="spellStart"/>
      <w:r>
        <w:t>Arellano</w:t>
      </w:r>
      <w:proofErr w:type="spellEnd"/>
      <w:r>
        <w:t xml:space="preserve">–Bond test pokazuje da je testna veličina AR(1) (p ≈ 0,04) veća od teorijske razine signifikantnosti α=0,05. AR(2) nije </w:t>
      </w:r>
      <w:r w:rsidR="005D2A4F">
        <w:t xml:space="preserve">signifikantan </w:t>
      </w:r>
      <w:r>
        <w:t xml:space="preserve">(p ≈ 0,28) što potvrđuje da u modelu nema problematične </w:t>
      </w:r>
      <w:proofErr w:type="spellStart"/>
      <w:r>
        <w:t>autokorelacije</w:t>
      </w:r>
      <w:proofErr w:type="spellEnd"/>
      <w:r>
        <w:t xml:space="preserve"> drugog reda. </w:t>
      </w:r>
      <w:proofErr w:type="spellStart"/>
      <w:r w:rsidR="00154FB7" w:rsidRPr="00154FB7">
        <w:t>Hansenov</w:t>
      </w:r>
      <w:proofErr w:type="spellEnd"/>
      <w:r w:rsidR="00154FB7" w:rsidRPr="00154FB7">
        <w:t xml:space="preserve"> J-test (p ≈ 0,30) pokazuje da su korišten</w:t>
      </w:r>
      <w:r w:rsidR="00154FB7">
        <w:t>e</w:t>
      </w:r>
      <w:r w:rsidR="00154FB7" w:rsidRPr="00154FB7">
        <w:t xml:space="preserve"> instrumentalne varijable prikladne i dobro specificirane </w:t>
      </w:r>
      <w:r w:rsidR="00154FB7">
        <w:t>z</w:t>
      </w:r>
      <w:r w:rsidR="00154FB7" w:rsidRPr="00154FB7">
        <w:t xml:space="preserve">ato što je </w:t>
      </w:r>
      <w:r w:rsidR="00154FB7">
        <w:t>u</w:t>
      </w:r>
      <w:r w:rsidR="00154FB7" w:rsidRPr="00154FB7">
        <w:t xml:space="preserve"> testiranom modelu empirijska razina signifikantnosti odnosno p-vrijednost veća od teorijske razine signifikantnosti α=0,05 (5%) pa se nulta hipoteza ne može odbaciti (</w:t>
      </w:r>
      <w:proofErr w:type="spellStart"/>
      <w:r w:rsidR="00154FB7" w:rsidRPr="00154FB7">
        <w:t>Arellano</w:t>
      </w:r>
      <w:proofErr w:type="spellEnd"/>
      <w:r w:rsidR="00154FB7" w:rsidRPr="00154FB7">
        <w:t xml:space="preserve"> </w:t>
      </w:r>
      <w:r w:rsidR="0043109A">
        <w:t>i</w:t>
      </w:r>
      <w:r w:rsidR="00154FB7" w:rsidRPr="00154FB7">
        <w:t xml:space="preserve"> Bond, 1991; </w:t>
      </w:r>
      <w:proofErr w:type="spellStart"/>
      <w:r w:rsidR="00154FB7" w:rsidRPr="00154FB7">
        <w:t>Roodman</w:t>
      </w:r>
      <w:proofErr w:type="spellEnd"/>
      <w:r w:rsidR="00154FB7" w:rsidRPr="00154FB7">
        <w:t>, 2009)</w:t>
      </w:r>
      <w:r>
        <w:t>.</w:t>
      </w:r>
    </w:p>
    <w:p w14:paraId="620B3924" w14:textId="77777777" w:rsidR="00B92FBB" w:rsidRDefault="00B92FBB">
      <w:pPr>
        <w:spacing w:line="360" w:lineRule="auto"/>
        <w:jc w:val="both"/>
      </w:pPr>
    </w:p>
    <w:p w14:paraId="639C0DD7" w14:textId="58866032" w:rsidR="00B92FBB" w:rsidRDefault="008A09CC">
      <w:pPr>
        <w:spacing w:line="360" w:lineRule="auto"/>
        <w:jc w:val="both"/>
      </w:pPr>
      <w:r>
        <w:t xml:space="preserve">Koeficijent KTL je </w:t>
      </w:r>
      <w:r w:rsidR="003C3246">
        <w:t>signifikantan</w:t>
      </w:r>
      <w:r>
        <w:t xml:space="preserve"> (0,2327; p &lt; 0,01). Poduzeća koja su u prethodnim godinama imala višu likvidnost imaju tendenciju zadržati taj trend i u budućim razdobljima</w:t>
      </w:r>
      <w:r w:rsidR="003C3246">
        <w:t xml:space="preserve"> </w:t>
      </w:r>
      <w:r w:rsidR="003C3246" w:rsidRPr="003C3246">
        <w:t>čime se potvrđuje H1 hipoteza o postojanosti likvidnosti poduzeća kroz vrijeme</w:t>
      </w:r>
      <w:r>
        <w:t>. To ukazuje na stabilnost upravljanja obrtnim kapitalom, ali i na sezonsku prirodu prihoda gdje poduzeća nakon dobrih sezona održavaju veću kratkoročnu likvidnost.</w:t>
      </w:r>
    </w:p>
    <w:p w14:paraId="74CBE34B" w14:textId="77777777" w:rsidR="00B92FBB" w:rsidRDefault="00B92FBB">
      <w:pPr>
        <w:spacing w:line="360" w:lineRule="auto"/>
        <w:jc w:val="both"/>
      </w:pPr>
    </w:p>
    <w:p w14:paraId="4CDBAD8E" w14:textId="4BA23501" w:rsidR="00B92FBB" w:rsidRDefault="008A09CC">
      <w:pPr>
        <w:spacing w:line="360" w:lineRule="auto"/>
        <w:jc w:val="both"/>
      </w:pPr>
      <w:r>
        <w:t xml:space="preserve">Koeficijent za DER je </w:t>
      </w:r>
      <w:r w:rsidR="005D2A4F">
        <w:t xml:space="preserve">signifikantan </w:t>
      </w:r>
      <w:r>
        <w:t>(-0,0016; p &lt; 0,01) što sugerira da veća razina zaduženosti smanjuje likvidnost</w:t>
      </w:r>
      <w:r w:rsidR="003C3246">
        <w:t xml:space="preserve"> </w:t>
      </w:r>
      <w:r w:rsidR="003C3246" w:rsidRPr="003C3246">
        <w:t>što upućuje na odbacivanje H2 hipoteze u ovom kontekstu</w:t>
      </w:r>
      <w:r w:rsidR="003C3246">
        <w:t>.</w:t>
      </w:r>
      <w:r>
        <w:t xml:space="preserve"> Ova pojava uobičajena je za sektor smještaja i ugostiteljstva jer visoka zaduženost često proizlazi iz investicija u dugotrajnu imovinu poput hotela, apartmana ili ugostiteljske opreme što smanjuje raspoloživa kratkoročna sredstva.</w:t>
      </w:r>
    </w:p>
    <w:p w14:paraId="229DFD6D" w14:textId="77777777" w:rsidR="00B92FBB" w:rsidRDefault="00B92FBB">
      <w:pPr>
        <w:spacing w:line="360" w:lineRule="auto"/>
        <w:jc w:val="both"/>
      </w:pPr>
    </w:p>
    <w:p w14:paraId="220FF419" w14:textId="656D019E" w:rsidR="00B92FBB" w:rsidRDefault="003C3246">
      <w:pPr>
        <w:spacing w:line="360" w:lineRule="auto"/>
        <w:jc w:val="both"/>
      </w:pPr>
      <w:r w:rsidRPr="003C3246">
        <w:t>Kontrolne varijable dodatno potvrđuju djelomičnu valjanost H3 hipoteze.</w:t>
      </w:r>
      <w:r>
        <w:t xml:space="preserve"> </w:t>
      </w:r>
      <w:r w:rsidR="008A09CC">
        <w:t xml:space="preserve">Pokazatelji profitabilnosti (ROA i ROE) također imaju </w:t>
      </w:r>
      <w:r w:rsidR="005D2A4F">
        <w:t>signifikantn</w:t>
      </w:r>
      <w:r>
        <w:t>e</w:t>
      </w:r>
      <w:r w:rsidR="005D2A4F">
        <w:t xml:space="preserve"> </w:t>
      </w:r>
      <w:r w:rsidR="008A09CC">
        <w:t>koeficijente, iako niskog intenziteta (ROA: -0,00011; ROE: -0,00022; oba p &lt; 0,01). To znači da rast profitabilnosti ne vodi nužno rastu likvidnosti jer se ostvarena dobit često reinvestira u poslovanje ili korištenje viškova za otplatu postojećih obveza.</w:t>
      </w:r>
    </w:p>
    <w:p w14:paraId="59143115" w14:textId="77777777" w:rsidR="00B92FBB" w:rsidRDefault="00B92FBB">
      <w:pPr>
        <w:spacing w:line="360" w:lineRule="auto"/>
        <w:jc w:val="both"/>
      </w:pPr>
    </w:p>
    <w:p w14:paraId="76ABCFD6" w14:textId="57F89FD6" w:rsidR="00B92FBB" w:rsidRDefault="008A09CC">
      <w:pPr>
        <w:spacing w:line="360" w:lineRule="auto"/>
        <w:jc w:val="both"/>
      </w:pPr>
      <w:r>
        <w:t xml:space="preserve">Koeficijent za kapitalnu intenzivnost (KI) pokazuje granično </w:t>
      </w:r>
      <w:r w:rsidR="005D2A4F">
        <w:t xml:space="preserve">signifikantan </w:t>
      </w:r>
      <w:r>
        <w:t>rezultat (0,00024; p ≈ 0,07). Ovo sugerira da kapitalno intenzivnija poduzeća, iako više investiraju u dugotrajnu imovinu, zadržavaju i određenu razinu kratkoročnih resursa kako bi osigurala stabilnost poslovanja tijekom sezonskih oscilacija.</w:t>
      </w:r>
    </w:p>
    <w:p w14:paraId="38514372" w14:textId="77777777" w:rsidR="00B92FBB" w:rsidRDefault="00B92FBB">
      <w:pPr>
        <w:spacing w:line="360" w:lineRule="auto"/>
        <w:jc w:val="both"/>
      </w:pPr>
    </w:p>
    <w:p w14:paraId="20954C40" w14:textId="7937336A" w:rsidR="00B92FBB" w:rsidRDefault="008A09CC">
      <w:pPr>
        <w:spacing w:line="360" w:lineRule="auto"/>
        <w:jc w:val="both"/>
      </w:pPr>
      <w:r>
        <w:lastRenderedPageBreak/>
        <w:t xml:space="preserve">Promjena prihoda (PP) bilježi </w:t>
      </w:r>
      <w:r w:rsidR="005D2A4F">
        <w:t xml:space="preserve">signifikantan </w:t>
      </w:r>
      <w:r>
        <w:t xml:space="preserve">koeficijent (-9,48e-09; p &lt; 0,01) što pokazuje da brzi rast prihoda privremeno smanjuje likvidnost. Ovo se može objasniti </w:t>
      </w:r>
      <w:proofErr w:type="spellStart"/>
      <w:r>
        <w:t>sezonalnošću</w:t>
      </w:r>
      <w:proofErr w:type="spellEnd"/>
      <w:r>
        <w:t xml:space="preserve"> sektor. Poduzeća u periodima rasta prihoda povećavaju ulaganja u zalihe, radnu snagu i druge operativne potrebe čime se privremeno troše likvidna sredstva.</w:t>
      </w:r>
    </w:p>
    <w:p w14:paraId="1A9AF2F1" w14:textId="77777777" w:rsidR="00B92FBB" w:rsidRDefault="00B92FBB">
      <w:pPr>
        <w:spacing w:line="360" w:lineRule="auto"/>
        <w:jc w:val="both"/>
      </w:pPr>
    </w:p>
    <w:p w14:paraId="4566CA29" w14:textId="77777777" w:rsidR="00B92FBB" w:rsidRDefault="008A09CC">
      <w:pPr>
        <w:spacing w:line="360" w:lineRule="auto"/>
        <w:jc w:val="both"/>
      </w:pPr>
      <w:r>
        <w:t xml:space="preserve">Sveukupno, rezultati ukazuju na jasnu povezanost između strukture kapitala, </w:t>
      </w:r>
      <w:proofErr w:type="spellStart"/>
      <w:r>
        <w:t>sezonalnosti</w:t>
      </w:r>
      <w:proofErr w:type="spellEnd"/>
      <w:r>
        <w:t xml:space="preserve"> prihoda i razine kratkoročne likvidnosti u sektoru I. Stabilna likvidnost kroz godine rezultat je ponavljajućih obrazaca prihoda, dok zaduženost i </w:t>
      </w:r>
      <w:proofErr w:type="spellStart"/>
      <w:r>
        <w:t>reinvestiranje</w:t>
      </w:r>
      <w:proofErr w:type="spellEnd"/>
      <w:r>
        <w:t xml:space="preserve"> dobiti ograničavaju kratkoročnu solventnost.</w:t>
      </w:r>
    </w:p>
    <w:p w14:paraId="57CA8E64" w14:textId="77777777" w:rsidR="001648A1" w:rsidRDefault="001648A1">
      <w:pPr>
        <w:spacing w:line="360" w:lineRule="auto"/>
        <w:jc w:val="both"/>
      </w:pPr>
    </w:p>
    <w:p w14:paraId="4DBD8840" w14:textId="19ADEDE2" w:rsidR="001648A1" w:rsidRPr="001648A1" w:rsidRDefault="001648A1" w:rsidP="001648A1">
      <w:pPr>
        <w:pStyle w:val="Opisslike"/>
        <w:keepNext/>
        <w:spacing w:line="360" w:lineRule="auto"/>
        <w:jc w:val="both"/>
        <w:rPr>
          <w:i w:val="0"/>
          <w:iCs w:val="0"/>
          <w:color w:val="000000" w:themeColor="text1"/>
          <w:sz w:val="22"/>
          <w:szCs w:val="22"/>
        </w:rPr>
      </w:pPr>
      <w:bookmarkStart w:id="68" w:name="_Toc207265203"/>
      <w:r w:rsidRPr="001648A1">
        <w:rPr>
          <w:i w:val="0"/>
          <w:iCs w:val="0"/>
          <w:color w:val="000000" w:themeColor="text1"/>
          <w:sz w:val="22"/>
          <w:szCs w:val="22"/>
        </w:rPr>
        <w:t xml:space="preserve">Tablica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Tablica \* ARABIC </w:instrText>
      </w:r>
      <w:r w:rsidRPr="001648A1">
        <w:rPr>
          <w:i w:val="0"/>
          <w:iCs w:val="0"/>
          <w:color w:val="000000" w:themeColor="text1"/>
          <w:sz w:val="22"/>
          <w:szCs w:val="22"/>
        </w:rPr>
        <w:fldChar w:fldCharType="separate"/>
      </w:r>
      <w:r w:rsidR="00D11EF7">
        <w:rPr>
          <w:i w:val="0"/>
          <w:iCs w:val="0"/>
          <w:noProof/>
          <w:color w:val="000000" w:themeColor="text1"/>
          <w:sz w:val="22"/>
          <w:szCs w:val="22"/>
        </w:rPr>
        <w:t>9</w:t>
      </w:r>
      <w:r w:rsidRPr="001648A1">
        <w:rPr>
          <w:i w:val="0"/>
          <w:iCs w:val="0"/>
          <w:color w:val="000000" w:themeColor="text1"/>
          <w:sz w:val="22"/>
          <w:szCs w:val="22"/>
        </w:rPr>
        <w:fldChar w:fldCharType="end"/>
      </w:r>
      <w:r w:rsidRPr="001648A1">
        <w:rPr>
          <w:i w:val="0"/>
          <w:iCs w:val="0"/>
          <w:color w:val="000000" w:themeColor="text1"/>
          <w:sz w:val="22"/>
          <w:szCs w:val="22"/>
        </w:rPr>
        <w:t>. Rezultati dinamičkog panel modela za sektor I - Djelatnosti pružanja smještaja te pripreme i usluživanja hrane</w:t>
      </w:r>
      <w:r w:rsidRPr="001648A1">
        <w:rPr>
          <w:i w:val="0"/>
          <w:iCs w:val="0"/>
          <w:noProof/>
          <w:color w:val="000000" w:themeColor="text1"/>
          <w:sz w:val="22"/>
          <w:szCs w:val="22"/>
        </w:rPr>
        <w:t xml:space="preserve"> (podaci dostavljeni od strane FINA-e, izračun i obrada autorice u programu EViews 12)</w:t>
      </w:r>
      <w:bookmarkEnd w:id="68"/>
    </w:p>
    <w:tbl>
      <w:tblPr>
        <w:tblW w:w="8366" w:type="dxa"/>
        <w:tblLook w:val="04A0" w:firstRow="1" w:lastRow="0" w:firstColumn="1" w:lastColumn="0" w:noHBand="0" w:noVBand="1"/>
      </w:tblPr>
      <w:tblGrid>
        <w:gridCol w:w="1653"/>
        <w:gridCol w:w="2197"/>
        <w:gridCol w:w="2501"/>
        <w:gridCol w:w="2015"/>
      </w:tblGrid>
      <w:tr w:rsidR="00671AEE" w:rsidRPr="00671AEE" w14:paraId="0C3F3BAA" w14:textId="77777777" w:rsidTr="006F38EA">
        <w:trPr>
          <w:trHeight w:val="455"/>
        </w:trPr>
        <w:tc>
          <w:tcPr>
            <w:tcW w:w="6351" w:type="dxa"/>
            <w:gridSpan w:val="3"/>
            <w:tcBorders>
              <w:top w:val="single" w:sz="8" w:space="0" w:color="auto"/>
              <w:left w:val="single" w:sz="8" w:space="0" w:color="auto"/>
              <w:bottom w:val="nil"/>
              <w:right w:val="nil"/>
            </w:tcBorders>
            <w:vAlign w:val="center"/>
            <w:hideMark/>
          </w:tcPr>
          <w:p w14:paraId="36F76024" w14:textId="77777777" w:rsidR="00671AEE" w:rsidRPr="00671AEE" w:rsidRDefault="00671AEE" w:rsidP="00671AEE">
            <w:pPr>
              <w:spacing w:line="240" w:lineRule="auto"/>
              <w:jc w:val="center"/>
              <w:rPr>
                <w:rFonts w:ascii="Times New Roman" w:eastAsia="Times New Roman" w:hAnsi="Times New Roman" w:cs="Times New Roman"/>
                <w:b/>
                <w:bCs/>
                <w:color w:val="000000"/>
                <w:lang w:val="hr-HR" w:eastAsia="hr-HR"/>
              </w:rPr>
            </w:pPr>
            <w:r w:rsidRPr="00671AEE">
              <w:rPr>
                <w:rFonts w:ascii="Times New Roman" w:eastAsia="Times New Roman" w:hAnsi="Times New Roman" w:cs="Times New Roman"/>
                <w:b/>
                <w:bCs/>
                <w:color w:val="000000"/>
                <w:szCs w:val="24"/>
                <w:lang w:val="hr-HR" w:eastAsia="hr-HR"/>
              </w:rPr>
              <w:t>Varijabla / Opis</w:t>
            </w:r>
          </w:p>
        </w:tc>
        <w:tc>
          <w:tcPr>
            <w:tcW w:w="2015" w:type="dxa"/>
            <w:tcBorders>
              <w:top w:val="single" w:sz="8" w:space="0" w:color="auto"/>
              <w:left w:val="nil"/>
              <w:bottom w:val="nil"/>
              <w:right w:val="single" w:sz="8" w:space="0" w:color="auto"/>
            </w:tcBorders>
            <w:vAlign w:val="center"/>
            <w:hideMark/>
          </w:tcPr>
          <w:p w14:paraId="4B300511" w14:textId="77777777" w:rsidR="00671AEE" w:rsidRPr="00671AEE" w:rsidRDefault="00671AEE" w:rsidP="00671AEE">
            <w:pPr>
              <w:spacing w:line="240" w:lineRule="auto"/>
              <w:jc w:val="center"/>
              <w:rPr>
                <w:rFonts w:ascii="Times New Roman" w:eastAsia="Times New Roman" w:hAnsi="Times New Roman" w:cs="Times New Roman"/>
                <w:b/>
                <w:bCs/>
                <w:color w:val="000000"/>
                <w:lang w:val="hr-HR" w:eastAsia="hr-HR"/>
              </w:rPr>
            </w:pPr>
            <w:r w:rsidRPr="00671AEE">
              <w:rPr>
                <w:rFonts w:ascii="Times New Roman" w:eastAsia="Times New Roman" w:hAnsi="Times New Roman" w:cs="Times New Roman"/>
                <w:b/>
                <w:bCs/>
                <w:color w:val="000000"/>
                <w:szCs w:val="24"/>
                <w:lang w:val="hr-HR" w:eastAsia="hr-HR"/>
              </w:rPr>
              <w:t xml:space="preserve">Model </w:t>
            </w:r>
          </w:p>
        </w:tc>
      </w:tr>
      <w:tr w:rsidR="00671AEE" w:rsidRPr="00671AEE" w14:paraId="6C89DDC9" w14:textId="77777777" w:rsidTr="006F38EA">
        <w:trPr>
          <w:trHeight w:val="493"/>
        </w:trPr>
        <w:tc>
          <w:tcPr>
            <w:tcW w:w="1653" w:type="dxa"/>
            <w:tcBorders>
              <w:top w:val="nil"/>
              <w:left w:val="single" w:sz="8" w:space="0" w:color="auto"/>
              <w:bottom w:val="nil"/>
              <w:right w:val="nil"/>
            </w:tcBorders>
            <w:shd w:val="clear" w:color="000000" w:fill="D9D9D9"/>
            <w:hideMark/>
          </w:tcPr>
          <w:p w14:paraId="70E09E1B" w14:textId="77777777" w:rsidR="00671AEE" w:rsidRPr="00671AEE" w:rsidRDefault="00671AEE" w:rsidP="00671AEE">
            <w:pPr>
              <w:spacing w:line="240" w:lineRule="auto"/>
              <w:rPr>
                <w:rFonts w:ascii="Times New Roman" w:eastAsia="Times New Roman" w:hAnsi="Times New Roman" w:cs="Times New Roman"/>
                <w:b/>
                <w:bCs/>
                <w:color w:val="000000"/>
                <w:sz w:val="24"/>
                <w:szCs w:val="24"/>
                <w:lang w:val="hr-HR" w:eastAsia="hr-HR"/>
              </w:rPr>
            </w:pPr>
            <w:r w:rsidRPr="00671AEE">
              <w:rPr>
                <w:rFonts w:ascii="Times New Roman" w:eastAsia="Times New Roman" w:hAnsi="Times New Roman" w:cs="Times New Roman"/>
                <w:b/>
                <w:bCs/>
                <w:color w:val="000000"/>
                <w:sz w:val="24"/>
                <w:szCs w:val="24"/>
                <w:lang w:val="hr-HR" w:eastAsia="hr-HR"/>
              </w:rPr>
              <w:t xml:space="preserve">KTL </w:t>
            </w:r>
            <w:proofErr w:type="spellStart"/>
            <w:r w:rsidRPr="00671AEE">
              <w:rPr>
                <w:rFonts w:ascii="Times New Roman" w:eastAsia="Times New Roman" w:hAnsi="Times New Roman" w:cs="Times New Roman"/>
                <w:b/>
                <w:bCs/>
                <w:color w:val="000000"/>
                <w:sz w:val="24"/>
                <w:szCs w:val="24"/>
                <w:lang w:val="hr-HR" w:eastAsia="hr-HR"/>
              </w:rPr>
              <w:t>i,t</w:t>
            </w:r>
            <w:proofErr w:type="spellEnd"/>
          </w:p>
        </w:tc>
        <w:tc>
          <w:tcPr>
            <w:tcW w:w="4697" w:type="dxa"/>
            <w:gridSpan w:val="2"/>
            <w:tcBorders>
              <w:top w:val="nil"/>
              <w:left w:val="nil"/>
              <w:bottom w:val="nil"/>
              <w:right w:val="nil"/>
            </w:tcBorders>
            <w:shd w:val="clear" w:color="000000" w:fill="D9D9D9"/>
            <w:vAlign w:val="center"/>
            <w:hideMark/>
          </w:tcPr>
          <w:p w14:paraId="741E583C" w14:textId="77777777" w:rsidR="00671AEE" w:rsidRPr="00671AEE" w:rsidRDefault="00671AEE" w:rsidP="00671AEE">
            <w:pPr>
              <w:spacing w:line="240" w:lineRule="auto"/>
              <w:rPr>
                <w:rFonts w:ascii="Times New Roman" w:eastAsia="Times New Roman" w:hAnsi="Times New Roman" w:cs="Times New Roman"/>
                <w:b/>
                <w:bCs/>
                <w:color w:val="000000"/>
                <w:lang w:val="hr-HR" w:eastAsia="hr-HR"/>
              </w:rPr>
            </w:pPr>
            <w:r w:rsidRPr="00671AEE">
              <w:rPr>
                <w:rFonts w:ascii="Times New Roman" w:eastAsia="Times New Roman" w:hAnsi="Times New Roman" w:cs="Times New Roman"/>
                <w:b/>
                <w:bCs/>
                <w:color w:val="000000"/>
                <w:lang w:val="hr-HR" w:eastAsia="hr-HR"/>
              </w:rPr>
              <w:t>Zavisna varijabla</w:t>
            </w:r>
          </w:p>
        </w:tc>
        <w:tc>
          <w:tcPr>
            <w:tcW w:w="2015" w:type="dxa"/>
            <w:tcBorders>
              <w:top w:val="nil"/>
              <w:left w:val="nil"/>
              <w:bottom w:val="nil"/>
              <w:right w:val="single" w:sz="8" w:space="0" w:color="auto"/>
            </w:tcBorders>
            <w:shd w:val="clear" w:color="000000" w:fill="D9D9D9"/>
            <w:vAlign w:val="center"/>
            <w:hideMark/>
          </w:tcPr>
          <w:p w14:paraId="4B2BDB53" w14:textId="77777777" w:rsidR="00671AEE" w:rsidRPr="00671AEE" w:rsidRDefault="00671AEE" w:rsidP="00671AEE">
            <w:pPr>
              <w:spacing w:line="240" w:lineRule="auto"/>
              <w:rPr>
                <w:rFonts w:ascii="Times New Roman" w:eastAsia="Times New Roman" w:hAnsi="Times New Roman" w:cs="Times New Roman"/>
                <w:b/>
                <w:bCs/>
                <w:color w:val="000000"/>
                <w:lang w:val="hr-HR" w:eastAsia="hr-HR"/>
              </w:rPr>
            </w:pPr>
            <w:r w:rsidRPr="00671AEE">
              <w:rPr>
                <w:rFonts w:ascii="Times New Roman" w:eastAsia="Times New Roman" w:hAnsi="Times New Roman" w:cs="Times New Roman"/>
                <w:b/>
                <w:bCs/>
                <w:szCs w:val="24"/>
                <w:lang w:val="hr-HR" w:eastAsia="hr-HR"/>
              </w:rPr>
              <w:t>-</w:t>
            </w:r>
          </w:p>
        </w:tc>
      </w:tr>
      <w:tr w:rsidR="006F38EA" w:rsidRPr="00671AEE" w14:paraId="312CE309" w14:textId="77777777" w:rsidTr="006F38EA">
        <w:trPr>
          <w:trHeight w:val="455"/>
        </w:trPr>
        <w:tc>
          <w:tcPr>
            <w:tcW w:w="1653" w:type="dxa"/>
            <w:vMerge w:val="restart"/>
            <w:tcBorders>
              <w:top w:val="nil"/>
              <w:left w:val="single" w:sz="8" w:space="0" w:color="auto"/>
              <w:bottom w:val="nil"/>
              <w:right w:val="nil"/>
            </w:tcBorders>
            <w:vAlign w:val="center"/>
            <w:hideMark/>
          </w:tcPr>
          <w:p w14:paraId="000E51AC" w14:textId="77777777" w:rsidR="00671AEE" w:rsidRPr="00671AEE" w:rsidRDefault="00671AEE" w:rsidP="00671AEE">
            <w:pPr>
              <w:spacing w:line="240" w:lineRule="auto"/>
              <w:rPr>
                <w:rFonts w:ascii="Times New Roman" w:eastAsia="Times New Roman" w:hAnsi="Times New Roman" w:cs="Times New Roman"/>
                <w:color w:val="000000"/>
                <w:sz w:val="24"/>
                <w:szCs w:val="24"/>
                <w:lang w:val="hr-HR" w:eastAsia="hr-HR"/>
              </w:rPr>
            </w:pPr>
            <w:r w:rsidRPr="00671AEE">
              <w:rPr>
                <w:rFonts w:ascii="Times New Roman" w:eastAsia="Times New Roman" w:hAnsi="Times New Roman" w:cs="Times New Roman"/>
                <w:color w:val="000000"/>
                <w:sz w:val="24"/>
                <w:szCs w:val="24"/>
                <w:lang w:val="hr-HR" w:eastAsia="hr-HR"/>
              </w:rPr>
              <w:t xml:space="preserve">KTL </w:t>
            </w:r>
            <w:proofErr w:type="spellStart"/>
            <w:r w:rsidRPr="00671AEE">
              <w:rPr>
                <w:rFonts w:ascii="Times New Roman" w:eastAsia="Times New Roman" w:hAnsi="Times New Roman" w:cs="Times New Roman"/>
                <w:color w:val="000000"/>
                <w:sz w:val="24"/>
                <w:szCs w:val="24"/>
                <w:lang w:val="hr-HR" w:eastAsia="hr-HR"/>
              </w:rPr>
              <w:t>i,t</w:t>
            </w:r>
            <w:proofErr w:type="spellEnd"/>
          </w:p>
        </w:tc>
        <w:tc>
          <w:tcPr>
            <w:tcW w:w="2197" w:type="dxa"/>
            <w:vMerge w:val="restart"/>
            <w:tcBorders>
              <w:top w:val="nil"/>
              <w:left w:val="nil"/>
              <w:bottom w:val="nil"/>
              <w:right w:val="nil"/>
            </w:tcBorders>
            <w:vAlign w:val="center"/>
            <w:hideMark/>
          </w:tcPr>
          <w:p w14:paraId="405FEB75"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Konstanta</w:t>
            </w:r>
          </w:p>
        </w:tc>
        <w:tc>
          <w:tcPr>
            <w:tcW w:w="2500" w:type="dxa"/>
            <w:tcBorders>
              <w:top w:val="nil"/>
              <w:left w:val="nil"/>
              <w:bottom w:val="nil"/>
              <w:right w:val="nil"/>
            </w:tcBorders>
            <w:vAlign w:val="center"/>
            <w:hideMark/>
          </w:tcPr>
          <w:p w14:paraId="3AD8B548"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 xml:space="preserve">Koeficijent </w:t>
            </w:r>
          </w:p>
        </w:tc>
        <w:tc>
          <w:tcPr>
            <w:tcW w:w="2015" w:type="dxa"/>
            <w:tcBorders>
              <w:top w:val="nil"/>
              <w:left w:val="nil"/>
              <w:bottom w:val="nil"/>
              <w:right w:val="single" w:sz="8" w:space="0" w:color="auto"/>
            </w:tcBorders>
            <w:vAlign w:val="center"/>
            <w:hideMark/>
          </w:tcPr>
          <w:p w14:paraId="26AF611A"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0,232672</w:t>
            </w:r>
          </w:p>
        </w:tc>
      </w:tr>
      <w:tr w:rsidR="006F38EA" w:rsidRPr="00671AEE" w14:paraId="21470D45" w14:textId="77777777" w:rsidTr="006F38EA">
        <w:trPr>
          <w:trHeight w:val="455"/>
        </w:trPr>
        <w:tc>
          <w:tcPr>
            <w:tcW w:w="1653" w:type="dxa"/>
            <w:vMerge/>
            <w:tcBorders>
              <w:top w:val="nil"/>
              <w:left w:val="single" w:sz="8" w:space="0" w:color="auto"/>
              <w:bottom w:val="nil"/>
              <w:right w:val="nil"/>
            </w:tcBorders>
            <w:vAlign w:val="center"/>
            <w:hideMark/>
          </w:tcPr>
          <w:p w14:paraId="220E99C7" w14:textId="77777777" w:rsidR="00671AEE" w:rsidRPr="00671AEE" w:rsidRDefault="00671AEE" w:rsidP="00671AEE">
            <w:pPr>
              <w:spacing w:line="240" w:lineRule="auto"/>
              <w:rPr>
                <w:rFonts w:ascii="Times New Roman" w:eastAsia="Times New Roman" w:hAnsi="Times New Roman" w:cs="Times New Roman"/>
                <w:color w:val="000000"/>
                <w:sz w:val="24"/>
                <w:szCs w:val="24"/>
                <w:lang w:val="hr-HR" w:eastAsia="hr-HR"/>
              </w:rPr>
            </w:pPr>
          </w:p>
        </w:tc>
        <w:tc>
          <w:tcPr>
            <w:tcW w:w="2197" w:type="dxa"/>
            <w:vMerge/>
            <w:tcBorders>
              <w:top w:val="nil"/>
              <w:left w:val="nil"/>
              <w:bottom w:val="nil"/>
              <w:right w:val="nil"/>
            </w:tcBorders>
            <w:vAlign w:val="center"/>
            <w:hideMark/>
          </w:tcPr>
          <w:p w14:paraId="252E220A"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500" w:type="dxa"/>
            <w:tcBorders>
              <w:top w:val="nil"/>
              <w:left w:val="nil"/>
              <w:bottom w:val="nil"/>
              <w:right w:val="nil"/>
            </w:tcBorders>
            <w:vAlign w:val="center"/>
            <w:hideMark/>
          </w:tcPr>
          <w:p w14:paraId="75DC9CB1"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p-vrijednost</w:t>
            </w:r>
          </w:p>
        </w:tc>
        <w:tc>
          <w:tcPr>
            <w:tcW w:w="2015" w:type="dxa"/>
            <w:tcBorders>
              <w:top w:val="nil"/>
              <w:left w:val="nil"/>
              <w:bottom w:val="nil"/>
              <w:right w:val="single" w:sz="4" w:space="0" w:color="auto"/>
            </w:tcBorders>
            <w:noWrap/>
            <w:vAlign w:val="bottom"/>
            <w:hideMark/>
          </w:tcPr>
          <w:p w14:paraId="2B7421F2" w14:textId="77777777" w:rsidR="00671AEE" w:rsidRPr="00671AEE" w:rsidRDefault="00671AEE" w:rsidP="00671AEE">
            <w:pPr>
              <w:spacing w:line="240" w:lineRule="auto"/>
              <w:jc w:val="right"/>
              <w:rPr>
                <w:rFonts w:ascii="Aptos Narrow" w:eastAsia="Times New Roman" w:hAnsi="Aptos Narrow" w:cs="Times New Roman"/>
                <w:color w:val="000000"/>
                <w:lang w:val="hr-HR" w:eastAsia="hr-HR"/>
              </w:rPr>
            </w:pPr>
            <w:r w:rsidRPr="00671AEE">
              <w:rPr>
                <w:rFonts w:ascii="Aptos Narrow" w:eastAsia="Times New Roman" w:hAnsi="Aptos Narrow" w:cs="Times New Roman"/>
                <w:color w:val="000000"/>
                <w:lang w:val="hr-HR" w:eastAsia="hr-HR"/>
              </w:rPr>
              <w:t>0,0000</w:t>
            </w:r>
          </w:p>
        </w:tc>
      </w:tr>
      <w:tr w:rsidR="006F38EA" w:rsidRPr="00671AEE" w14:paraId="2C1C6A86" w14:textId="77777777" w:rsidTr="006F38EA">
        <w:trPr>
          <w:trHeight w:val="874"/>
        </w:trPr>
        <w:tc>
          <w:tcPr>
            <w:tcW w:w="1653" w:type="dxa"/>
            <w:vMerge w:val="restart"/>
            <w:tcBorders>
              <w:top w:val="nil"/>
              <w:left w:val="single" w:sz="8" w:space="0" w:color="auto"/>
              <w:bottom w:val="nil"/>
              <w:right w:val="nil"/>
            </w:tcBorders>
            <w:vAlign w:val="center"/>
            <w:hideMark/>
          </w:tcPr>
          <w:p w14:paraId="3DD4C710"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DER</w:t>
            </w:r>
          </w:p>
        </w:tc>
        <w:tc>
          <w:tcPr>
            <w:tcW w:w="2197" w:type="dxa"/>
            <w:vMerge w:val="restart"/>
            <w:tcBorders>
              <w:top w:val="nil"/>
              <w:left w:val="nil"/>
              <w:bottom w:val="nil"/>
              <w:right w:val="nil"/>
            </w:tcBorders>
            <w:vAlign w:val="center"/>
            <w:hideMark/>
          </w:tcPr>
          <w:p w14:paraId="26E59717"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Nezavisna varijabla</w:t>
            </w:r>
          </w:p>
        </w:tc>
        <w:tc>
          <w:tcPr>
            <w:tcW w:w="2500" w:type="dxa"/>
            <w:tcBorders>
              <w:top w:val="nil"/>
              <w:left w:val="nil"/>
              <w:bottom w:val="nil"/>
              <w:right w:val="nil"/>
            </w:tcBorders>
            <w:vAlign w:val="center"/>
            <w:hideMark/>
          </w:tcPr>
          <w:p w14:paraId="50E224DF"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Koeficijent (ß)</w:t>
            </w:r>
          </w:p>
        </w:tc>
        <w:tc>
          <w:tcPr>
            <w:tcW w:w="2015" w:type="dxa"/>
            <w:tcBorders>
              <w:top w:val="nil"/>
              <w:left w:val="nil"/>
              <w:bottom w:val="nil"/>
              <w:right w:val="single" w:sz="8" w:space="0" w:color="auto"/>
            </w:tcBorders>
            <w:vAlign w:val="center"/>
            <w:hideMark/>
          </w:tcPr>
          <w:p w14:paraId="0EAD5ED9"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-0,00161</w:t>
            </w:r>
          </w:p>
        </w:tc>
      </w:tr>
      <w:tr w:rsidR="006F38EA" w:rsidRPr="00671AEE" w14:paraId="4AAFE1E4" w14:textId="77777777" w:rsidTr="006F38EA">
        <w:trPr>
          <w:trHeight w:val="455"/>
        </w:trPr>
        <w:tc>
          <w:tcPr>
            <w:tcW w:w="1653" w:type="dxa"/>
            <w:vMerge/>
            <w:tcBorders>
              <w:top w:val="nil"/>
              <w:left w:val="single" w:sz="8" w:space="0" w:color="auto"/>
              <w:bottom w:val="nil"/>
              <w:right w:val="nil"/>
            </w:tcBorders>
            <w:vAlign w:val="center"/>
            <w:hideMark/>
          </w:tcPr>
          <w:p w14:paraId="592F594A"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197" w:type="dxa"/>
            <w:vMerge/>
            <w:tcBorders>
              <w:top w:val="nil"/>
              <w:left w:val="nil"/>
              <w:bottom w:val="nil"/>
              <w:right w:val="nil"/>
            </w:tcBorders>
            <w:vAlign w:val="center"/>
            <w:hideMark/>
          </w:tcPr>
          <w:p w14:paraId="08815815"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500" w:type="dxa"/>
            <w:tcBorders>
              <w:top w:val="nil"/>
              <w:left w:val="nil"/>
              <w:bottom w:val="nil"/>
              <w:right w:val="nil"/>
            </w:tcBorders>
            <w:vAlign w:val="center"/>
            <w:hideMark/>
          </w:tcPr>
          <w:p w14:paraId="651CDC31"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nil"/>
              <w:right w:val="single" w:sz="4" w:space="0" w:color="auto"/>
            </w:tcBorders>
            <w:noWrap/>
            <w:vAlign w:val="bottom"/>
            <w:hideMark/>
          </w:tcPr>
          <w:p w14:paraId="1F383758" w14:textId="77777777" w:rsidR="00671AEE" w:rsidRPr="00671AEE" w:rsidRDefault="00671AEE" w:rsidP="00671AEE">
            <w:pPr>
              <w:spacing w:line="240" w:lineRule="auto"/>
              <w:jc w:val="right"/>
              <w:rPr>
                <w:rFonts w:ascii="Aptos Narrow" w:eastAsia="Times New Roman" w:hAnsi="Aptos Narrow" w:cs="Times New Roman"/>
                <w:color w:val="000000"/>
                <w:lang w:val="hr-HR" w:eastAsia="hr-HR"/>
              </w:rPr>
            </w:pPr>
            <w:r w:rsidRPr="00671AEE">
              <w:rPr>
                <w:rFonts w:ascii="Aptos Narrow" w:eastAsia="Times New Roman" w:hAnsi="Aptos Narrow" w:cs="Times New Roman"/>
                <w:color w:val="000000"/>
                <w:lang w:val="hr-HR" w:eastAsia="hr-HR"/>
              </w:rPr>
              <w:t>0,0000</w:t>
            </w:r>
          </w:p>
        </w:tc>
      </w:tr>
      <w:tr w:rsidR="006F38EA" w:rsidRPr="00671AEE" w14:paraId="4F64A250" w14:textId="77777777" w:rsidTr="006F38EA">
        <w:trPr>
          <w:trHeight w:val="874"/>
        </w:trPr>
        <w:tc>
          <w:tcPr>
            <w:tcW w:w="1653" w:type="dxa"/>
            <w:vMerge w:val="restart"/>
            <w:tcBorders>
              <w:top w:val="nil"/>
              <w:left w:val="single" w:sz="8" w:space="0" w:color="auto"/>
              <w:bottom w:val="nil"/>
              <w:right w:val="nil"/>
            </w:tcBorders>
            <w:vAlign w:val="center"/>
            <w:hideMark/>
          </w:tcPr>
          <w:p w14:paraId="5879C723"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ROA</w:t>
            </w:r>
          </w:p>
        </w:tc>
        <w:tc>
          <w:tcPr>
            <w:tcW w:w="2197" w:type="dxa"/>
            <w:vMerge w:val="restart"/>
            <w:tcBorders>
              <w:top w:val="nil"/>
              <w:left w:val="nil"/>
              <w:bottom w:val="nil"/>
              <w:right w:val="nil"/>
            </w:tcBorders>
            <w:vAlign w:val="center"/>
            <w:hideMark/>
          </w:tcPr>
          <w:p w14:paraId="52D9655A"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Nezavisna varijabla</w:t>
            </w:r>
          </w:p>
        </w:tc>
        <w:tc>
          <w:tcPr>
            <w:tcW w:w="2500" w:type="dxa"/>
            <w:tcBorders>
              <w:top w:val="nil"/>
              <w:left w:val="nil"/>
              <w:bottom w:val="nil"/>
              <w:right w:val="nil"/>
            </w:tcBorders>
            <w:vAlign w:val="center"/>
            <w:hideMark/>
          </w:tcPr>
          <w:p w14:paraId="79120D27"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Koeficijent (ß)</w:t>
            </w:r>
          </w:p>
        </w:tc>
        <w:tc>
          <w:tcPr>
            <w:tcW w:w="2015" w:type="dxa"/>
            <w:tcBorders>
              <w:top w:val="nil"/>
              <w:left w:val="nil"/>
              <w:bottom w:val="nil"/>
              <w:right w:val="single" w:sz="8" w:space="0" w:color="auto"/>
            </w:tcBorders>
            <w:vAlign w:val="center"/>
            <w:hideMark/>
          </w:tcPr>
          <w:p w14:paraId="448F7ABE"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-0,00012</w:t>
            </w:r>
          </w:p>
        </w:tc>
      </w:tr>
      <w:tr w:rsidR="006F38EA" w:rsidRPr="00671AEE" w14:paraId="543BFEC8" w14:textId="77777777" w:rsidTr="006F38EA">
        <w:trPr>
          <w:trHeight w:val="455"/>
        </w:trPr>
        <w:tc>
          <w:tcPr>
            <w:tcW w:w="1653" w:type="dxa"/>
            <w:vMerge/>
            <w:tcBorders>
              <w:top w:val="nil"/>
              <w:left w:val="single" w:sz="8" w:space="0" w:color="auto"/>
              <w:bottom w:val="nil"/>
              <w:right w:val="nil"/>
            </w:tcBorders>
            <w:vAlign w:val="center"/>
            <w:hideMark/>
          </w:tcPr>
          <w:p w14:paraId="62B3C85A"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197" w:type="dxa"/>
            <w:vMerge/>
            <w:tcBorders>
              <w:top w:val="nil"/>
              <w:left w:val="nil"/>
              <w:bottom w:val="nil"/>
              <w:right w:val="nil"/>
            </w:tcBorders>
            <w:vAlign w:val="center"/>
            <w:hideMark/>
          </w:tcPr>
          <w:p w14:paraId="261A171D"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500" w:type="dxa"/>
            <w:tcBorders>
              <w:top w:val="nil"/>
              <w:left w:val="nil"/>
              <w:bottom w:val="nil"/>
              <w:right w:val="nil"/>
            </w:tcBorders>
            <w:vAlign w:val="center"/>
            <w:hideMark/>
          </w:tcPr>
          <w:p w14:paraId="51F57506"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nil"/>
              <w:right w:val="single" w:sz="8" w:space="0" w:color="auto"/>
            </w:tcBorders>
            <w:vAlign w:val="center"/>
            <w:hideMark/>
          </w:tcPr>
          <w:p w14:paraId="50973794"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0,0000</w:t>
            </w:r>
          </w:p>
        </w:tc>
      </w:tr>
      <w:tr w:rsidR="006F38EA" w:rsidRPr="00671AEE" w14:paraId="1ECEDE46" w14:textId="77777777" w:rsidTr="006F38EA">
        <w:trPr>
          <w:trHeight w:val="874"/>
        </w:trPr>
        <w:tc>
          <w:tcPr>
            <w:tcW w:w="1653" w:type="dxa"/>
            <w:vMerge w:val="restart"/>
            <w:tcBorders>
              <w:top w:val="nil"/>
              <w:left w:val="single" w:sz="8" w:space="0" w:color="auto"/>
              <w:bottom w:val="nil"/>
              <w:right w:val="nil"/>
            </w:tcBorders>
            <w:vAlign w:val="center"/>
            <w:hideMark/>
          </w:tcPr>
          <w:p w14:paraId="1CAA2C94"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ROE</w:t>
            </w:r>
          </w:p>
        </w:tc>
        <w:tc>
          <w:tcPr>
            <w:tcW w:w="2197" w:type="dxa"/>
            <w:vMerge w:val="restart"/>
            <w:tcBorders>
              <w:top w:val="nil"/>
              <w:left w:val="nil"/>
              <w:bottom w:val="nil"/>
              <w:right w:val="nil"/>
            </w:tcBorders>
            <w:vAlign w:val="center"/>
            <w:hideMark/>
          </w:tcPr>
          <w:p w14:paraId="477CEF26"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Nezavisna varijabla</w:t>
            </w:r>
          </w:p>
        </w:tc>
        <w:tc>
          <w:tcPr>
            <w:tcW w:w="2500" w:type="dxa"/>
            <w:tcBorders>
              <w:top w:val="nil"/>
              <w:left w:val="nil"/>
              <w:bottom w:val="nil"/>
              <w:right w:val="nil"/>
            </w:tcBorders>
            <w:vAlign w:val="center"/>
            <w:hideMark/>
          </w:tcPr>
          <w:p w14:paraId="1EEF664A"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Koeficijent (ß)</w:t>
            </w:r>
          </w:p>
        </w:tc>
        <w:tc>
          <w:tcPr>
            <w:tcW w:w="2015" w:type="dxa"/>
            <w:tcBorders>
              <w:top w:val="nil"/>
              <w:left w:val="nil"/>
              <w:bottom w:val="nil"/>
              <w:right w:val="single" w:sz="8" w:space="0" w:color="auto"/>
            </w:tcBorders>
            <w:vAlign w:val="center"/>
            <w:hideMark/>
          </w:tcPr>
          <w:p w14:paraId="6133E46C"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-0,00023</w:t>
            </w:r>
          </w:p>
        </w:tc>
      </w:tr>
      <w:tr w:rsidR="006F38EA" w:rsidRPr="00671AEE" w14:paraId="6B416E2E" w14:textId="77777777" w:rsidTr="006F38EA">
        <w:trPr>
          <w:trHeight w:val="455"/>
        </w:trPr>
        <w:tc>
          <w:tcPr>
            <w:tcW w:w="1653" w:type="dxa"/>
            <w:vMerge/>
            <w:tcBorders>
              <w:top w:val="nil"/>
              <w:left w:val="single" w:sz="8" w:space="0" w:color="auto"/>
              <w:bottom w:val="nil"/>
              <w:right w:val="nil"/>
            </w:tcBorders>
            <w:vAlign w:val="center"/>
            <w:hideMark/>
          </w:tcPr>
          <w:p w14:paraId="0131F182"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197" w:type="dxa"/>
            <w:vMerge/>
            <w:tcBorders>
              <w:top w:val="nil"/>
              <w:left w:val="nil"/>
              <w:bottom w:val="nil"/>
              <w:right w:val="nil"/>
            </w:tcBorders>
            <w:vAlign w:val="center"/>
            <w:hideMark/>
          </w:tcPr>
          <w:p w14:paraId="740AC60A"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500" w:type="dxa"/>
            <w:tcBorders>
              <w:top w:val="nil"/>
              <w:left w:val="nil"/>
              <w:bottom w:val="nil"/>
              <w:right w:val="nil"/>
            </w:tcBorders>
            <w:vAlign w:val="center"/>
            <w:hideMark/>
          </w:tcPr>
          <w:p w14:paraId="5C5C6837"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nil"/>
              <w:right w:val="single" w:sz="8" w:space="0" w:color="auto"/>
            </w:tcBorders>
            <w:vAlign w:val="center"/>
            <w:hideMark/>
          </w:tcPr>
          <w:p w14:paraId="6016F1A7"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0,0000</w:t>
            </w:r>
          </w:p>
        </w:tc>
      </w:tr>
      <w:tr w:rsidR="006F38EA" w:rsidRPr="00671AEE" w14:paraId="34A03876" w14:textId="77777777" w:rsidTr="006F38EA">
        <w:trPr>
          <w:trHeight w:val="874"/>
        </w:trPr>
        <w:tc>
          <w:tcPr>
            <w:tcW w:w="1653" w:type="dxa"/>
            <w:vMerge w:val="restart"/>
            <w:tcBorders>
              <w:top w:val="nil"/>
              <w:left w:val="single" w:sz="8" w:space="0" w:color="auto"/>
              <w:bottom w:val="nil"/>
              <w:right w:val="nil"/>
            </w:tcBorders>
            <w:vAlign w:val="center"/>
            <w:hideMark/>
          </w:tcPr>
          <w:p w14:paraId="482CC4BC"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KI</w:t>
            </w:r>
          </w:p>
        </w:tc>
        <w:tc>
          <w:tcPr>
            <w:tcW w:w="2197" w:type="dxa"/>
            <w:vMerge w:val="restart"/>
            <w:tcBorders>
              <w:top w:val="nil"/>
              <w:left w:val="nil"/>
              <w:bottom w:val="nil"/>
              <w:right w:val="nil"/>
            </w:tcBorders>
            <w:vAlign w:val="center"/>
            <w:hideMark/>
          </w:tcPr>
          <w:p w14:paraId="78843B08"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Nezavisna varijabla</w:t>
            </w:r>
          </w:p>
        </w:tc>
        <w:tc>
          <w:tcPr>
            <w:tcW w:w="2500" w:type="dxa"/>
            <w:tcBorders>
              <w:top w:val="nil"/>
              <w:left w:val="nil"/>
              <w:bottom w:val="nil"/>
              <w:right w:val="nil"/>
            </w:tcBorders>
            <w:vAlign w:val="center"/>
            <w:hideMark/>
          </w:tcPr>
          <w:p w14:paraId="03D9A0D7"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Koeficijent (ß)</w:t>
            </w:r>
          </w:p>
        </w:tc>
        <w:tc>
          <w:tcPr>
            <w:tcW w:w="2015" w:type="dxa"/>
            <w:tcBorders>
              <w:top w:val="nil"/>
              <w:left w:val="nil"/>
              <w:bottom w:val="nil"/>
              <w:right w:val="single" w:sz="8" w:space="0" w:color="auto"/>
            </w:tcBorders>
            <w:vAlign w:val="center"/>
            <w:hideMark/>
          </w:tcPr>
          <w:p w14:paraId="4EFC0031"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2,35E-06</w:t>
            </w:r>
          </w:p>
        </w:tc>
      </w:tr>
      <w:tr w:rsidR="006F38EA" w:rsidRPr="00671AEE" w14:paraId="59A7EE88" w14:textId="77777777" w:rsidTr="006F38EA">
        <w:trPr>
          <w:trHeight w:val="455"/>
        </w:trPr>
        <w:tc>
          <w:tcPr>
            <w:tcW w:w="1653" w:type="dxa"/>
            <w:vMerge/>
            <w:tcBorders>
              <w:top w:val="nil"/>
              <w:left w:val="single" w:sz="8" w:space="0" w:color="auto"/>
              <w:bottom w:val="nil"/>
              <w:right w:val="nil"/>
            </w:tcBorders>
            <w:vAlign w:val="center"/>
            <w:hideMark/>
          </w:tcPr>
          <w:p w14:paraId="01A2C67C"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197" w:type="dxa"/>
            <w:vMerge/>
            <w:tcBorders>
              <w:top w:val="nil"/>
              <w:left w:val="nil"/>
              <w:bottom w:val="nil"/>
              <w:right w:val="nil"/>
            </w:tcBorders>
            <w:vAlign w:val="center"/>
            <w:hideMark/>
          </w:tcPr>
          <w:p w14:paraId="5CA53EB0"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500" w:type="dxa"/>
            <w:tcBorders>
              <w:top w:val="nil"/>
              <w:left w:val="nil"/>
              <w:bottom w:val="nil"/>
              <w:right w:val="nil"/>
            </w:tcBorders>
            <w:vAlign w:val="center"/>
            <w:hideMark/>
          </w:tcPr>
          <w:p w14:paraId="4A62D642"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nil"/>
              <w:right w:val="single" w:sz="8" w:space="0" w:color="auto"/>
            </w:tcBorders>
            <w:vAlign w:val="center"/>
            <w:hideMark/>
          </w:tcPr>
          <w:p w14:paraId="4CC26BA1"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0,0772</w:t>
            </w:r>
          </w:p>
        </w:tc>
      </w:tr>
      <w:tr w:rsidR="006F38EA" w:rsidRPr="00671AEE" w14:paraId="357DCE72" w14:textId="77777777" w:rsidTr="006F38EA">
        <w:trPr>
          <w:trHeight w:val="874"/>
        </w:trPr>
        <w:tc>
          <w:tcPr>
            <w:tcW w:w="1653" w:type="dxa"/>
            <w:vMerge w:val="restart"/>
            <w:tcBorders>
              <w:top w:val="nil"/>
              <w:left w:val="single" w:sz="8" w:space="0" w:color="auto"/>
              <w:bottom w:val="nil"/>
              <w:right w:val="nil"/>
            </w:tcBorders>
            <w:vAlign w:val="center"/>
            <w:hideMark/>
          </w:tcPr>
          <w:p w14:paraId="1A76B897"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PP</w:t>
            </w:r>
          </w:p>
        </w:tc>
        <w:tc>
          <w:tcPr>
            <w:tcW w:w="2197" w:type="dxa"/>
            <w:vMerge w:val="restart"/>
            <w:tcBorders>
              <w:top w:val="nil"/>
              <w:left w:val="nil"/>
              <w:bottom w:val="nil"/>
              <w:right w:val="nil"/>
            </w:tcBorders>
            <w:vAlign w:val="center"/>
            <w:hideMark/>
          </w:tcPr>
          <w:p w14:paraId="579442E2"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Nezavisna varijabla</w:t>
            </w:r>
          </w:p>
        </w:tc>
        <w:tc>
          <w:tcPr>
            <w:tcW w:w="2500" w:type="dxa"/>
            <w:tcBorders>
              <w:top w:val="nil"/>
              <w:left w:val="nil"/>
              <w:bottom w:val="nil"/>
              <w:right w:val="nil"/>
            </w:tcBorders>
            <w:vAlign w:val="center"/>
            <w:hideMark/>
          </w:tcPr>
          <w:p w14:paraId="6DD6C39F"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Koeficijent (ß)</w:t>
            </w:r>
          </w:p>
        </w:tc>
        <w:tc>
          <w:tcPr>
            <w:tcW w:w="2015" w:type="dxa"/>
            <w:tcBorders>
              <w:top w:val="nil"/>
              <w:left w:val="nil"/>
              <w:bottom w:val="nil"/>
              <w:right w:val="single" w:sz="8" w:space="0" w:color="auto"/>
            </w:tcBorders>
            <w:vAlign w:val="center"/>
            <w:hideMark/>
          </w:tcPr>
          <w:p w14:paraId="631B9DB3"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-9,48E-09</w:t>
            </w:r>
          </w:p>
        </w:tc>
      </w:tr>
      <w:tr w:rsidR="006F38EA" w:rsidRPr="00671AEE" w14:paraId="723614D7" w14:textId="77777777" w:rsidTr="006F38EA">
        <w:trPr>
          <w:trHeight w:val="473"/>
        </w:trPr>
        <w:tc>
          <w:tcPr>
            <w:tcW w:w="1653" w:type="dxa"/>
            <w:vMerge/>
            <w:tcBorders>
              <w:top w:val="nil"/>
              <w:left w:val="single" w:sz="8" w:space="0" w:color="auto"/>
              <w:bottom w:val="nil"/>
              <w:right w:val="nil"/>
            </w:tcBorders>
            <w:vAlign w:val="center"/>
            <w:hideMark/>
          </w:tcPr>
          <w:p w14:paraId="3665ACE7"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197" w:type="dxa"/>
            <w:vMerge/>
            <w:tcBorders>
              <w:top w:val="nil"/>
              <w:left w:val="nil"/>
              <w:bottom w:val="nil"/>
              <w:right w:val="nil"/>
            </w:tcBorders>
            <w:vAlign w:val="center"/>
            <w:hideMark/>
          </w:tcPr>
          <w:p w14:paraId="75A6EA50" w14:textId="77777777" w:rsidR="00671AEE" w:rsidRPr="00671AEE" w:rsidRDefault="00671AEE" w:rsidP="00671AEE">
            <w:pPr>
              <w:spacing w:line="240" w:lineRule="auto"/>
              <w:rPr>
                <w:rFonts w:ascii="Times New Roman" w:eastAsia="Times New Roman" w:hAnsi="Times New Roman" w:cs="Times New Roman"/>
                <w:color w:val="000000"/>
                <w:lang w:val="hr-HR" w:eastAsia="hr-HR"/>
              </w:rPr>
            </w:pPr>
          </w:p>
        </w:tc>
        <w:tc>
          <w:tcPr>
            <w:tcW w:w="2500" w:type="dxa"/>
            <w:tcBorders>
              <w:top w:val="nil"/>
              <w:left w:val="nil"/>
              <w:bottom w:val="nil"/>
              <w:right w:val="nil"/>
            </w:tcBorders>
            <w:vAlign w:val="center"/>
            <w:hideMark/>
          </w:tcPr>
          <w:p w14:paraId="1F77FB72"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single" w:sz="8" w:space="0" w:color="auto"/>
              <w:right w:val="single" w:sz="8" w:space="0" w:color="auto"/>
            </w:tcBorders>
            <w:vAlign w:val="center"/>
            <w:hideMark/>
          </w:tcPr>
          <w:p w14:paraId="58F60BF8"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0,0000</w:t>
            </w:r>
          </w:p>
        </w:tc>
      </w:tr>
      <w:tr w:rsidR="00671AEE" w:rsidRPr="00671AEE" w14:paraId="76C4C299" w14:textId="77777777" w:rsidTr="006F38EA">
        <w:trPr>
          <w:trHeight w:val="455"/>
        </w:trPr>
        <w:tc>
          <w:tcPr>
            <w:tcW w:w="6351" w:type="dxa"/>
            <w:gridSpan w:val="3"/>
            <w:tcBorders>
              <w:top w:val="single" w:sz="8" w:space="0" w:color="auto"/>
              <w:left w:val="single" w:sz="8" w:space="0" w:color="auto"/>
              <w:bottom w:val="nil"/>
              <w:right w:val="nil"/>
            </w:tcBorders>
            <w:vAlign w:val="center"/>
            <w:hideMark/>
          </w:tcPr>
          <w:p w14:paraId="1FCA5D97"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lastRenderedPageBreak/>
              <w:t>Broj opažanja</w:t>
            </w:r>
          </w:p>
        </w:tc>
        <w:tc>
          <w:tcPr>
            <w:tcW w:w="2015" w:type="dxa"/>
            <w:tcBorders>
              <w:top w:val="nil"/>
              <w:left w:val="nil"/>
              <w:bottom w:val="nil"/>
              <w:right w:val="single" w:sz="8" w:space="0" w:color="auto"/>
            </w:tcBorders>
            <w:vAlign w:val="center"/>
            <w:hideMark/>
          </w:tcPr>
          <w:p w14:paraId="31752979"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2254</w:t>
            </w:r>
          </w:p>
        </w:tc>
      </w:tr>
      <w:tr w:rsidR="00671AEE" w:rsidRPr="00671AEE" w14:paraId="1EA99DD1" w14:textId="77777777" w:rsidTr="006F38EA">
        <w:trPr>
          <w:trHeight w:val="455"/>
        </w:trPr>
        <w:tc>
          <w:tcPr>
            <w:tcW w:w="6351" w:type="dxa"/>
            <w:gridSpan w:val="3"/>
            <w:tcBorders>
              <w:top w:val="nil"/>
              <w:left w:val="single" w:sz="8" w:space="0" w:color="auto"/>
              <w:bottom w:val="nil"/>
              <w:right w:val="nil"/>
            </w:tcBorders>
            <w:vAlign w:val="center"/>
            <w:hideMark/>
          </w:tcPr>
          <w:p w14:paraId="756A57E6"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Broj poduzeća</w:t>
            </w:r>
          </w:p>
        </w:tc>
        <w:tc>
          <w:tcPr>
            <w:tcW w:w="2015" w:type="dxa"/>
            <w:tcBorders>
              <w:top w:val="nil"/>
              <w:left w:val="nil"/>
              <w:bottom w:val="nil"/>
              <w:right w:val="single" w:sz="8" w:space="0" w:color="auto"/>
            </w:tcBorders>
            <w:vAlign w:val="center"/>
            <w:hideMark/>
          </w:tcPr>
          <w:p w14:paraId="0BBAF730"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161</w:t>
            </w:r>
          </w:p>
        </w:tc>
      </w:tr>
      <w:tr w:rsidR="00671AEE" w:rsidRPr="00671AEE" w14:paraId="10D2545B" w14:textId="77777777" w:rsidTr="006F38EA">
        <w:trPr>
          <w:trHeight w:val="455"/>
        </w:trPr>
        <w:tc>
          <w:tcPr>
            <w:tcW w:w="3850" w:type="dxa"/>
            <w:gridSpan w:val="2"/>
            <w:tcBorders>
              <w:top w:val="nil"/>
              <w:left w:val="single" w:sz="8" w:space="0" w:color="auto"/>
              <w:bottom w:val="nil"/>
              <w:right w:val="nil"/>
            </w:tcBorders>
            <w:vAlign w:val="center"/>
            <w:hideMark/>
          </w:tcPr>
          <w:p w14:paraId="6C18294C"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J-</w:t>
            </w:r>
            <w:proofErr w:type="spellStart"/>
            <w:r w:rsidRPr="00671AEE">
              <w:rPr>
                <w:rFonts w:ascii="Times New Roman" w:eastAsia="Times New Roman" w:hAnsi="Times New Roman" w:cs="Times New Roman"/>
                <w:color w:val="000000"/>
                <w:szCs w:val="24"/>
                <w:lang w:val="hr-HR" w:eastAsia="hr-HR"/>
              </w:rPr>
              <w:t>statistic</w:t>
            </w:r>
            <w:proofErr w:type="spellEnd"/>
          </w:p>
        </w:tc>
        <w:tc>
          <w:tcPr>
            <w:tcW w:w="2500" w:type="dxa"/>
            <w:tcBorders>
              <w:top w:val="nil"/>
              <w:left w:val="nil"/>
              <w:bottom w:val="nil"/>
              <w:right w:val="nil"/>
            </w:tcBorders>
            <w:vAlign w:val="center"/>
            <w:hideMark/>
          </w:tcPr>
          <w:p w14:paraId="75F548A9"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nil"/>
              <w:right w:val="single" w:sz="8" w:space="0" w:color="auto"/>
            </w:tcBorders>
            <w:vAlign w:val="center"/>
            <w:hideMark/>
          </w:tcPr>
          <w:p w14:paraId="5DF16591"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0,176308</w:t>
            </w:r>
          </w:p>
        </w:tc>
      </w:tr>
      <w:tr w:rsidR="00671AEE" w:rsidRPr="00671AEE" w14:paraId="68E09E65" w14:textId="77777777" w:rsidTr="006F38EA">
        <w:trPr>
          <w:trHeight w:val="455"/>
        </w:trPr>
        <w:tc>
          <w:tcPr>
            <w:tcW w:w="3850" w:type="dxa"/>
            <w:gridSpan w:val="2"/>
            <w:tcBorders>
              <w:top w:val="nil"/>
              <w:left w:val="single" w:sz="8" w:space="0" w:color="auto"/>
              <w:bottom w:val="nil"/>
              <w:right w:val="nil"/>
            </w:tcBorders>
            <w:vAlign w:val="center"/>
            <w:hideMark/>
          </w:tcPr>
          <w:p w14:paraId="6FFAD104"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proofErr w:type="spellStart"/>
            <w:r w:rsidRPr="00671AEE">
              <w:rPr>
                <w:rFonts w:ascii="Times New Roman" w:eastAsia="Times New Roman" w:hAnsi="Times New Roman" w:cs="Times New Roman"/>
                <w:color w:val="000000"/>
                <w:szCs w:val="24"/>
                <w:lang w:val="hr-HR" w:eastAsia="hr-HR"/>
              </w:rPr>
              <w:t>Arellano</w:t>
            </w:r>
            <w:proofErr w:type="spellEnd"/>
            <w:r w:rsidRPr="00671AEE">
              <w:rPr>
                <w:rFonts w:ascii="Times New Roman" w:eastAsia="Times New Roman" w:hAnsi="Times New Roman" w:cs="Times New Roman"/>
                <w:color w:val="000000"/>
                <w:szCs w:val="24"/>
                <w:lang w:val="hr-HR" w:eastAsia="hr-HR"/>
              </w:rPr>
              <w:t>-Bond test AR (1)</w:t>
            </w:r>
          </w:p>
        </w:tc>
        <w:tc>
          <w:tcPr>
            <w:tcW w:w="2500" w:type="dxa"/>
            <w:tcBorders>
              <w:top w:val="nil"/>
              <w:left w:val="nil"/>
              <w:bottom w:val="nil"/>
              <w:right w:val="nil"/>
            </w:tcBorders>
            <w:vAlign w:val="center"/>
            <w:hideMark/>
          </w:tcPr>
          <w:p w14:paraId="04317BDF"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nil"/>
              <w:right w:val="single" w:sz="8" w:space="0" w:color="auto"/>
            </w:tcBorders>
            <w:vAlign w:val="center"/>
            <w:hideMark/>
          </w:tcPr>
          <w:p w14:paraId="7969BF66"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0,0427</w:t>
            </w:r>
          </w:p>
        </w:tc>
      </w:tr>
      <w:tr w:rsidR="00671AEE" w:rsidRPr="00671AEE" w14:paraId="3AAC7BB9" w14:textId="77777777" w:rsidTr="006F38EA">
        <w:trPr>
          <w:trHeight w:val="473"/>
        </w:trPr>
        <w:tc>
          <w:tcPr>
            <w:tcW w:w="3850" w:type="dxa"/>
            <w:gridSpan w:val="2"/>
            <w:tcBorders>
              <w:top w:val="nil"/>
              <w:left w:val="single" w:sz="8" w:space="0" w:color="auto"/>
              <w:bottom w:val="single" w:sz="8" w:space="0" w:color="auto"/>
              <w:right w:val="nil"/>
            </w:tcBorders>
            <w:vAlign w:val="center"/>
            <w:hideMark/>
          </w:tcPr>
          <w:p w14:paraId="0C2969BA"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proofErr w:type="spellStart"/>
            <w:r w:rsidRPr="00671AEE">
              <w:rPr>
                <w:rFonts w:ascii="Times New Roman" w:eastAsia="Times New Roman" w:hAnsi="Times New Roman" w:cs="Times New Roman"/>
                <w:color w:val="000000"/>
                <w:szCs w:val="24"/>
                <w:lang w:val="hr-HR" w:eastAsia="hr-HR"/>
              </w:rPr>
              <w:t>Arellano</w:t>
            </w:r>
            <w:proofErr w:type="spellEnd"/>
            <w:r w:rsidRPr="00671AEE">
              <w:rPr>
                <w:rFonts w:ascii="Times New Roman" w:eastAsia="Times New Roman" w:hAnsi="Times New Roman" w:cs="Times New Roman"/>
                <w:color w:val="000000"/>
                <w:szCs w:val="24"/>
                <w:lang w:val="hr-HR" w:eastAsia="hr-HR"/>
              </w:rPr>
              <w:t xml:space="preserve">-Bond test AR (2) </w:t>
            </w:r>
          </w:p>
        </w:tc>
        <w:tc>
          <w:tcPr>
            <w:tcW w:w="2500" w:type="dxa"/>
            <w:tcBorders>
              <w:top w:val="nil"/>
              <w:left w:val="nil"/>
              <w:bottom w:val="single" w:sz="8" w:space="0" w:color="auto"/>
              <w:right w:val="nil"/>
            </w:tcBorders>
            <w:vAlign w:val="center"/>
            <w:hideMark/>
          </w:tcPr>
          <w:p w14:paraId="2BC9C0AA" w14:textId="77777777" w:rsidR="00671AEE" w:rsidRPr="00671AEE" w:rsidRDefault="00671AEE" w:rsidP="00671AEE">
            <w:pPr>
              <w:spacing w:line="240" w:lineRule="auto"/>
              <w:jc w:val="both"/>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szCs w:val="24"/>
                <w:lang w:val="hr-HR" w:eastAsia="hr-HR"/>
              </w:rPr>
              <w:t>p-vrijednost</w:t>
            </w:r>
          </w:p>
        </w:tc>
        <w:tc>
          <w:tcPr>
            <w:tcW w:w="2015" w:type="dxa"/>
            <w:tcBorders>
              <w:top w:val="nil"/>
              <w:left w:val="nil"/>
              <w:bottom w:val="single" w:sz="8" w:space="0" w:color="auto"/>
              <w:right w:val="single" w:sz="8" w:space="0" w:color="auto"/>
            </w:tcBorders>
            <w:vAlign w:val="center"/>
            <w:hideMark/>
          </w:tcPr>
          <w:p w14:paraId="75F10728" w14:textId="77777777" w:rsidR="00671AEE" w:rsidRPr="00671AEE" w:rsidRDefault="00671AEE" w:rsidP="00671AEE">
            <w:pPr>
              <w:spacing w:line="240" w:lineRule="auto"/>
              <w:jc w:val="right"/>
              <w:rPr>
                <w:rFonts w:ascii="Times New Roman" w:eastAsia="Times New Roman" w:hAnsi="Times New Roman" w:cs="Times New Roman"/>
                <w:color w:val="000000"/>
                <w:lang w:val="hr-HR" w:eastAsia="hr-HR"/>
              </w:rPr>
            </w:pPr>
            <w:r w:rsidRPr="00671AEE">
              <w:rPr>
                <w:rFonts w:ascii="Times New Roman" w:eastAsia="Times New Roman" w:hAnsi="Times New Roman" w:cs="Times New Roman"/>
                <w:color w:val="000000"/>
                <w:lang w:val="hr-HR" w:eastAsia="hr-HR"/>
              </w:rPr>
              <w:t>0,2807</w:t>
            </w:r>
          </w:p>
        </w:tc>
      </w:tr>
    </w:tbl>
    <w:p w14:paraId="15430997" w14:textId="77777777" w:rsidR="00B92FBB" w:rsidRDefault="00B92FBB"/>
    <w:p w14:paraId="47D39B21" w14:textId="05731EB3" w:rsidR="00B92FBB" w:rsidRDefault="008A09CC" w:rsidP="008D173A">
      <w:pPr>
        <w:pStyle w:val="Naslov3"/>
        <w:numPr>
          <w:ilvl w:val="1"/>
          <w:numId w:val="7"/>
        </w:numPr>
      </w:pPr>
      <w:bookmarkStart w:id="69" w:name="_xjwzlb5jn75o" w:colFirst="0" w:colLast="0"/>
      <w:bookmarkStart w:id="70" w:name="_Toc207275896"/>
      <w:bookmarkEnd w:id="69"/>
      <w:r>
        <w:t>Područje N - Administrativne i pomoćne uslužne djelatnosti</w:t>
      </w:r>
      <w:bookmarkEnd w:id="70"/>
    </w:p>
    <w:p w14:paraId="649A1060" w14:textId="77777777" w:rsidR="008D173A" w:rsidRPr="008D173A" w:rsidRDefault="008D173A" w:rsidP="008D173A"/>
    <w:p w14:paraId="1BF32073" w14:textId="3250D46D" w:rsidR="00B92FBB" w:rsidRDefault="008A09CC" w:rsidP="008D173A">
      <w:pPr>
        <w:pStyle w:val="Naslov4"/>
        <w:numPr>
          <w:ilvl w:val="2"/>
          <w:numId w:val="7"/>
        </w:numPr>
      </w:pPr>
      <w:bookmarkStart w:id="71" w:name="_2wd0tyf3cmh" w:colFirst="0" w:colLast="0"/>
      <w:bookmarkEnd w:id="71"/>
      <w:r>
        <w:t>Deskriptivna statistika</w:t>
      </w:r>
    </w:p>
    <w:p w14:paraId="6C9F3212" w14:textId="77777777" w:rsidR="008D173A" w:rsidRPr="008D173A" w:rsidRDefault="008D173A" w:rsidP="008D173A"/>
    <w:p w14:paraId="59309EFD" w14:textId="19757800" w:rsidR="00B92FBB" w:rsidRDefault="008A09CC">
      <w:pPr>
        <w:spacing w:line="360" w:lineRule="auto"/>
        <w:jc w:val="both"/>
      </w:pPr>
      <w:r>
        <w:t>Uzorak za sektor N obuhvaća 94 poduzeća u razdoblju od 2008. do 2023. godine. S obzirom na heterogenost djelatnosti u ovom sektoru, rezultati deskriptivne statistike pokazuju izrazitu volatilnost u gotovo svim promatranim varijablama što se može vidjeti</w:t>
      </w:r>
      <w:r w:rsidR="008A2981">
        <w:t xml:space="preserve"> na Slici 5</w:t>
      </w:r>
      <w:r>
        <w:t>.</w:t>
      </w:r>
    </w:p>
    <w:p w14:paraId="39502721" w14:textId="77777777" w:rsidR="00B92FBB" w:rsidRDefault="00B92FBB">
      <w:pPr>
        <w:spacing w:line="360" w:lineRule="auto"/>
        <w:jc w:val="both"/>
      </w:pPr>
    </w:p>
    <w:p w14:paraId="52F9E0F3" w14:textId="7EED14BD" w:rsidR="00B92FBB" w:rsidRDefault="008A09CC">
      <w:pPr>
        <w:spacing w:line="360" w:lineRule="auto"/>
        <w:jc w:val="both"/>
      </w:pPr>
      <w:r>
        <w:t xml:space="preserve">Prema </w:t>
      </w:r>
      <w:r w:rsidR="00442548">
        <w:t>Tablici</w:t>
      </w:r>
      <w:r>
        <w:t xml:space="preserve"> 1</w:t>
      </w:r>
      <w:r w:rsidR="008A2981">
        <w:t>0.</w:t>
      </w:r>
      <w:r>
        <w:t>, likvidnost (KTL) pokazuje prosječnu vrijednost od 35,39 te znatno niži medijan od 1,40. To ukazuje da većina poduzeća posluje s umjerenom razinom tekuće likvidnosti, a mali broj ekstremno likvidnih poduzeća značajno podiže prosjek. Takve visoke vrijednosti KTL-a povezane su s poduzećima koja imaju izražen sezonski karakter poslovanja ili velik udio kratkotrajne imovine u pojedinim godinama.</w:t>
      </w:r>
    </w:p>
    <w:p w14:paraId="57379A73" w14:textId="77777777" w:rsidR="00B92FBB" w:rsidRDefault="00B92FBB">
      <w:pPr>
        <w:spacing w:line="360" w:lineRule="auto"/>
        <w:jc w:val="both"/>
      </w:pPr>
    </w:p>
    <w:p w14:paraId="0B2D1542" w14:textId="68418AA6" w:rsidR="00B92FBB" w:rsidRDefault="008A09CC">
      <w:pPr>
        <w:spacing w:line="360" w:lineRule="auto"/>
        <w:jc w:val="both"/>
      </w:pPr>
      <w:r>
        <w:t xml:space="preserve">Financijska poluga (DER) bilježi prosječnu vrijednost od 4,50 i </w:t>
      </w:r>
      <w:proofErr w:type="spellStart"/>
      <w:r>
        <w:t>median</w:t>
      </w:r>
      <w:proofErr w:type="spellEnd"/>
      <w:r>
        <w:t xml:space="preserve"> 0,00. Time se ukazuje na velik broj poduzeća koja posluju bez značajnije zaduženosti, ali i na podskupinu visoko zaduženih društava. Ekstremne vrijednosti, s DER-om koji prelazi 3.000, tipične su za manja poduzeća koja financiraju rast poslovanja dugom. Negativne vrijednosti DER-a prisutne su kod poduzeća s negativnim kapitalom što sugerira akumulirane gubitke ili dugotrajne probleme s</w:t>
      </w:r>
      <w:r w:rsidR="00442548">
        <w:t>a</w:t>
      </w:r>
      <w:r>
        <w:t xml:space="preserve"> solventnošću.</w:t>
      </w:r>
    </w:p>
    <w:p w14:paraId="5B953288" w14:textId="77777777" w:rsidR="00B92FBB" w:rsidRDefault="00B92FBB">
      <w:pPr>
        <w:spacing w:line="360" w:lineRule="auto"/>
        <w:jc w:val="both"/>
      </w:pPr>
    </w:p>
    <w:p w14:paraId="05C07608" w14:textId="77777777" w:rsidR="00B92FBB" w:rsidRDefault="008A09CC">
      <w:pPr>
        <w:spacing w:line="360" w:lineRule="auto"/>
        <w:jc w:val="both"/>
      </w:pPr>
      <w:r>
        <w:t>Profitabilnost (ROA) u prosjeku iznosi 222,84, no medijan je gotovo nula (0,0099). To jasno pokazuje da ekstremne vrijednosti značajno iskrivljuju distribuciju. Pozitivni ekstremi prisutni su kod manjih poduzeća s minimalnom imovinom i visokim prihodima što multiplicira pokazatelj povrata na imovinu. S druge strane, izrazito negativne vrijednosti uočene su u godinama kada su poduzeća bilježila gubitke.</w:t>
      </w:r>
    </w:p>
    <w:p w14:paraId="437CD697" w14:textId="77777777" w:rsidR="00B92FBB" w:rsidRDefault="00B92FBB">
      <w:pPr>
        <w:spacing w:line="360" w:lineRule="auto"/>
        <w:jc w:val="both"/>
      </w:pPr>
    </w:p>
    <w:p w14:paraId="274135D9" w14:textId="77777777" w:rsidR="00B92FBB" w:rsidRDefault="008A09CC">
      <w:pPr>
        <w:spacing w:line="360" w:lineRule="auto"/>
        <w:jc w:val="both"/>
      </w:pPr>
      <w:r>
        <w:lastRenderedPageBreak/>
        <w:t>Povrat na kapital (ROE) pokazuje prosječno negativne vrijednosti (-64,26). One su odraz činjenice da dio poduzeća posluje s negativnim kapitalom, pa i relativno mali gubitak multiplicira negativan rezultat. Ekstremi u pozitivnom smjeru (preko 2.000) najčešće su povezani s poduzećima koja imaju vrlo nisku kapitalnu osnovicu, a istovremeno ostvaruju visoku dobit u određenim godinama.</w:t>
      </w:r>
    </w:p>
    <w:p w14:paraId="0BBB9B41" w14:textId="77777777" w:rsidR="00B92FBB" w:rsidRDefault="00B92FBB">
      <w:pPr>
        <w:spacing w:line="360" w:lineRule="auto"/>
        <w:jc w:val="both"/>
      </w:pPr>
    </w:p>
    <w:p w14:paraId="373FC2CA" w14:textId="77777777" w:rsidR="00B92FBB" w:rsidRDefault="008A09CC">
      <w:pPr>
        <w:spacing w:line="360" w:lineRule="auto"/>
        <w:jc w:val="both"/>
      </w:pPr>
      <w:r>
        <w:t xml:space="preserve">Kapitalna intenzivnost (KI) u prosjeku iznosi 382,51, dok je medijan znatno niži (0,0425) što ukazuje na izrazite razlike među poduzećima. Veće vrijednosti KI tipične su za poduzeća koja posjeduju značajnu dugotrajnu imovinu, npr. specijaliziranu opremu za čišćenje, </w:t>
      </w:r>
      <w:proofErr w:type="spellStart"/>
      <w:r>
        <w:t>call</w:t>
      </w:r>
      <w:proofErr w:type="spellEnd"/>
      <w:r>
        <w:t>-centar infrastrukturu ili skladišne sustave.</w:t>
      </w:r>
    </w:p>
    <w:p w14:paraId="24207F60" w14:textId="77777777" w:rsidR="00B92FBB" w:rsidRDefault="00B92FBB">
      <w:pPr>
        <w:spacing w:line="360" w:lineRule="auto"/>
        <w:jc w:val="both"/>
      </w:pPr>
    </w:p>
    <w:p w14:paraId="0DC33E00" w14:textId="77777777" w:rsidR="00B92FBB" w:rsidRDefault="008A09CC">
      <w:pPr>
        <w:spacing w:line="360" w:lineRule="auto"/>
        <w:jc w:val="both"/>
      </w:pPr>
      <w:r>
        <w:t>Postotna promjena prihoda (PP) bilježi prosječnu vrijednost od 3.626,36 te medijan nula (0,00). Time je prikazano stabilno poslovanje kod većine poduzeća, ali i nagle skokove prihoda kod manjeg broja njih. Negativne vrijednosti PP-a upućuju na pad prihoda koji je najčešće povezan s kriznim godinama poput globalne recesije (2011. - 2014.) te padom potražnje tijekom pandemije COVID-19 (2020./2021.).</w:t>
      </w:r>
    </w:p>
    <w:p w14:paraId="162E3B5A" w14:textId="77777777" w:rsidR="00B92FBB" w:rsidRDefault="00B92FBB">
      <w:pPr>
        <w:spacing w:line="360" w:lineRule="auto"/>
        <w:jc w:val="both"/>
      </w:pPr>
    </w:p>
    <w:p w14:paraId="06A7ABC3" w14:textId="77777777" w:rsidR="00B92FBB" w:rsidRDefault="008A09CC">
      <w:pPr>
        <w:spacing w:line="360" w:lineRule="auto"/>
        <w:jc w:val="both"/>
      </w:pPr>
      <w:r>
        <w:t>Sektor N pokazuje veliku raznolikost u financijskim pokazateljima. Neka poduzeća posluju stabilno jer imaju dugoročne ugovore i sigurne izvore prihoda dok su druga manja i osjetljivija. Njihovo poslovanje često ovisi o kratkoročnim angažmanima. U gotovo svim varijablama postoje ekstremne vrijednosti. One proizlaze iz same prirode sektora. Dio djelatnosti zahtijeva velika ulaganja u opremu i infrastrukturu. Drugi dio čine jednostavnije usluge koje su vrlo osjetljive na gospodarske promjene i sezonske oscilacije.</w:t>
      </w:r>
    </w:p>
    <w:p w14:paraId="697516ED" w14:textId="77777777" w:rsidR="00B92FBB" w:rsidRDefault="00B92FBB"/>
    <w:p w14:paraId="19FE10EA" w14:textId="738C6BA4" w:rsidR="001648A1" w:rsidRPr="001648A1" w:rsidRDefault="001648A1" w:rsidP="001648A1">
      <w:pPr>
        <w:pStyle w:val="Opisslike"/>
        <w:keepNext/>
        <w:spacing w:line="360" w:lineRule="auto"/>
        <w:jc w:val="both"/>
        <w:rPr>
          <w:i w:val="0"/>
          <w:iCs w:val="0"/>
          <w:color w:val="000000" w:themeColor="text1"/>
          <w:sz w:val="22"/>
          <w:szCs w:val="22"/>
        </w:rPr>
      </w:pPr>
      <w:bookmarkStart w:id="72" w:name="_Toc207265204"/>
      <w:r w:rsidRPr="001648A1">
        <w:rPr>
          <w:i w:val="0"/>
          <w:iCs w:val="0"/>
          <w:color w:val="000000" w:themeColor="text1"/>
          <w:sz w:val="22"/>
          <w:szCs w:val="22"/>
        </w:rPr>
        <w:t xml:space="preserve">Tablica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Tablica \* ARABIC </w:instrText>
      </w:r>
      <w:r w:rsidRPr="001648A1">
        <w:rPr>
          <w:i w:val="0"/>
          <w:iCs w:val="0"/>
          <w:color w:val="000000" w:themeColor="text1"/>
          <w:sz w:val="22"/>
          <w:szCs w:val="22"/>
        </w:rPr>
        <w:fldChar w:fldCharType="separate"/>
      </w:r>
      <w:r w:rsidR="00D11EF7">
        <w:rPr>
          <w:i w:val="0"/>
          <w:iCs w:val="0"/>
          <w:noProof/>
          <w:color w:val="000000" w:themeColor="text1"/>
          <w:sz w:val="22"/>
          <w:szCs w:val="22"/>
        </w:rPr>
        <w:t>10</w:t>
      </w:r>
      <w:r w:rsidRPr="001648A1">
        <w:rPr>
          <w:i w:val="0"/>
          <w:iCs w:val="0"/>
          <w:color w:val="000000" w:themeColor="text1"/>
          <w:sz w:val="22"/>
          <w:szCs w:val="22"/>
        </w:rPr>
        <w:fldChar w:fldCharType="end"/>
      </w:r>
      <w:r w:rsidRPr="001648A1">
        <w:rPr>
          <w:i w:val="0"/>
          <w:iCs w:val="0"/>
          <w:color w:val="000000" w:themeColor="text1"/>
          <w:sz w:val="22"/>
          <w:szCs w:val="22"/>
        </w:rPr>
        <w:t>. Deskriptivna statistika za sektor N - Administrativne i pomoćne uslužne djelatnosti</w:t>
      </w:r>
      <w:r w:rsidRPr="001648A1">
        <w:rPr>
          <w:i w:val="0"/>
          <w:iCs w:val="0"/>
          <w:noProof/>
          <w:color w:val="000000" w:themeColor="text1"/>
          <w:sz w:val="22"/>
          <w:szCs w:val="22"/>
        </w:rPr>
        <w:t xml:space="preserve"> (podaci dostavljeni od strane FINA-e, izračun i obrada autorice u programu EViews 12)</w:t>
      </w:r>
      <w:bookmarkEnd w:id="72"/>
    </w:p>
    <w:p w14:paraId="57265986" w14:textId="77777777" w:rsidR="00B92FBB" w:rsidRDefault="008A09CC">
      <w:r>
        <w:rPr>
          <w:noProof/>
        </w:rPr>
        <w:drawing>
          <wp:inline distT="114300" distB="114300" distL="114300" distR="114300" wp14:anchorId="2E974B0B" wp14:editId="7D26B457">
            <wp:extent cx="5731200" cy="228600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731200" cy="2286000"/>
                    </a:xfrm>
                    <a:prstGeom prst="rect">
                      <a:avLst/>
                    </a:prstGeom>
                    <a:ln/>
                  </pic:spPr>
                </pic:pic>
              </a:graphicData>
            </a:graphic>
          </wp:inline>
        </w:drawing>
      </w:r>
    </w:p>
    <w:p w14:paraId="09E8D04A" w14:textId="77777777" w:rsidR="001648A1" w:rsidRDefault="008A09CC" w:rsidP="001648A1">
      <w:pPr>
        <w:keepNext/>
      </w:pPr>
      <w:r>
        <w:rPr>
          <w:noProof/>
        </w:rPr>
        <w:lastRenderedPageBreak/>
        <w:drawing>
          <wp:inline distT="114300" distB="114300" distL="114300" distR="114300" wp14:anchorId="50E17B85" wp14:editId="754C785A">
            <wp:extent cx="5731200" cy="9436100"/>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5731200" cy="9436100"/>
                    </a:xfrm>
                    <a:prstGeom prst="rect">
                      <a:avLst/>
                    </a:prstGeom>
                    <a:ln/>
                  </pic:spPr>
                </pic:pic>
              </a:graphicData>
            </a:graphic>
          </wp:inline>
        </w:drawing>
      </w:r>
    </w:p>
    <w:p w14:paraId="1E1ED014" w14:textId="202C9224" w:rsidR="008D173A" w:rsidRDefault="001648A1" w:rsidP="001648A1">
      <w:pPr>
        <w:pStyle w:val="Opisslike"/>
        <w:spacing w:line="360" w:lineRule="auto"/>
        <w:jc w:val="both"/>
        <w:rPr>
          <w:i w:val="0"/>
          <w:iCs w:val="0"/>
          <w:color w:val="000000" w:themeColor="text1"/>
          <w:sz w:val="22"/>
          <w:szCs w:val="22"/>
        </w:rPr>
      </w:pPr>
      <w:bookmarkStart w:id="73" w:name="_Toc207263315"/>
      <w:r w:rsidRPr="001648A1">
        <w:rPr>
          <w:i w:val="0"/>
          <w:iCs w:val="0"/>
          <w:color w:val="000000" w:themeColor="text1"/>
          <w:sz w:val="22"/>
          <w:szCs w:val="22"/>
        </w:rPr>
        <w:lastRenderedPageBreak/>
        <w:t xml:space="preserve">Slika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Slika \* ARABIC </w:instrText>
      </w:r>
      <w:r w:rsidRPr="001648A1">
        <w:rPr>
          <w:i w:val="0"/>
          <w:iCs w:val="0"/>
          <w:color w:val="000000" w:themeColor="text1"/>
          <w:sz w:val="22"/>
          <w:szCs w:val="22"/>
        </w:rPr>
        <w:fldChar w:fldCharType="separate"/>
      </w:r>
      <w:r w:rsidRPr="001648A1">
        <w:rPr>
          <w:i w:val="0"/>
          <w:iCs w:val="0"/>
          <w:noProof/>
          <w:color w:val="000000" w:themeColor="text1"/>
          <w:sz w:val="22"/>
          <w:szCs w:val="22"/>
        </w:rPr>
        <w:t>5</w:t>
      </w:r>
      <w:r w:rsidRPr="001648A1">
        <w:rPr>
          <w:i w:val="0"/>
          <w:iCs w:val="0"/>
          <w:color w:val="000000" w:themeColor="text1"/>
          <w:sz w:val="22"/>
          <w:szCs w:val="22"/>
        </w:rPr>
        <w:fldChar w:fldCharType="end"/>
      </w:r>
      <w:r w:rsidRPr="001648A1">
        <w:rPr>
          <w:i w:val="0"/>
          <w:iCs w:val="0"/>
          <w:color w:val="000000" w:themeColor="text1"/>
          <w:sz w:val="22"/>
          <w:szCs w:val="22"/>
        </w:rPr>
        <w:t xml:space="preserve">. Distribucija vrijednosti varijabli (KTL, DER, ROA, ROE, KI i PP) u sektoru N - Administrativne i pomoćne uslužne djelatnosti (podaci dostavljeni od strane FINA-e, izračun i obrada autorice u programu </w:t>
      </w:r>
      <w:proofErr w:type="spellStart"/>
      <w:r w:rsidRPr="001648A1">
        <w:rPr>
          <w:i w:val="0"/>
          <w:iCs w:val="0"/>
          <w:color w:val="000000" w:themeColor="text1"/>
          <w:sz w:val="22"/>
          <w:szCs w:val="22"/>
        </w:rPr>
        <w:t>EViews</w:t>
      </w:r>
      <w:proofErr w:type="spellEnd"/>
      <w:r w:rsidRPr="001648A1">
        <w:rPr>
          <w:i w:val="0"/>
          <w:iCs w:val="0"/>
          <w:color w:val="000000" w:themeColor="text1"/>
          <w:sz w:val="22"/>
          <w:szCs w:val="22"/>
        </w:rPr>
        <w:t xml:space="preserve"> 12)</w:t>
      </w:r>
      <w:bookmarkEnd w:id="73"/>
    </w:p>
    <w:p w14:paraId="3B66383B" w14:textId="77777777" w:rsidR="001648A1" w:rsidRPr="001648A1" w:rsidRDefault="001648A1" w:rsidP="001648A1"/>
    <w:p w14:paraId="0AFF6DA5" w14:textId="714496C8" w:rsidR="00B92FBB" w:rsidRDefault="008A09CC" w:rsidP="008D173A">
      <w:pPr>
        <w:pStyle w:val="Naslov4"/>
        <w:numPr>
          <w:ilvl w:val="2"/>
          <w:numId w:val="7"/>
        </w:numPr>
      </w:pPr>
      <w:bookmarkStart w:id="74" w:name="_yxe1x4kg2z8o" w:colFirst="0" w:colLast="0"/>
      <w:bookmarkEnd w:id="74"/>
      <w:r>
        <w:t>Korelacijska analiza</w:t>
      </w:r>
    </w:p>
    <w:p w14:paraId="54A57133" w14:textId="77777777" w:rsidR="008D173A" w:rsidRPr="008D173A" w:rsidRDefault="008D173A" w:rsidP="008D173A"/>
    <w:p w14:paraId="041E0AEB" w14:textId="06330847" w:rsidR="00B92FBB" w:rsidRDefault="008A09CC">
      <w:pPr>
        <w:spacing w:line="360" w:lineRule="auto"/>
        <w:jc w:val="both"/>
      </w:pPr>
      <w:r>
        <w:t>Korelacijska analiza za sektor N pokazuje vrlo niske razine povezanosti između većine promatranih varijabli (vidljivo u Tablici</w:t>
      </w:r>
      <w:r w:rsidR="008A2981">
        <w:t xml:space="preserve"> 11.</w:t>
      </w:r>
      <w:r>
        <w:t>) što ukazuje na visoku heterogenost poduzeća u administrativnim i pomoćnim uslužnim djelatnostima. Povezanost između KTL-a i DER-a je niska i pozitivna (0,03). Razina zaduženosti u prosjeku ne određuje izravno likvidnost poduzeća u ovom sektoru. Likvidnost se u većini slučajeva formira prema operativnim potrebama, obujmu projekata i kratkoročnim ugovorima, a ne prema strukturi izvora financiranja.</w:t>
      </w:r>
    </w:p>
    <w:p w14:paraId="0F9580C9" w14:textId="77777777" w:rsidR="00B92FBB" w:rsidRDefault="00B92FBB">
      <w:pPr>
        <w:spacing w:line="360" w:lineRule="auto"/>
        <w:jc w:val="both"/>
      </w:pPr>
    </w:p>
    <w:p w14:paraId="757A6753" w14:textId="77777777" w:rsidR="00B92FBB" w:rsidRDefault="008A09CC">
      <w:pPr>
        <w:spacing w:line="360" w:lineRule="auto"/>
        <w:jc w:val="both"/>
      </w:pPr>
      <w:r>
        <w:t>Blaga negativna povezanost između KTL-a i ROA-e (-0,0023) pokazuje da profitabilnost nema jasnu vezu s razinama tekuće likvidnosti. Poduzeća koja ostvaruju veći povrat na imovinu ne moraju nužno održavati više razine likvidnosti. Ona višak sredstava često reinvestiraju u poslovanje, posebno ako su orijentirana na projektne ili sezonske poslove. Slaba pozitivna korelacija između KTL-a i ROE-a (0,002) upućuje na to da poduzeća s višim povratom na kapital povremeno imaju veću likvidnost. Taj odnos nije dosljedan zbog značajnih razlika u veličini, strukturi i poslovnim modelima unutar sektora.</w:t>
      </w:r>
    </w:p>
    <w:p w14:paraId="73DABFDA" w14:textId="77777777" w:rsidR="00B92FBB" w:rsidRDefault="00B92FBB">
      <w:pPr>
        <w:spacing w:line="360" w:lineRule="auto"/>
        <w:jc w:val="both"/>
      </w:pPr>
    </w:p>
    <w:p w14:paraId="29FF1332" w14:textId="77777777" w:rsidR="00B92FBB" w:rsidRDefault="008A09CC">
      <w:pPr>
        <w:spacing w:line="360" w:lineRule="auto"/>
        <w:jc w:val="both"/>
      </w:pPr>
      <w:r>
        <w:t>Najizraženija korelacija uočava se između ROE-a i KI-a (-0,996) s gotovo savršenom negativnom povezanosti. Takav rezultat proizlazi iz načina izračuna pokazatelja. Naime, povrat na kapital (ROE) računa kao omjer neto dobiti i kapitala. Kada poduzeće ima visoku kapitalnu intenzivnost, to znači da veliki dio njegove imovine čini dugotrajna imovina, poput strojeva, zgrada ili druge opreme. Takva struktura imovine obično zahtijeva znatna početna ulaganja i dugoročno financiranje dok operativni prihodi i dobiti često rastu sporijim tempom. Zbog toga se, i uz stabilno poslovanje, izračunati povrat na kapital smanjuje jer dobiti nisu proporcionalne veličini kapitala koji poduzeće koristi za poslovanje. Ova situacija posebno dolazi do izražaja u godinama kada imovina nije maksimalno iskorištena čime se dodatno pritiska profitabilnost i smanjuje ROE.</w:t>
      </w:r>
    </w:p>
    <w:p w14:paraId="39902886" w14:textId="77777777" w:rsidR="00B92FBB" w:rsidRDefault="00B92FBB">
      <w:pPr>
        <w:spacing w:line="360" w:lineRule="auto"/>
        <w:jc w:val="both"/>
      </w:pPr>
    </w:p>
    <w:p w14:paraId="6A6F81D5" w14:textId="77777777" w:rsidR="00B92FBB" w:rsidRDefault="008A09CC">
      <w:pPr>
        <w:spacing w:line="360" w:lineRule="auto"/>
        <w:jc w:val="both"/>
      </w:pPr>
      <w:r>
        <w:t xml:space="preserve">Povezanost između ROE-a i PP-a je blago pozitivna (0,002). Poduzeća koja bilježe rast prihoda mogu ostvariti veće povrate na kapital. Međutim, taj učinak nije izrazito snažan jer rast prihoda u sektoru N često prati i povećanje troškova. To je posebno izraženo kod manjih </w:t>
      </w:r>
      <w:r>
        <w:lastRenderedPageBreak/>
        <w:t>poduzeća. Slaba negativna povezanost između KTL-a i PP-a (-0,005) sugerira da rast prihoda ne dovodi nužno do rasta likvidnosti. Dodatni prihod često se koristi za pokriće povećanih troškova rada, materijala ili vanjskih usluga koje prate rast obujma poslovanja.</w:t>
      </w:r>
    </w:p>
    <w:p w14:paraId="52D4AA76" w14:textId="77777777" w:rsidR="00B92FBB" w:rsidRDefault="00B92FBB">
      <w:pPr>
        <w:spacing w:line="360" w:lineRule="auto"/>
        <w:jc w:val="both"/>
      </w:pPr>
    </w:p>
    <w:p w14:paraId="439C41CA" w14:textId="77777777" w:rsidR="00B92FBB" w:rsidRDefault="008A09CC">
      <w:pPr>
        <w:spacing w:line="360" w:lineRule="auto"/>
        <w:jc w:val="both"/>
      </w:pPr>
      <w:r>
        <w:t>Sveukupno, sektor N karakterizira vrlo niska međusobna povezanost većine pokazatelja. To je rezultat izrazite raznolikosti poslovnih modela unutar sektora. Administrativne i pomoćne uslužne djelatnosti obuhvaćaju poduzeća različite veličine i strukture, od malih agencija do velikih međunarodnih pružatelja usluga. Ta heterogenost objašnjava slabe korelacije i ukazuje na potrebu za dubljom dinamičkom analizom kako bi se preciznije razumjela kretanja između varijabli.</w:t>
      </w:r>
    </w:p>
    <w:p w14:paraId="5C94C2D0" w14:textId="77777777" w:rsidR="00B92FBB" w:rsidRDefault="00B92FBB"/>
    <w:p w14:paraId="0465A7AE" w14:textId="4EFC9848" w:rsidR="001648A1" w:rsidRPr="001648A1" w:rsidRDefault="001648A1" w:rsidP="001648A1">
      <w:pPr>
        <w:pStyle w:val="Opisslike"/>
        <w:keepNext/>
        <w:spacing w:line="360" w:lineRule="auto"/>
        <w:jc w:val="both"/>
        <w:rPr>
          <w:i w:val="0"/>
          <w:iCs w:val="0"/>
          <w:color w:val="000000" w:themeColor="text1"/>
          <w:sz w:val="22"/>
          <w:szCs w:val="22"/>
        </w:rPr>
      </w:pPr>
      <w:bookmarkStart w:id="75" w:name="_Toc207265205"/>
      <w:r w:rsidRPr="001648A1">
        <w:rPr>
          <w:i w:val="0"/>
          <w:iCs w:val="0"/>
          <w:color w:val="000000" w:themeColor="text1"/>
          <w:sz w:val="22"/>
          <w:szCs w:val="22"/>
        </w:rPr>
        <w:t xml:space="preserve">Tablica </w:t>
      </w:r>
      <w:r w:rsidRPr="001648A1">
        <w:rPr>
          <w:i w:val="0"/>
          <w:iCs w:val="0"/>
          <w:color w:val="000000" w:themeColor="text1"/>
          <w:sz w:val="22"/>
          <w:szCs w:val="22"/>
        </w:rPr>
        <w:fldChar w:fldCharType="begin"/>
      </w:r>
      <w:r w:rsidRPr="001648A1">
        <w:rPr>
          <w:i w:val="0"/>
          <w:iCs w:val="0"/>
          <w:color w:val="000000" w:themeColor="text1"/>
          <w:sz w:val="22"/>
          <w:szCs w:val="22"/>
        </w:rPr>
        <w:instrText xml:space="preserve"> SEQ Tablica \* ARABIC </w:instrText>
      </w:r>
      <w:r w:rsidRPr="001648A1">
        <w:rPr>
          <w:i w:val="0"/>
          <w:iCs w:val="0"/>
          <w:color w:val="000000" w:themeColor="text1"/>
          <w:sz w:val="22"/>
          <w:szCs w:val="22"/>
        </w:rPr>
        <w:fldChar w:fldCharType="separate"/>
      </w:r>
      <w:r w:rsidR="00D11EF7">
        <w:rPr>
          <w:i w:val="0"/>
          <w:iCs w:val="0"/>
          <w:noProof/>
          <w:color w:val="000000" w:themeColor="text1"/>
          <w:sz w:val="22"/>
          <w:szCs w:val="22"/>
        </w:rPr>
        <w:t>11</w:t>
      </w:r>
      <w:r w:rsidRPr="001648A1">
        <w:rPr>
          <w:i w:val="0"/>
          <w:iCs w:val="0"/>
          <w:color w:val="000000" w:themeColor="text1"/>
          <w:sz w:val="22"/>
          <w:szCs w:val="22"/>
        </w:rPr>
        <w:fldChar w:fldCharType="end"/>
      </w:r>
      <w:r w:rsidRPr="001648A1">
        <w:rPr>
          <w:i w:val="0"/>
          <w:iCs w:val="0"/>
          <w:color w:val="000000" w:themeColor="text1"/>
          <w:sz w:val="22"/>
          <w:szCs w:val="22"/>
        </w:rPr>
        <w:t xml:space="preserve">. Korelacijska matrica za sektor N - Administrativne i pomoćne uslužne djelatnosti (podaci dostavljeni od strane FINA-e, izračun i obrada autorice u programu </w:t>
      </w:r>
      <w:proofErr w:type="spellStart"/>
      <w:r w:rsidRPr="001648A1">
        <w:rPr>
          <w:i w:val="0"/>
          <w:iCs w:val="0"/>
          <w:color w:val="000000" w:themeColor="text1"/>
          <w:sz w:val="22"/>
          <w:szCs w:val="22"/>
        </w:rPr>
        <w:t>EViews</w:t>
      </w:r>
      <w:proofErr w:type="spellEnd"/>
      <w:r w:rsidRPr="001648A1">
        <w:rPr>
          <w:i w:val="0"/>
          <w:iCs w:val="0"/>
          <w:color w:val="000000" w:themeColor="text1"/>
          <w:sz w:val="22"/>
          <w:szCs w:val="22"/>
        </w:rPr>
        <w:t xml:space="preserve"> 12)</w:t>
      </w:r>
      <w:bookmarkEnd w:id="75"/>
    </w:p>
    <w:p w14:paraId="494DD101" w14:textId="77777777" w:rsidR="00B92FBB" w:rsidRDefault="008A09CC">
      <w:r>
        <w:rPr>
          <w:noProof/>
        </w:rPr>
        <w:drawing>
          <wp:inline distT="114300" distB="114300" distL="114300" distR="114300" wp14:anchorId="11B20923" wp14:editId="761541AD">
            <wp:extent cx="5731200" cy="1079500"/>
            <wp:effectExtent l="0" t="0" r="0" b="0"/>
            <wp:docPr id="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a:srcRect/>
                    <a:stretch>
                      <a:fillRect/>
                    </a:stretch>
                  </pic:blipFill>
                  <pic:spPr>
                    <a:xfrm>
                      <a:off x="0" y="0"/>
                      <a:ext cx="5731200" cy="1079500"/>
                    </a:xfrm>
                    <a:prstGeom prst="rect">
                      <a:avLst/>
                    </a:prstGeom>
                    <a:ln/>
                  </pic:spPr>
                </pic:pic>
              </a:graphicData>
            </a:graphic>
          </wp:inline>
        </w:drawing>
      </w:r>
    </w:p>
    <w:p w14:paraId="4958028E" w14:textId="77777777" w:rsidR="00B92FBB" w:rsidRDefault="00B92FBB"/>
    <w:p w14:paraId="5066F0B4" w14:textId="20D33E41" w:rsidR="00B92FBB" w:rsidRDefault="00EB010F" w:rsidP="008D173A">
      <w:pPr>
        <w:pStyle w:val="Naslov4"/>
        <w:numPr>
          <w:ilvl w:val="2"/>
          <w:numId w:val="7"/>
        </w:numPr>
      </w:pPr>
      <w:bookmarkStart w:id="76" w:name="_7od84k600jy2" w:colFirst="0" w:colLast="0"/>
      <w:bookmarkEnd w:id="76"/>
      <w:r w:rsidRPr="00EB010F">
        <w:t>Testiranje utjecaja financijske poluge na likvidnost poduzeća</w:t>
      </w:r>
    </w:p>
    <w:p w14:paraId="182D118B" w14:textId="77777777" w:rsidR="00B92FBB" w:rsidRDefault="00B92FBB"/>
    <w:p w14:paraId="78415E57" w14:textId="67038F31" w:rsidR="00B92FBB" w:rsidRDefault="008A09CC">
      <w:pPr>
        <w:spacing w:line="360" w:lineRule="auto"/>
        <w:jc w:val="both"/>
      </w:pPr>
      <w:r>
        <w:t xml:space="preserve">Dinamički panel model za sektor N temeljen na GMM </w:t>
      </w:r>
      <w:proofErr w:type="spellStart"/>
      <w:r>
        <w:t>Arellano</w:t>
      </w:r>
      <w:proofErr w:type="spellEnd"/>
      <w:r>
        <w:t xml:space="preserve">-Bond metodi pokazuje stabilnu i statistički valjanu specifikaciju. </w:t>
      </w:r>
      <w:r w:rsidR="00154FB7" w:rsidRPr="00154FB7">
        <w:t>Korištene instrumentalne varijable valjane</w:t>
      </w:r>
      <w:r>
        <w:t xml:space="preserve">. </w:t>
      </w:r>
      <w:proofErr w:type="spellStart"/>
      <w:r w:rsidR="00154FB7" w:rsidRPr="00154FB7">
        <w:t>Hansenov</w:t>
      </w:r>
      <w:proofErr w:type="spellEnd"/>
      <w:r w:rsidR="00154FB7" w:rsidRPr="00154FB7">
        <w:t xml:space="preserve"> J-test pokazuje da su korišten</w:t>
      </w:r>
      <w:r w:rsidR="00154FB7">
        <w:t>e</w:t>
      </w:r>
      <w:r w:rsidR="00154FB7" w:rsidRPr="00154FB7">
        <w:t xml:space="preserve"> instrumentalne varijable prikladne i dobro specificirane </w:t>
      </w:r>
      <w:r w:rsidR="00154FB7">
        <w:t>z</w:t>
      </w:r>
      <w:r w:rsidR="00154FB7" w:rsidRPr="00154FB7">
        <w:t xml:space="preserve">ato što je </w:t>
      </w:r>
      <w:r w:rsidR="00154FB7">
        <w:t>u</w:t>
      </w:r>
      <w:r w:rsidR="00154FB7" w:rsidRPr="00154FB7">
        <w:t xml:space="preserve"> testiranom modelu empirijska razina signifikantnosti odnosno p-vrijednost veća je od teorijske razine signifikantnosti α=0,05 (5%) pa se nulta hipoteza ne može odbaciti (</w:t>
      </w:r>
      <w:proofErr w:type="spellStart"/>
      <w:r w:rsidR="00154FB7" w:rsidRPr="00154FB7">
        <w:t>Arellano</w:t>
      </w:r>
      <w:proofErr w:type="spellEnd"/>
      <w:r w:rsidR="00154FB7" w:rsidRPr="00154FB7">
        <w:t xml:space="preserve"> </w:t>
      </w:r>
      <w:r w:rsidR="0043109A">
        <w:t>i</w:t>
      </w:r>
      <w:r w:rsidR="00154FB7" w:rsidRPr="00154FB7">
        <w:t xml:space="preserve"> Bond, 1991; </w:t>
      </w:r>
      <w:proofErr w:type="spellStart"/>
      <w:r w:rsidR="00154FB7" w:rsidRPr="00154FB7">
        <w:t>Roodman</w:t>
      </w:r>
      <w:proofErr w:type="spellEnd"/>
      <w:r w:rsidR="00154FB7" w:rsidRPr="00154FB7">
        <w:t>, 2009).</w:t>
      </w:r>
      <w:r>
        <w:t xml:space="preserve"> Specifikacija modela prikazana je sljedećom</w:t>
      </w:r>
      <w:r w:rsidR="00154FB7">
        <w:t xml:space="preserve"> ekonometrijskom</w:t>
      </w:r>
      <w:r>
        <w:t xml:space="preserve"> jednadžbom:</w:t>
      </w:r>
    </w:p>
    <w:p w14:paraId="6C14FCE6" w14:textId="77777777" w:rsidR="00472C6B" w:rsidRPr="00472C6B" w:rsidRDefault="00472C6B">
      <w:pPr>
        <w:spacing w:line="360" w:lineRule="auto"/>
        <w:jc w:val="both"/>
      </w:pPr>
    </w:p>
    <w:p w14:paraId="325ADE2A" w14:textId="77777777"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 xml:space="preserve">, </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2</m:t>
            </m:r>
          </m:sub>
        </m:sSub>
        <m:sSub>
          <m:sSubPr>
            <m:ctrlPr>
              <w:rPr>
                <w:rFonts w:ascii="Cambria Math" w:hAnsi="Cambria Math"/>
                <w:iCs/>
              </w:rPr>
            </m:ctrlPr>
          </m:sSubPr>
          <m:e>
            <m: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3</m:t>
            </m:r>
          </m:sub>
        </m:sSub>
        <m:sSub>
          <m:sSubPr>
            <m:ctrlPr>
              <w:rPr>
                <w:rFonts w:ascii="Cambria Math" w:hAnsi="Cambria Math"/>
                <w:iCs/>
              </w:rPr>
            </m:ctrlPr>
          </m:sSubPr>
          <m:e>
            <m: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m:rPr>
                <m:sty m:val="p"/>
              </m:rPr>
              <w:rPr>
                <w:rFonts w:ascii="Cambria Math" w:hAnsi="Cambria Math"/>
              </w:rPr>
              <m:t>4</m:t>
            </m:r>
          </m:sub>
        </m:sSub>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iCs/>
              </w:rPr>
            </m:ctrlPr>
          </m:sSubPr>
          <m:e>
            <m:r>
              <w:rPr>
                <w:rFonts w:ascii="Cambria Math" w:hAnsi="Cambria Math"/>
              </w:rPr>
              <m:t>β</m:t>
            </m:r>
          </m:e>
          <m:sub>
            <m:r>
              <m:rPr>
                <m:sty m:val="p"/>
              </m:rPr>
              <w:rPr>
                <w:rFonts w:ascii="Cambria Math" w:hAnsi="Cambria Math"/>
              </w:rPr>
              <m:t>5</m:t>
            </m:r>
          </m:sub>
        </m:sSub>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r>
          <m:rPr>
            <m:sty m:val="p"/>
          </m:rPr>
          <w:rPr>
            <w:rFonts w:ascii="Cambria Math" w:hAnsi="Cambria Math"/>
          </w:rPr>
          <m:t>+</m:t>
        </m:r>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w:t>
      </w:r>
    </w:p>
    <w:p w14:paraId="6309ADF3" w14:textId="77777777" w:rsidR="00472C6B" w:rsidRPr="00472C6B" w:rsidRDefault="00472C6B" w:rsidP="00472C6B">
      <w:pPr>
        <w:spacing w:line="360" w:lineRule="auto"/>
        <w:ind w:left="708"/>
        <w:jc w:val="both"/>
        <w:rPr>
          <w:iCs/>
        </w:rPr>
      </w:pPr>
    </w:p>
    <w:p w14:paraId="05632211" w14:textId="105B7BC8"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koeficijent tekuće likvidnosti poduzeća i u vremenu t </w:t>
      </w:r>
      <w:r w:rsidR="00472C6B">
        <w:t>za sektor N - Administrativne i pomoćne uslužne djelatnosti</w:t>
      </w:r>
    </w:p>
    <w:p w14:paraId="471E9109" w14:textId="7624745D"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KTL</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rsidR="00472C6B" w:rsidRPr="00472C6B">
        <w:rPr>
          <w:iCs/>
        </w:rPr>
        <w:t xml:space="preserve"> – koeficijent tekuće likvidnosti poduzeća i iz prethodnog razdoblja t-1</w:t>
      </w:r>
      <w:r w:rsidR="00472C6B">
        <w:rPr>
          <w:iCs/>
        </w:rPr>
        <w:t xml:space="preserve"> </w:t>
      </w:r>
      <w:r w:rsidR="00472C6B">
        <w:t>za sektor N - Administrativne i pomoćne uslužne djelatnosti</w:t>
      </w:r>
    </w:p>
    <w:p w14:paraId="7AAEDC36" w14:textId="2C6ADAA4" w:rsidR="00472C6B" w:rsidRPr="00472C6B" w:rsidRDefault="00000000" w:rsidP="00472C6B">
      <w:pPr>
        <w:spacing w:line="360" w:lineRule="auto"/>
        <w:ind w:left="708"/>
        <w:jc w:val="both"/>
        <w:rPr>
          <w:iCs/>
        </w:rPr>
      </w:pPr>
      <m:oMath>
        <m:sSub>
          <m:sSubPr>
            <m:ctrlPr>
              <w:rPr>
                <w:rFonts w:ascii="Cambria Math" w:hAnsi="Cambria Math"/>
                <w:iCs/>
              </w:rPr>
            </m:ctrlPr>
          </m:sSubPr>
          <m:e>
            <m:r>
              <m:rPr>
                <m:sty m:val="p"/>
              </m:rPr>
              <w:rPr>
                <w:rFonts w:ascii="Cambria Math" w:hAnsi="Cambria Math"/>
              </w:rPr>
              <m:t>DER</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omjer duga i glavnice poduzeću i u vremenu t</w:t>
      </w:r>
      <w:r w:rsidR="00472C6B">
        <w:rPr>
          <w:iCs/>
        </w:rPr>
        <w:t xml:space="preserve"> </w:t>
      </w:r>
      <w:r w:rsidR="00472C6B">
        <w:t>za sektor N - Administrativne i pomoćne uslužne djelatnosti</w:t>
      </w:r>
    </w:p>
    <w:p w14:paraId="2142EA92" w14:textId="6BEBFDDF" w:rsidR="00472C6B" w:rsidRPr="00472C6B" w:rsidRDefault="00000000" w:rsidP="00472C6B">
      <w:pPr>
        <w:spacing w:line="360" w:lineRule="auto"/>
        <w:ind w:left="708"/>
        <w:jc w:val="both"/>
        <w:rPr>
          <w:iCs/>
        </w:rPr>
      </w:pPr>
      <m:oMath>
        <m:sSub>
          <m:sSubPr>
            <m:ctrlPr>
              <w:rPr>
                <w:rFonts w:ascii="Cambria Math" w:hAnsi="Cambria Math"/>
                <w:iCs/>
              </w:rPr>
            </m:ctrlPr>
          </m:sSubPr>
          <m:e>
            <m:r>
              <m:rPr>
                <m:sty m:val="p"/>
              </m:rPr>
              <w:rPr>
                <w:rFonts w:ascii="Cambria Math" w:hAnsi="Cambria Math"/>
              </w:rPr>
              <m:t>ROA</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profitabilnost imovine poduzeća i u vremenu t</w:t>
      </w:r>
      <w:r w:rsidR="00472C6B">
        <w:rPr>
          <w:iCs/>
        </w:rPr>
        <w:t xml:space="preserve"> </w:t>
      </w:r>
      <w:r w:rsidR="00472C6B">
        <w:t>za sektor N - Administrativne i pomoćne uslužne djelatnosti</w:t>
      </w:r>
    </w:p>
    <w:p w14:paraId="1F2DACB2" w14:textId="17009E13" w:rsidR="00472C6B" w:rsidRPr="00472C6B" w:rsidRDefault="00000000" w:rsidP="00472C6B">
      <w:pPr>
        <w:spacing w:line="360" w:lineRule="auto"/>
        <w:ind w:left="708"/>
        <w:jc w:val="both"/>
        <w:rPr>
          <w:iCs/>
        </w:rPr>
      </w:pPr>
      <m:oMath>
        <m:sSub>
          <m:sSubPr>
            <m:ctrlPr>
              <w:rPr>
                <w:rFonts w:ascii="Cambria Math" w:hAnsi="Cambria Math"/>
                <w:iCs/>
              </w:rPr>
            </m:ctrlPr>
          </m:sSubPr>
          <m:e>
            <m:r>
              <m:rPr>
                <m:sty m:val="p"/>
              </m:rPr>
              <w:rPr>
                <w:rFonts w:ascii="Cambria Math" w:hAnsi="Cambria Math"/>
              </w:rPr>
              <m:t>ROE</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profitabilnost kapitala poduzeću i u vremenu t</w:t>
      </w:r>
      <w:r w:rsidR="00472C6B">
        <w:rPr>
          <w:iCs/>
        </w:rPr>
        <w:t xml:space="preserve"> </w:t>
      </w:r>
      <w:r w:rsidR="00472C6B">
        <w:t>za sektor N - Administrativne i pomoćne uslužne djelatnosti</w:t>
      </w:r>
    </w:p>
    <w:p w14:paraId="3646F158" w14:textId="290F3258"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KI</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kapitalna intenzivnost poduzeća i u vremenu t</w:t>
      </w:r>
      <w:r w:rsidR="00472C6B">
        <w:rPr>
          <w:iCs/>
        </w:rPr>
        <w:t xml:space="preserve"> </w:t>
      </w:r>
      <w:r w:rsidR="00472C6B">
        <w:t>za sektor N - Administrativne i pomoćne uslužne djelatnosti</w:t>
      </w:r>
    </w:p>
    <w:p w14:paraId="5AA59E26" w14:textId="13BB3EC8" w:rsidR="00472C6B" w:rsidRPr="00472C6B" w:rsidRDefault="00000000" w:rsidP="00472C6B">
      <w:pPr>
        <w:spacing w:line="360" w:lineRule="auto"/>
        <w:ind w:left="708"/>
        <w:jc w:val="both"/>
        <w:rPr>
          <w:iCs/>
        </w:rPr>
      </w:pPr>
      <m:oMath>
        <m:sSub>
          <m:sSubPr>
            <m:ctrlPr>
              <w:rPr>
                <w:rFonts w:ascii="Cambria Math" w:hAnsi="Cambria Math"/>
                <w:iCs/>
              </w:rPr>
            </m:ctrlPr>
          </m:sSubPr>
          <m:e>
            <m:r>
              <w:rPr>
                <w:rFonts w:ascii="Cambria Math" w:hAnsi="Cambria Math"/>
              </w:rPr>
              <m:t>PP</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postotna promjena prodaje poduzeća i u vremenu t</w:t>
      </w:r>
      <w:r w:rsidR="00472C6B">
        <w:rPr>
          <w:iCs/>
        </w:rPr>
        <w:t xml:space="preserve"> </w:t>
      </w:r>
      <w:r w:rsidR="00472C6B">
        <w:t>za sektor N - Administrativne i pomoćne uslužne djelatnosti</w:t>
      </w:r>
    </w:p>
    <w:p w14:paraId="725EF756" w14:textId="77777777" w:rsidR="00B92FBB" w:rsidRPr="00472C6B" w:rsidRDefault="008A09CC" w:rsidP="00472C6B">
      <w:pPr>
        <w:spacing w:line="360" w:lineRule="auto"/>
        <w:ind w:firstLine="708"/>
        <w:jc w:val="both"/>
      </w:pPr>
      <w:r w:rsidRPr="00472C6B">
        <w:t xml:space="preserve">i = 1,…, 94; t = 1,…,16 </w:t>
      </w:r>
    </w:p>
    <w:p w14:paraId="404391A2" w14:textId="77777777" w:rsidR="00B92FBB" w:rsidRPr="00472C6B" w:rsidRDefault="00B92FBB" w:rsidP="00472C6B">
      <w:pPr>
        <w:spacing w:line="360" w:lineRule="auto"/>
        <w:jc w:val="both"/>
      </w:pPr>
    </w:p>
    <w:p w14:paraId="2A3BDBD6" w14:textId="77777777" w:rsidR="00472C6B" w:rsidRPr="00472C6B" w:rsidRDefault="00472C6B" w:rsidP="00472C6B">
      <w:pPr>
        <w:spacing w:line="360" w:lineRule="auto"/>
        <w:jc w:val="both"/>
        <w:rPr>
          <w:iCs/>
        </w:rPr>
      </w:pPr>
      <w:r w:rsidRPr="00472C6B">
        <w:rPr>
          <w:iCs/>
        </w:rPr>
        <w:t>pri čemu je:</w:t>
      </w:r>
    </w:p>
    <w:p w14:paraId="556D782F" w14:textId="77777777" w:rsidR="00472C6B" w:rsidRPr="00472C6B" w:rsidRDefault="00472C6B" w:rsidP="00472C6B">
      <w:pPr>
        <w:spacing w:line="360" w:lineRule="auto"/>
        <w:jc w:val="both"/>
        <w:rPr>
          <w:iCs/>
        </w:rPr>
      </w:pPr>
      <w:r w:rsidRPr="00472C6B">
        <w:rPr>
          <w:iCs/>
        </w:rPr>
        <w:t>N – broj jedinica promatranja,</w:t>
      </w:r>
    </w:p>
    <w:p w14:paraId="63A87BF0" w14:textId="77777777" w:rsidR="00472C6B" w:rsidRPr="00472C6B" w:rsidRDefault="00472C6B" w:rsidP="00472C6B">
      <w:pPr>
        <w:spacing w:line="360" w:lineRule="auto"/>
        <w:jc w:val="both"/>
        <w:rPr>
          <w:iCs/>
        </w:rPr>
      </w:pPr>
      <w:r w:rsidRPr="00472C6B">
        <w:rPr>
          <w:iCs/>
        </w:rPr>
        <w:t>T – broj razdoblja promatranja,</w:t>
      </w:r>
    </w:p>
    <w:p w14:paraId="51A7905C" w14:textId="77777777" w:rsidR="00472C6B" w:rsidRPr="00472C6B" w:rsidRDefault="00472C6B" w:rsidP="00472C6B">
      <w:pPr>
        <w:spacing w:line="360" w:lineRule="auto"/>
        <w:jc w:val="both"/>
        <w:rPr>
          <w:iCs/>
        </w:rPr>
      </w:pPr>
      <w:r w:rsidRPr="00472C6B">
        <w:rPr>
          <w:iCs/>
        </w:rPr>
        <w:t>α – zajednički konstantni član različit za sve jedinicu promatranja,</w:t>
      </w:r>
    </w:p>
    <w:p w14:paraId="245A0206" w14:textId="77777777" w:rsidR="00472C6B" w:rsidRPr="00472C6B" w:rsidRDefault="00000000" w:rsidP="00472C6B">
      <w:pPr>
        <w:spacing w:line="360" w:lineRule="auto"/>
        <w:jc w:val="both"/>
        <w:rPr>
          <w:iCs/>
        </w:rPr>
      </w:pPr>
      <m:oMath>
        <m:sSub>
          <m:sSubPr>
            <m:ctrlPr>
              <w:rPr>
                <w:rFonts w:ascii="Cambria Math" w:hAnsi="Cambria Math"/>
                <w:iCs/>
              </w:rPr>
            </m:ctrlPr>
          </m:sSubPr>
          <m:e>
            <m:r>
              <w:rPr>
                <w:rFonts w:ascii="Cambria Math" w:hAnsi="Cambria Math"/>
              </w:rPr>
              <m:t>μ</m:t>
            </m:r>
          </m:e>
          <m:sub>
            <m:r>
              <w:rPr>
                <w:rFonts w:ascii="Cambria Math" w:hAnsi="Cambria Math"/>
              </w:rPr>
              <m:t>i</m:t>
            </m:r>
          </m:sub>
        </m:sSub>
      </m:oMath>
      <w:r w:rsidR="00472C6B" w:rsidRPr="00472C6B">
        <w:rPr>
          <w:iCs/>
        </w:rPr>
        <w:t xml:space="preserve"> – slučajni efekt za svaku jedinicu promatranja, </w:t>
      </w:r>
    </w:p>
    <w:p w14:paraId="2C0C6989" w14:textId="77777777" w:rsidR="00472C6B" w:rsidRPr="00472C6B" w:rsidRDefault="00000000" w:rsidP="00472C6B">
      <w:pPr>
        <w:spacing w:line="360" w:lineRule="auto"/>
        <w:jc w:val="both"/>
        <w:rPr>
          <w:iCs/>
        </w:rPr>
      </w:pPr>
      <m:oMath>
        <m:sSub>
          <m:sSubPr>
            <m:ctrlPr>
              <w:rPr>
                <w:rFonts w:ascii="Cambria Math" w:hAnsi="Cambria Math"/>
                <w:iCs/>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472C6B" w:rsidRPr="00472C6B">
        <w:rPr>
          <w:iCs/>
        </w:rPr>
        <w:t xml:space="preserve"> - greška relacije za i-te jedinice u vremenu t,</w:t>
      </w:r>
    </w:p>
    <w:p w14:paraId="1B4377E0" w14:textId="63F94F79" w:rsidR="00B92FBB" w:rsidRPr="00472C6B" w:rsidRDefault="00000000">
      <w:pPr>
        <w:spacing w:line="360" w:lineRule="auto"/>
        <w:jc w:val="both"/>
        <w:rPr>
          <w:iCs/>
        </w:rPr>
      </w:pPr>
      <m:oMath>
        <m:sSub>
          <m:sSubPr>
            <m:ctrlPr>
              <w:rPr>
                <w:rFonts w:ascii="Cambria Math" w:hAnsi="Cambria Math"/>
                <w:iCs/>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w:rPr>
                <w:rFonts w:ascii="Cambria Math" w:hAnsi="Cambria Math"/>
              </w:rPr>
              <m:t>β</m:t>
            </m:r>
          </m:e>
          <m:sub>
            <m:r>
              <w:rPr>
                <w:rFonts w:ascii="Cambria Math" w:hAnsi="Cambria Math"/>
              </w:rPr>
              <m:t>k</m:t>
            </m:r>
          </m:sub>
        </m:sSub>
      </m:oMath>
      <w:r w:rsidR="00472C6B" w:rsidRPr="00472C6B">
        <w:rPr>
          <w:iCs/>
        </w:rPr>
        <w:t xml:space="preserve"> – parametri koje treba procijeniti. </w:t>
      </w:r>
    </w:p>
    <w:p w14:paraId="065A9044" w14:textId="77777777" w:rsidR="00B92FBB" w:rsidRDefault="00B92FBB">
      <w:pPr>
        <w:spacing w:line="360" w:lineRule="auto"/>
        <w:jc w:val="both"/>
      </w:pPr>
    </w:p>
    <w:p w14:paraId="5B5D238B" w14:textId="6B613C54" w:rsidR="00B92FBB" w:rsidRDefault="008A09CC">
      <w:pPr>
        <w:spacing w:line="360" w:lineRule="auto"/>
        <w:jc w:val="both"/>
      </w:pPr>
      <w:r>
        <w:t>Iz Tablice 1</w:t>
      </w:r>
      <w:r w:rsidR="008A2981">
        <w:t>2.</w:t>
      </w:r>
      <w:r>
        <w:t xml:space="preserve"> vidljivo je da koeficijent za KTL iznosi -0,0187 i statistički je </w:t>
      </w:r>
      <w:r w:rsidR="005D2A4F">
        <w:t xml:space="preserve">signifikantan </w:t>
      </w:r>
      <w:r>
        <w:t xml:space="preserve">(p &lt; 0,01). Ovaj </w:t>
      </w:r>
      <w:r w:rsidR="003C3246">
        <w:t>broj</w:t>
      </w:r>
      <w:r>
        <w:t xml:space="preserve"> ukazuje da poduzeća koja su u prethodnoj godini imala višu likvidnost često u idućoj bilježe njezino smanjenje</w:t>
      </w:r>
      <w:r w:rsidR="003C3246">
        <w:t xml:space="preserve"> čime se odbacuje H1 hipoteza.</w:t>
      </w:r>
      <w:r>
        <w:t xml:space="preserve"> U sektoru N to je uobičajeno. Novac se koristi za pokretanje novih projekata, isplatu plaća ili pokrivanje troškova kada nema stabilnih priljeva. Ovaj obrazac odražava dinamiku djelatnosti kao što su agencije za zapošljavanje, </w:t>
      </w:r>
      <w:proofErr w:type="spellStart"/>
      <w:r>
        <w:t>call</w:t>
      </w:r>
      <w:proofErr w:type="spellEnd"/>
      <w:r>
        <w:t>-centri, poduzeća za čišćenje ili sigurnosne službe gdje su prihodi promjenjivi, a operativni troškovi stalno prisutni.</w:t>
      </w:r>
    </w:p>
    <w:p w14:paraId="1F297718" w14:textId="77777777" w:rsidR="00B92FBB" w:rsidRDefault="00B92FBB">
      <w:pPr>
        <w:spacing w:line="360" w:lineRule="auto"/>
        <w:jc w:val="both"/>
      </w:pPr>
    </w:p>
    <w:p w14:paraId="14CAA744" w14:textId="55FCD573" w:rsidR="00B92FBB" w:rsidRDefault="008A09CC">
      <w:pPr>
        <w:spacing w:line="360" w:lineRule="auto"/>
        <w:jc w:val="both"/>
      </w:pPr>
      <w:r>
        <w:t xml:space="preserve">Koeficijent za DER (0,036; p &lt; 0,01) </w:t>
      </w:r>
      <w:r w:rsidR="003C3246">
        <w:t xml:space="preserve">je </w:t>
      </w:r>
      <w:r w:rsidR="005D2A4F">
        <w:t>signifikantan</w:t>
      </w:r>
      <w:r w:rsidR="003C3246">
        <w:t xml:space="preserve"> čime se potvrđuje H2 hipoteza</w:t>
      </w:r>
      <w:r>
        <w:t>. Dakle, veća financijska poluga, odnosno viša razina zaduženosti, pridonosi većoj tekućoj likvidnosti. To znači da poduzeća u sektoru N često koriste posuđena sredstva kako bi lakše pokrila tekuće troškove i ostala fleksibilna u poslovanju. Dug im omogućuje da na vrijeme plate dobavljače, radnike ili troškove novih projekata, čak i kada prihodi kasne ili variraju.</w:t>
      </w:r>
    </w:p>
    <w:p w14:paraId="3D7FA37C" w14:textId="77777777" w:rsidR="00B92FBB" w:rsidRDefault="00B92FBB">
      <w:pPr>
        <w:spacing w:line="360" w:lineRule="auto"/>
        <w:jc w:val="both"/>
      </w:pPr>
    </w:p>
    <w:p w14:paraId="64AFA655" w14:textId="7B94FA72" w:rsidR="00B92FBB" w:rsidRDefault="003C3246">
      <w:pPr>
        <w:spacing w:line="360" w:lineRule="auto"/>
        <w:jc w:val="both"/>
      </w:pPr>
      <w:r w:rsidRPr="003C3246">
        <w:t>Kontrolne varijable dodatno rasvjetljavaju specifičnosti ovog sektora i djelomično potvrđuju H3 hipotezu</w:t>
      </w:r>
      <w:r>
        <w:t xml:space="preserve">. </w:t>
      </w:r>
      <w:r w:rsidR="008A09CC">
        <w:t xml:space="preserve">ROA pokazuje statistički </w:t>
      </w:r>
      <w:r w:rsidR="005D2A4F">
        <w:t>neevidentan</w:t>
      </w:r>
      <w:r w:rsidR="008A09CC">
        <w:t xml:space="preserve"> koeficijent (≈ </w:t>
      </w:r>
      <w:r w:rsidR="004879AA">
        <w:t>-</w:t>
      </w:r>
      <w:r w:rsidR="008A09CC">
        <w:t xml:space="preserve">7,7e-07; p &gt; 0,05). To ukazuje </w:t>
      </w:r>
      <w:r w:rsidR="008A09CC">
        <w:lastRenderedPageBreak/>
        <w:t xml:space="preserve">da povrat na imovinu u ovom sektoru nema pouzdan utjecaj na tekuću likvidnost. ROE je </w:t>
      </w:r>
      <w:r w:rsidR="005D2A4F">
        <w:t>signifikantan</w:t>
      </w:r>
      <w:r w:rsidR="008A09CC">
        <w:t xml:space="preserve"> (≈ 0,0018; p &lt; 0,01). Poduzeća s većom profitabilnošću mjerenu povratom na kapital ostvaruju i veće razine likvidnosti. Ovaj rezultat potvrđuje da profitabilnost stvara dodatne unutarnje izvore financiranja koji povećavaju sposobnost podmirivanja kratkoročnih obveza.</w:t>
      </w:r>
    </w:p>
    <w:p w14:paraId="418D065C" w14:textId="77777777" w:rsidR="00B92FBB" w:rsidRDefault="00B92FBB">
      <w:pPr>
        <w:spacing w:line="360" w:lineRule="auto"/>
        <w:jc w:val="both"/>
      </w:pPr>
    </w:p>
    <w:p w14:paraId="5A39DE72" w14:textId="40DAB3B5" w:rsidR="00B92FBB" w:rsidRDefault="008A09CC">
      <w:pPr>
        <w:spacing w:line="360" w:lineRule="auto"/>
        <w:jc w:val="both"/>
      </w:pPr>
      <w:r>
        <w:t xml:space="preserve">Kapitalna intenzivnost (KI) ima </w:t>
      </w:r>
      <w:r w:rsidR="005D2A4F">
        <w:t>signifikantan</w:t>
      </w:r>
      <w:r>
        <w:t xml:space="preserve"> koeficijent (≈ 0,00026; p &lt; 0,01). To sugerira da poduzeća s većim udjelom dugotrajne imovine u bilanci održavaju i više razine kratkotrajnih sredstava. To je čest slučaj kod kapitalno zahtjevnih poslovnih modela. Postotna promjena prihoda (PP) također pokazuje </w:t>
      </w:r>
      <w:r w:rsidR="005D2A4F">
        <w:t>signifikantan</w:t>
      </w:r>
      <w:r>
        <w:t xml:space="preserve"> učinak (≈ 2,5e-06; p &lt; 0,01. Rast prihoda u ovom sektoru izravno povećava likvidnost. To je u skladu s operativnom strukturom sektora gdje povećanje prihoda često prati veći priljev gotovine iz ugovorenih poslova i projekata.</w:t>
      </w:r>
    </w:p>
    <w:p w14:paraId="7917B23F" w14:textId="77777777" w:rsidR="00B92FBB" w:rsidRDefault="00B92FBB">
      <w:pPr>
        <w:spacing w:line="360" w:lineRule="auto"/>
        <w:jc w:val="both"/>
      </w:pPr>
    </w:p>
    <w:p w14:paraId="1D1E1E3D" w14:textId="48C41664" w:rsidR="00B92FBB" w:rsidRDefault="008A09CC">
      <w:pPr>
        <w:spacing w:line="360" w:lineRule="auto"/>
        <w:jc w:val="both"/>
      </w:pPr>
      <w:r>
        <w:t xml:space="preserve">Sveukupno, rezultati pokazuju da u sektoru N likvidnost snažno reagira na razinu zaduženosti, profitabilnost i rast prihoda, ali se efekti profitabilnosti mjerene ROA-om ne pokazuju </w:t>
      </w:r>
      <w:r w:rsidR="005D2A4F">
        <w:t>signifikantnima</w:t>
      </w:r>
      <w:r>
        <w:t>. Rezultati pokazuju da je važno pažljivo upravljati dugom i kapitalom kako bi poduzeća u ovom raznolikom sektoru zadržala financijsku stabilnost.</w:t>
      </w:r>
    </w:p>
    <w:p w14:paraId="5387ED3E" w14:textId="77777777" w:rsidR="006F38EA" w:rsidRDefault="006F38EA"/>
    <w:p w14:paraId="56BD07F0" w14:textId="0BB71F2E" w:rsidR="00D11EF7" w:rsidRPr="00D11EF7" w:rsidRDefault="00D11EF7" w:rsidP="00D11EF7">
      <w:pPr>
        <w:pStyle w:val="Opisslike"/>
        <w:keepNext/>
        <w:spacing w:line="360" w:lineRule="auto"/>
        <w:jc w:val="both"/>
        <w:rPr>
          <w:i w:val="0"/>
          <w:iCs w:val="0"/>
          <w:color w:val="000000" w:themeColor="text1"/>
          <w:sz w:val="22"/>
          <w:szCs w:val="22"/>
        </w:rPr>
      </w:pPr>
      <w:bookmarkStart w:id="77" w:name="_Toc207265206"/>
      <w:r w:rsidRPr="00D11EF7">
        <w:rPr>
          <w:i w:val="0"/>
          <w:iCs w:val="0"/>
          <w:color w:val="000000" w:themeColor="text1"/>
          <w:sz w:val="22"/>
          <w:szCs w:val="22"/>
        </w:rPr>
        <w:t xml:space="preserve">Tablica </w:t>
      </w:r>
      <w:r w:rsidRPr="00D11EF7">
        <w:rPr>
          <w:i w:val="0"/>
          <w:iCs w:val="0"/>
          <w:color w:val="000000" w:themeColor="text1"/>
          <w:sz w:val="22"/>
          <w:szCs w:val="22"/>
        </w:rPr>
        <w:fldChar w:fldCharType="begin"/>
      </w:r>
      <w:r w:rsidRPr="00D11EF7">
        <w:rPr>
          <w:i w:val="0"/>
          <w:iCs w:val="0"/>
          <w:color w:val="000000" w:themeColor="text1"/>
          <w:sz w:val="22"/>
          <w:szCs w:val="22"/>
        </w:rPr>
        <w:instrText xml:space="preserve"> SEQ Tablica \* ARABIC </w:instrText>
      </w:r>
      <w:r w:rsidRPr="00D11EF7">
        <w:rPr>
          <w:i w:val="0"/>
          <w:iCs w:val="0"/>
          <w:color w:val="000000" w:themeColor="text1"/>
          <w:sz w:val="22"/>
          <w:szCs w:val="22"/>
        </w:rPr>
        <w:fldChar w:fldCharType="separate"/>
      </w:r>
      <w:r>
        <w:rPr>
          <w:i w:val="0"/>
          <w:iCs w:val="0"/>
          <w:noProof/>
          <w:color w:val="000000" w:themeColor="text1"/>
          <w:sz w:val="22"/>
          <w:szCs w:val="22"/>
        </w:rPr>
        <w:t>12</w:t>
      </w:r>
      <w:r w:rsidRPr="00D11EF7">
        <w:rPr>
          <w:i w:val="0"/>
          <w:iCs w:val="0"/>
          <w:color w:val="000000" w:themeColor="text1"/>
          <w:sz w:val="22"/>
          <w:szCs w:val="22"/>
        </w:rPr>
        <w:fldChar w:fldCharType="end"/>
      </w:r>
      <w:r w:rsidRPr="00D11EF7">
        <w:rPr>
          <w:i w:val="0"/>
          <w:iCs w:val="0"/>
          <w:color w:val="000000" w:themeColor="text1"/>
          <w:sz w:val="22"/>
          <w:szCs w:val="22"/>
        </w:rPr>
        <w:t xml:space="preserve">. Rezultati dinamičkog panel modela za sektor N - Administrativne i pomoćne uslužne djelatnosti (podaci dostavljeni od strane FINA-e, izračun i obrada autorice u programu </w:t>
      </w:r>
      <w:proofErr w:type="spellStart"/>
      <w:r w:rsidRPr="00D11EF7">
        <w:rPr>
          <w:i w:val="0"/>
          <w:iCs w:val="0"/>
          <w:color w:val="000000" w:themeColor="text1"/>
          <w:sz w:val="22"/>
          <w:szCs w:val="22"/>
        </w:rPr>
        <w:t>EViews</w:t>
      </w:r>
      <w:proofErr w:type="spellEnd"/>
      <w:r w:rsidRPr="00D11EF7">
        <w:rPr>
          <w:i w:val="0"/>
          <w:iCs w:val="0"/>
          <w:color w:val="000000" w:themeColor="text1"/>
          <w:sz w:val="22"/>
          <w:szCs w:val="22"/>
        </w:rPr>
        <w:t xml:space="preserve"> 12)</w:t>
      </w:r>
      <w:bookmarkEnd w:id="77"/>
    </w:p>
    <w:tbl>
      <w:tblPr>
        <w:tblW w:w="8773" w:type="dxa"/>
        <w:tblLook w:val="04A0" w:firstRow="1" w:lastRow="0" w:firstColumn="1" w:lastColumn="0" w:noHBand="0" w:noVBand="1"/>
      </w:tblPr>
      <w:tblGrid>
        <w:gridCol w:w="1581"/>
        <w:gridCol w:w="3018"/>
        <w:gridCol w:w="2445"/>
        <w:gridCol w:w="1729"/>
      </w:tblGrid>
      <w:tr w:rsidR="006F38EA" w:rsidRPr="006F38EA" w14:paraId="676EE3CF" w14:textId="77777777" w:rsidTr="006F38EA">
        <w:trPr>
          <w:trHeight w:val="518"/>
        </w:trPr>
        <w:tc>
          <w:tcPr>
            <w:tcW w:w="7044" w:type="dxa"/>
            <w:gridSpan w:val="3"/>
            <w:tcBorders>
              <w:top w:val="single" w:sz="8" w:space="0" w:color="auto"/>
              <w:left w:val="single" w:sz="8" w:space="0" w:color="auto"/>
              <w:bottom w:val="nil"/>
              <w:right w:val="nil"/>
            </w:tcBorders>
            <w:vAlign w:val="center"/>
            <w:hideMark/>
          </w:tcPr>
          <w:p w14:paraId="72B39416" w14:textId="77777777" w:rsidR="006F38EA" w:rsidRPr="006F38EA" w:rsidRDefault="006F38EA" w:rsidP="006F38EA">
            <w:pPr>
              <w:spacing w:line="240" w:lineRule="auto"/>
              <w:jc w:val="center"/>
              <w:rPr>
                <w:rFonts w:ascii="Times New Roman" w:eastAsia="Times New Roman" w:hAnsi="Times New Roman" w:cs="Times New Roman"/>
                <w:b/>
                <w:bCs/>
                <w:color w:val="000000"/>
                <w:lang w:val="hr-HR" w:eastAsia="hr-HR"/>
              </w:rPr>
            </w:pPr>
            <w:r w:rsidRPr="006F38EA">
              <w:rPr>
                <w:rFonts w:ascii="Times New Roman" w:eastAsia="Times New Roman" w:hAnsi="Times New Roman" w:cs="Times New Roman"/>
                <w:b/>
                <w:bCs/>
                <w:color w:val="000000"/>
                <w:szCs w:val="24"/>
                <w:lang w:val="hr-HR" w:eastAsia="hr-HR"/>
              </w:rPr>
              <w:t>Varijabla / Opis</w:t>
            </w:r>
          </w:p>
        </w:tc>
        <w:tc>
          <w:tcPr>
            <w:tcW w:w="1729" w:type="dxa"/>
            <w:tcBorders>
              <w:top w:val="single" w:sz="8" w:space="0" w:color="auto"/>
              <w:left w:val="nil"/>
              <w:bottom w:val="nil"/>
              <w:right w:val="single" w:sz="8" w:space="0" w:color="auto"/>
            </w:tcBorders>
            <w:vAlign w:val="center"/>
            <w:hideMark/>
          </w:tcPr>
          <w:p w14:paraId="6E44FB70" w14:textId="77777777" w:rsidR="006F38EA" w:rsidRPr="006F38EA" w:rsidRDefault="006F38EA" w:rsidP="006F38EA">
            <w:pPr>
              <w:spacing w:line="240" w:lineRule="auto"/>
              <w:jc w:val="center"/>
              <w:rPr>
                <w:rFonts w:ascii="Times New Roman" w:eastAsia="Times New Roman" w:hAnsi="Times New Roman" w:cs="Times New Roman"/>
                <w:b/>
                <w:bCs/>
                <w:color w:val="000000"/>
                <w:lang w:val="hr-HR" w:eastAsia="hr-HR"/>
              </w:rPr>
            </w:pPr>
            <w:r w:rsidRPr="006F38EA">
              <w:rPr>
                <w:rFonts w:ascii="Times New Roman" w:eastAsia="Times New Roman" w:hAnsi="Times New Roman" w:cs="Times New Roman"/>
                <w:b/>
                <w:bCs/>
                <w:color w:val="000000"/>
                <w:szCs w:val="24"/>
                <w:lang w:val="hr-HR" w:eastAsia="hr-HR"/>
              </w:rPr>
              <w:t xml:space="preserve">Model </w:t>
            </w:r>
          </w:p>
        </w:tc>
      </w:tr>
      <w:tr w:rsidR="006F38EA" w:rsidRPr="006F38EA" w14:paraId="1914453A" w14:textId="77777777" w:rsidTr="006F38EA">
        <w:trPr>
          <w:trHeight w:val="561"/>
        </w:trPr>
        <w:tc>
          <w:tcPr>
            <w:tcW w:w="1581" w:type="dxa"/>
            <w:tcBorders>
              <w:top w:val="nil"/>
              <w:left w:val="single" w:sz="8" w:space="0" w:color="auto"/>
              <w:bottom w:val="nil"/>
              <w:right w:val="nil"/>
            </w:tcBorders>
            <w:shd w:val="clear" w:color="000000" w:fill="D9D9D9"/>
            <w:hideMark/>
          </w:tcPr>
          <w:p w14:paraId="24265A3C" w14:textId="77777777" w:rsidR="006F38EA" w:rsidRPr="006F38EA" w:rsidRDefault="006F38EA" w:rsidP="006F38EA">
            <w:pPr>
              <w:spacing w:line="240" w:lineRule="auto"/>
              <w:rPr>
                <w:rFonts w:ascii="Times New Roman" w:eastAsia="Times New Roman" w:hAnsi="Times New Roman" w:cs="Times New Roman"/>
                <w:b/>
                <w:bCs/>
                <w:color w:val="000000"/>
                <w:sz w:val="24"/>
                <w:szCs w:val="24"/>
                <w:lang w:val="hr-HR" w:eastAsia="hr-HR"/>
              </w:rPr>
            </w:pPr>
            <w:r w:rsidRPr="006F38EA">
              <w:rPr>
                <w:rFonts w:ascii="Times New Roman" w:eastAsia="Times New Roman" w:hAnsi="Times New Roman" w:cs="Times New Roman"/>
                <w:b/>
                <w:bCs/>
                <w:color w:val="000000"/>
                <w:sz w:val="24"/>
                <w:szCs w:val="24"/>
                <w:lang w:val="hr-HR" w:eastAsia="hr-HR"/>
              </w:rPr>
              <w:t xml:space="preserve">KTL </w:t>
            </w:r>
            <w:proofErr w:type="spellStart"/>
            <w:r w:rsidRPr="006F38EA">
              <w:rPr>
                <w:rFonts w:ascii="Times New Roman" w:eastAsia="Times New Roman" w:hAnsi="Times New Roman" w:cs="Times New Roman"/>
                <w:b/>
                <w:bCs/>
                <w:color w:val="000000"/>
                <w:sz w:val="24"/>
                <w:szCs w:val="24"/>
                <w:lang w:val="hr-HR" w:eastAsia="hr-HR"/>
              </w:rPr>
              <w:t>i,t</w:t>
            </w:r>
            <w:proofErr w:type="spellEnd"/>
          </w:p>
        </w:tc>
        <w:tc>
          <w:tcPr>
            <w:tcW w:w="5463" w:type="dxa"/>
            <w:gridSpan w:val="2"/>
            <w:tcBorders>
              <w:top w:val="nil"/>
              <w:left w:val="nil"/>
              <w:bottom w:val="nil"/>
              <w:right w:val="nil"/>
            </w:tcBorders>
            <w:shd w:val="clear" w:color="000000" w:fill="D9D9D9"/>
            <w:vAlign w:val="center"/>
            <w:hideMark/>
          </w:tcPr>
          <w:p w14:paraId="6E60880F" w14:textId="77777777" w:rsidR="006F38EA" w:rsidRPr="006F38EA" w:rsidRDefault="006F38EA" w:rsidP="006F38EA">
            <w:pPr>
              <w:spacing w:line="240" w:lineRule="auto"/>
              <w:rPr>
                <w:rFonts w:ascii="Times New Roman" w:eastAsia="Times New Roman" w:hAnsi="Times New Roman" w:cs="Times New Roman"/>
                <w:b/>
                <w:bCs/>
                <w:color w:val="000000"/>
                <w:lang w:val="hr-HR" w:eastAsia="hr-HR"/>
              </w:rPr>
            </w:pPr>
            <w:r w:rsidRPr="006F38EA">
              <w:rPr>
                <w:rFonts w:ascii="Times New Roman" w:eastAsia="Times New Roman" w:hAnsi="Times New Roman" w:cs="Times New Roman"/>
                <w:b/>
                <w:bCs/>
                <w:color w:val="000000"/>
                <w:lang w:val="hr-HR" w:eastAsia="hr-HR"/>
              </w:rPr>
              <w:t>Zavisna varijabla</w:t>
            </w:r>
          </w:p>
        </w:tc>
        <w:tc>
          <w:tcPr>
            <w:tcW w:w="1729" w:type="dxa"/>
            <w:tcBorders>
              <w:top w:val="nil"/>
              <w:left w:val="nil"/>
              <w:bottom w:val="nil"/>
              <w:right w:val="single" w:sz="8" w:space="0" w:color="auto"/>
            </w:tcBorders>
            <w:shd w:val="clear" w:color="000000" w:fill="D9D9D9"/>
            <w:vAlign w:val="center"/>
            <w:hideMark/>
          </w:tcPr>
          <w:p w14:paraId="0850A69B" w14:textId="77777777" w:rsidR="006F38EA" w:rsidRPr="006F38EA" w:rsidRDefault="006F38EA" w:rsidP="006F38EA">
            <w:pPr>
              <w:spacing w:line="240" w:lineRule="auto"/>
              <w:rPr>
                <w:rFonts w:ascii="Times New Roman" w:eastAsia="Times New Roman" w:hAnsi="Times New Roman" w:cs="Times New Roman"/>
                <w:b/>
                <w:bCs/>
                <w:color w:val="000000"/>
                <w:lang w:val="hr-HR" w:eastAsia="hr-HR"/>
              </w:rPr>
            </w:pPr>
            <w:r w:rsidRPr="006F38EA">
              <w:rPr>
                <w:rFonts w:ascii="Times New Roman" w:eastAsia="Times New Roman" w:hAnsi="Times New Roman" w:cs="Times New Roman"/>
                <w:b/>
                <w:bCs/>
                <w:szCs w:val="24"/>
                <w:lang w:val="hr-HR" w:eastAsia="hr-HR"/>
              </w:rPr>
              <w:t>-</w:t>
            </w:r>
          </w:p>
        </w:tc>
      </w:tr>
      <w:tr w:rsidR="006F38EA" w:rsidRPr="006F38EA" w14:paraId="3EF1D860" w14:textId="77777777" w:rsidTr="006F38EA">
        <w:trPr>
          <w:trHeight w:val="518"/>
        </w:trPr>
        <w:tc>
          <w:tcPr>
            <w:tcW w:w="1581" w:type="dxa"/>
            <w:vMerge w:val="restart"/>
            <w:tcBorders>
              <w:top w:val="nil"/>
              <w:left w:val="single" w:sz="8" w:space="0" w:color="auto"/>
              <w:bottom w:val="nil"/>
              <w:right w:val="nil"/>
            </w:tcBorders>
            <w:hideMark/>
          </w:tcPr>
          <w:p w14:paraId="39B08F66" w14:textId="77777777" w:rsidR="006F38EA" w:rsidRPr="006F38EA" w:rsidRDefault="006F38EA" w:rsidP="006F38EA">
            <w:pPr>
              <w:spacing w:line="240" w:lineRule="auto"/>
              <w:rPr>
                <w:rFonts w:ascii="Times New Roman" w:eastAsia="Times New Roman" w:hAnsi="Times New Roman" w:cs="Times New Roman"/>
                <w:color w:val="000000"/>
                <w:sz w:val="24"/>
                <w:szCs w:val="24"/>
                <w:lang w:val="hr-HR" w:eastAsia="hr-HR"/>
              </w:rPr>
            </w:pPr>
            <w:r w:rsidRPr="006F38EA">
              <w:rPr>
                <w:rFonts w:ascii="Times New Roman" w:eastAsia="Times New Roman" w:hAnsi="Times New Roman" w:cs="Times New Roman"/>
                <w:color w:val="000000"/>
                <w:sz w:val="24"/>
                <w:szCs w:val="24"/>
                <w:lang w:val="hr-HR" w:eastAsia="hr-HR"/>
              </w:rPr>
              <w:t xml:space="preserve">KTL </w:t>
            </w:r>
            <w:proofErr w:type="spellStart"/>
            <w:r w:rsidRPr="006F38EA">
              <w:rPr>
                <w:rFonts w:ascii="Times New Roman" w:eastAsia="Times New Roman" w:hAnsi="Times New Roman" w:cs="Times New Roman"/>
                <w:color w:val="000000"/>
                <w:sz w:val="24"/>
                <w:szCs w:val="24"/>
                <w:lang w:val="hr-HR" w:eastAsia="hr-HR"/>
              </w:rPr>
              <w:t>i,t</w:t>
            </w:r>
            <w:proofErr w:type="spellEnd"/>
          </w:p>
        </w:tc>
        <w:tc>
          <w:tcPr>
            <w:tcW w:w="3018" w:type="dxa"/>
            <w:vMerge w:val="restart"/>
            <w:tcBorders>
              <w:top w:val="nil"/>
              <w:left w:val="nil"/>
              <w:bottom w:val="nil"/>
              <w:right w:val="nil"/>
            </w:tcBorders>
            <w:vAlign w:val="center"/>
            <w:hideMark/>
          </w:tcPr>
          <w:p w14:paraId="457A00EA"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Konstanta</w:t>
            </w:r>
          </w:p>
        </w:tc>
        <w:tc>
          <w:tcPr>
            <w:tcW w:w="2445" w:type="dxa"/>
            <w:tcBorders>
              <w:top w:val="nil"/>
              <w:left w:val="nil"/>
              <w:bottom w:val="nil"/>
              <w:right w:val="nil"/>
            </w:tcBorders>
            <w:vAlign w:val="center"/>
            <w:hideMark/>
          </w:tcPr>
          <w:p w14:paraId="7481E812"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 xml:space="preserve">Koeficijent </w:t>
            </w:r>
          </w:p>
        </w:tc>
        <w:tc>
          <w:tcPr>
            <w:tcW w:w="1729" w:type="dxa"/>
            <w:tcBorders>
              <w:top w:val="nil"/>
              <w:left w:val="nil"/>
              <w:bottom w:val="nil"/>
              <w:right w:val="single" w:sz="8" w:space="0" w:color="auto"/>
            </w:tcBorders>
            <w:vAlign w:val="center"/>
            <w:hideMark/>
          </w:tcPr>
          <w:p w14:paraId="36B0FD4A"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-0,01875</w:t>
            </w:r>
          </w:p>
        </w:tc>
      </w:tr>
      <w:tr w:rsidR="006F38EA" w:rsidRPr="006F38EA" w14:paraId="1CB3ACF6" w14:textId="77777777" w:rsidTr="006F38EA">
        <w:trPr>
          <w:trHeight w:val="518"/>
        </w:trPr>
        <w:tc>
          <w:tcPr>
            <w:tcW w:w="1581" w:type="dxa"/>
            <w:vMerge/>
            <w:tcBorders>
              <w:top w:val="nil"/>
              <w:left w:val="single" w:sz="8" w:space="0" w:color="auto"/>
              <w:bottom w:val="nil"/>
              <w:right w:val="nil"/>
            </w:tcBorders>
            <w:vAlign w:val="center"/>
            <w:hideMark/>
          </w:tcPr>
          <w:p w14:paraId="5F06A235" w14:textId="77777777" w:rsidR="006F38EA" w:rsidRPr="006F38EA" w:rsidRDefault="006F38EA" w:rsidP="006F38EA">
            <w:pPr>
              <w:spacing w:line="240" w:lineRule="auto"/>
              <w:rPr>
                <w:rFonts w:ascii="Times New Roman" w:eastAsia="Times New Roman" w:hAnsi="Times New Roman" w:cs="Times New Roman"/>
                <w:color w:val="000000"/>
                <w:sz w:val="24"/>
                <w:szCs w:val="24"/>
                <w:lang w:val="hr-HR" w:eastAsia="hr-HR"/>
              </w:rPr>
            </w:pPr>
          </w:p>
        </w:tc>
        <w:tc>
          <w:tcPr>
            <w:tcW w:w="3018" w:type="dxa"/>
            <w:vMerge/>
            <w:tcBorders>
              <w:top w:val="nil"/>
              <w:left w:val="nil"/>
              <w:bottom w:val="nil"/>
              <w:right w:val="nil"/>
            </w:tcBorders>
            <w:vAlign w:val="center"/>
            <w:hideMark/>
          </w:tcPr>
          <w:p w14:paraId="1C89A219"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2445" w:type="dxa"/>
            <w:tcBorders>
              <w:top w:val="nil"/>
              <w:left w:val="nil"/>
              <w:bottom w:val="nil"/>
              <w:right w:val="nil"/>
            </w:tcBorders>
            <w:vAlign w:val="center"/>
            <w:hideMark/>
          </w:tcPr>
          <w:p w14:paraId="671C6090"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p-vrijednost</w:t>
            </w:r>
          </w:p>
        </w:tc>
        <w:tc>
          <w:tcPr>
            <w:tcW w:w="1729" w:type="dxa"/>
            <w:tcBorders>
              <w:top w:val="nil"/>
              <w:left w:val="nil"/>
              <w:bottom w:val="nil"/>
              <w:right w:val="single" w:sz="8" w:space="0" w:color="auto"/>
            </w:tcBorders>
            <w:vAlign w:val="center"/>
            <w:hideMark/>
          </w:tcPr>
          <w:p w14:paraId="46B15917"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0,0000</w:t>
            </w:r>
          </w:p>
        </w:tc>
      </w:tr>
      <w:tr w:rsidR="006F38EA" w:rsidRPr="006F38EA" w14:paraId="02BBF09C" w14:textId="77777777" w:rsidTr="006F38EA">
        <w:trPr>
          <w:trHeight w:val="518"/>
        </w:trPr>
        <w:tc>
          <w:tcPr>
            <w:tcW w:w="1581" w:type="dxa"/>
            <w:vMerge w:val="restart"/>
            <w:tcBorders>
              <w:top w:val="nil"/>
              <w:left w:val="single" w:sz="8" w:space="0" w:color="auto"/>
              <w:bottom w:val="nil"/>
              <w:right w:val="nil"/>
            </w:tcBorders>
            <w:vAlign w:val="center"/>
            <w:hideMark/>
          </w:tcPr>
          <w:p w14:paraId="33FF1888"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DER</w:t>
            </w:r>
          </w:p>
        </w:tc>
        <w:tc>
          <w:tcPr>
            <w:tcW w:w="3018" w:type="dxa"/>
            <w:vMerge w:val="restart"/>
            <w:tcBorders>
              <w:top w:val="nil"/>
              <w:left w:val="nil"/>
              <w:bottom w:val="nil"/>
              <w:right w:val="nil"/>
            </w:tcBorders>
            <w:vAlign w:val="center"/>
            <w:hideMark/>
          </w:tcPr>
          <w:p w14:paraId="5C5CF7F7"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Nezavisna varijabla</w:t>
            </w:r>
          </w:p>
        </w:tc>
        <w:tc>
          <w:tcPr>
            <w:tcW w:w="2445" w:type="dxa"/>
            <w:tcBorders>
              <w:top w:val="nil"/>
              <w:left w:val="nil"/>
              <w:bottom w:val="nil"/>
              <w:right w:val="nil"/>
            </w:tcBorders>
            <w:vAlign w:val="center"/>
            <w:hideMark/>
          </w:tcPr>
          <w:p w14:paraId="75A1A168"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Koeficijent (ß)</w:t>
            </w:r>
          </w:p>
        </w:tc>
        <w:tc>
          <w:tcPr>
            <w:tcW w:w="1729" w:type="dxa"/>
            <w:tcBorders>
              <w:top w:val="nil"/>
              <w:left w:val="nil"/>
              <w:bottom w:val="nil"/>
              <w:right w:val="single" w:sz="8" w:space="0" w:color="auto"/>
            </w:tcBorders>
            <w:vAlign w:val="center"/>
            <w:hideMark/>
          </w:tcPr>
          <w:p w14:paraId="54BA1B73"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0,036039</w:t>
            </w:r>
          </w:p>
        </w:tc>
      </w:tr>
      <w:tr w:rsidR="006F38EA" w:rsidRPr="006F38EA" w14:paraId="60F170BE" w14:textId="77777777" w:rsidTr="006F38EA">
        <w:trPr>
          <w:trHeight w:val="518"/>
        </w:trPr>
        <w:tc>
          <w:tcPr>
            <w:tcW w:w="1581" w:type="dxa"/>
            <w:vMerge/>
            <w:tcBorders>
              <w:top w:val="nil"/>
              <w:left w:val="single" w:sz="8" w:space="0" w:color="auto"/>
              <w:bottom w:val="nil"/>
              <w:right w:val="nil"/>
            </w:tcBorders>
            <w:vAlign w:val="center"/>
            <w:hideMark/>
          </w:tcPr>
          <w:p w14:paraId="7F0A3E60"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3018" w:type="dxa"/>
            <w:vMerge/>
            <w:tcBorders>
              <w:top w:val="nil"/>
              <w:left w:val="nil"/>
              <w:bottom w:val="nil"/>
              <w:right w:val="nil"/>
            </w:tcBorders>
            <w:vAlign w:val="center"/>
            <w:hideMark/>
          </w:tcPr>
          <w:p w14:paraId="4707E170"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2445" w:type="dxa"/>
            <w:tcBorders>
              <w:top w:val="nil"/>
              <w:left w:val="nil"/>
              <w:bottom w:val="nil"/>
              <w:right w:val="nil"/>
            </w:tcBorders>
            <w:vAlign w:val="center"/>
            <w:hideMark/>
          </w:tcPr>
          <w:p w14:paraId="14605A22"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nil"/>
              <w:right w:val="single" w:sz="8" w:space="0" w:color="auto"/>
            </w:tcBorders>
            <w:vAlign w:val="center"/>
            <w:hideMark/>
          </w:tcPr>
          <w:p w14:paraId="4F6E9907"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0,0000</w:t>
            </w:r>
          </w:p>
        </w:tc>
      </w:tr>
      <w:tr w:rsidR="006F38EA" w:rsidRPr="006F38EA" w14:paraId="096A0A05" w14:textId="77777777" w:rsidTr="006F38EA">
        <w:trPr>
          <w:trHeight w:val="518"/>
        </w:trPr>
        <w:tc>
          <w:tcPr>
            <w:tcW w:w="1581" w:type="dxa"/>
            <w:vMerge w:val="restart"/>
            <w:tcBorders>
              <w:top w:val="nil"/>
              <w:left w:val="single" w:sz="8" w:space="0" w:color="auto"/>
              <w:bottom w:val="nil"/>
              <w:right w:val="nil"/>
            </w:tcBorders>
            <w:vAlign w:val="center"/>
            <w:hideMark/>
          </w:tcPr>
          <w:p w14:paraId="297F02A4"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ROA</w:t>
            </w:r>
          </w:p>
        </w:tc>
        <w:tc>
          <w:tcPr>
            <w:tcW w:w="3018" w:type="dxa"/>
            <w:vMerge w:val="restart"/>
            <w:tcBorders>
              <w:top w:val="nil"/>
              <w:left w:val="nil"/>
              <w:bottom w:val="nil"/>
              <w:right w:val="nil"/>
            </w:tcBorders>
            <w:vAlign w:val="center"/>
            <w:hideMark/>
          </w:tcPr>
          <w:p w14:paraId="08950A59"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Nezavisna varijabla</w:t>
            </w:r>
          </w:p>
        </w:tc>
        <w:tc>
          <w:tcPr>
            <w:tcW w:w="2445" w:type="dxa"/>
            <w:tcBorders>
              <w:top w:val="nil"/>
              <w:left w:val="nil"/>
              <w:bottom w:val="nil"/>
              <w:right w:val="nil"/>
            </w:tcBorders>
            <w:vAlign w:val="center"/>
            <w:hideMark/>
          </w:tcPr>
          <w:p w14:paraId="58BAB7B8"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Koeficijent (ß)</w:t>
            </w:r>
          </w:p>
        </w:tc>
        <w:tc>
          <w:tcPr>
            <w:tcW w:w="1729" w:type="dxa"/>
            <w:tcBorders>
              <w:top w:val="nil"/>
              <w:left w:val="nil"/>
              <w:bottom w:val="nil"/>
              <w:right w:val="single" w:sz="8" w:space="0" w:color="auto"/>
            </w:tcBorders>
            <w:vAlign w:val="center"/>
            <w:hideMark/>
          </w:tcPr>
          <w:p w14:paraId="0E270150"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-7,68E-07</w:t>
            </w:r>
          </w:p>
        </w:tc>
      </w:tr>
      <w:tr w:rsidR="006F38EA" w:rsidRPr="006F38EA" w14:paraId="69818D28" w14:textId="77777777" w:rsidTr="006F38EA">
        <w:trPr>
          <w:trHeight w:val="518"/>
        </w:trPr>
        <w:tc>
          <w:tcPr>
            <w:tcW w:w="1581" w:type="dxa"/>
            <w:vMerge/>
            <w:tcBorders>
              <w:top w:val="nil"/>
              <w:left w:val="single" w:sz="8" w:space="0" w:color="auto"/>
              <w:bottom w:val="nil"/>
              <w:right w:val="nil"/>
            </w:tcBorders>
            <w:vAlign w:val="center"/>
            <w:hideMark/>
          </w:tcPr>
          <w:p w14:paraId="440F1EE2"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3018" w:type="dxa"/>
            <w:vMerge/>
            <w:tcBorders>
              <w:top w:val="nil"/>
              <w:left w:val="nil"/>
              <w:bottom w:val="nil"/>
              <w:right w:val="nil"/>
            </w:tcBorders>
            <w:vAlign w:val="center"/>
            <w:hideMark/>
          </w:tcPr>
          <w:p w14:paraId="13209F5E"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2445" w:type="dxa"/>
            <w:tcBorders>
              <w:top w:val="nil"/>
              <w:left w:val="nil"/>
              <w:bottom w:val="nil"/>
              <w:right w:val="nil"/>
            </w:tcBorders>
            <w:vAlign w:val="center"/>
            <w:hideMark/>
          </w:tcPr>
          <w:p w14:paraId="658E95C3"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nil"/>
              <w:right w:val="single" w:sz="8" w:space="0" w:color="auto"/>
            </w:tcBorders>
            <w:vAlign w:val="center"/>
            <w:hideMark/>
          </w:tcPr>
          <w:p w14:paraId="2A145805"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0,7257</w:t>
            </w:r>
          </w:p>
        </w:tc>
      </w:tr>
      <w:tr w:rsidR="006F38EA" w:rsidRPr="006F38EA" w14:paraId="617F7F26" w14:textId="77777777" w:rsidTr="006F38EA">
        <w:trPr>
          <w:trHeight w:val="518"/>
        </w:trPr>
        <w:tc>
          <w:tcPr>
            <w:tcW w:w="1581" w:type="dxa"/>
            <w:vMerge w:val="restart"/>
            <w:tcBorders>
              <w:top w:val="nil"/>
              <w:left w:val="single" w:sz="8" w:space="0" w:color="auto"/>
              <w:bottom w:val="nil"/>
              <w:right w:val="nil"/>
            </w:tcBorders>
            <w:vAlign w:val="center"/>
            <w:hideMark/>
          </w:tcPr>
          <w:p w14:paraId="2A113377"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ROE</w:t>
            </w:r>
          </w:p>
        </w:tc>
        <w:tc>
          <w:tcPr>
            <w:tcW w:w="3018" w:type="dxa"/>
            <w:vMerge w:val="restart"/>
            <w:tcBorders>
              <w:top w:val="nil"/>
              <w:left w:val="nil"/>
              <w:bottom w:val="nil"/>
              <w:right w:val="nil"/>
            </w:tcBorders>
            <w:vAlign w:val="center"/>
            <w:hideMark/>
          </w:tcPr>
          <w:p w14:paraId="70F02056"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Nezavisna varijabla</w:t>
            </w:r>
          </w:p>
        </w:tc>
        <w:tc>
          <w:tcPr>
            <w:tcW w:w="2445" w:type="dxa"/>
            <w:tcBorders>
              <w:top w:val="nil"/>
              <w:left w:val="nil"/>
              <w:bottom w:val="nil"/>
              <w:right w:val="nil"/>
            </w:tcBorders>
            <w:vAlign w:val="center"/>
            <w:hideMark/>
          </w:tcPr>
          <w:p w14:paraId="471587B7"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Koeficijent (ß)</w:t>
            </w:r>
          </w:p>
        </w:tc>
        <w:tc>
          <w:tcPr>
            <w:tcW w:w="1729" w:type="dxa"/>
            <w:tcBorders>
              <w:top w:val="nil"/>
              <w:left w:val="nil"/>
              <w:bottom w:val="nil"/>
              <w:right w:val="single" w:sz="8" w:space="0" w:color="auto"/>
            </w:tcBorders>
            <w:vAlign w:val="center"/>
            <w:hideMark/>
          </w:tcPr>
          <w:p w14:paraId="200456B7"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0,001807</w:t>
            </w:r>
          </w:p>
        </w:tc>
      </w:tr>
      <w:tr w:rsidR="006F38EA" w:rsidRPr="006F38EA" w14:paraId="03C1A461" w14:textId="77777777" w:rsidTr="006F38EA">
        <w:trPr>
          <w:trHeight w:val="518"/>
        </w:trPr>
        <w:tc>
          <w:tcPr>
            <w:tcW w:w="1581" w:type="dxa"/>
            <w:vMerge/>
            <w:tcBorders>
              <w:top w:val="nil"/>
              <w:left w:val="single" w:sz="8" w:space="0" w:color="auto"/>
              <w:bottom w:val="nil"/>
              <w:right w:val="nil"/>
            </w:tcBorders>
            <w:vAlign w:val="center"/>
            <w:hideMark/>
          </w:tcPr>
          <w:p w14:paraId="733DB862"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3018" w:type="dxa"/>
            <w:vMerge/>
            <w:tcBorders>
              <w:top w:val="nil"/>
              <w:left w:val="nil"/>
              <w:bottom w:val="nil"/>
              <w:right w:val="nil"/>
            </w:tcBorders>
            <w:vAlign w:val="center"/>
            <w:hideMark/>
          </w:tcPr>
          <w:p w14:paraId="21D770CE"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2445" w:type="dxa"/>
            <w:tcBorders>
              <w:top w:val="nil"/>
              <w:left w:val="nil"/>
              <w:bottom w:val="nil"/>
              <w:right w:val="nil"/>
            </w:tcBorders>
            <w:vAlign w:val="center"/>
            <w:hideMark/>
          </w:tcPr>
          <w:p w14:paraId="610F4336"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nil"/>
              <w:right w:val="single" w:sz="8" w:space="0" w:color="auto"/>
            </w:tcBorders>
            <w:vAlign w:val="center"/>
            <w:hideMark/>
          </w:tcPr>
          <w:p w14:paraId="2192472F"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0,0000</w:t>
            </w:r>
          </w:p>
        </w:tc>
      </w:tr>
      <w:tr w:rsidR="006F38EA" w:rsidRPr="006F38EA" w14:paraId="0263690D" w14:textId="77777777" w:rsidTr="006F38EA">
        <w:trPr>
          <w:trHeight w:val="518"/>
        </w:trPr>
        <w:tc>
          <w:tcPr>
            <w:tcW w:w="1581" w:type="dxa"/>
            <w:vMerge w:val="restart"/>
            <w:tcBorders>
              <w:top w:val="nil"/>
              <w:left w:val="single" w:sz="8" w:space="0" w:color="auto"/>
              <w:bottom w:val="nil"/>
              <w:right w:val="nil"/>
            </w:tcBorders>
            <w:vAlign w:val="center"/>
            <w:hideMark/>
          </w:tcPr>
          <w:p w14:paraId="36CBC999"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KI</w:t>
            </w:r>
          </w:p>
        </w:tc>
        <w:tc>
          <w:tcPr>
            <w:tcW w:w="3018" w:type="dxa"/>
            <w:vMerge w:val="restart"/>
            <w:tcBorders>
              <w:top w:val="nil"/>
              <w:left w:val="nil"/>
              <w:bottom w:val="nil"/>
              <w:right w:val="nil"/>
            </w:tcBorders>
            <w:vAlign w:val="center"/>
            <w:hideMark/>
          </w:tcPr>
          <w:p w14:paraId="4301BA70"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Nezavisna varijabla</w:t>
            </w:r>
          </w:p>
        </w:tc>
        <w:tc>
          <w:tcPr>
            <w:tcW w:w="2445" w:type="dxa"/>
            <w:tcBorders>
              <w:top w:val="nil"/>
              <w:left w:val="nil"/>
              <w:bottom w:val="nil"/>
              <w:right w:val="nil"/>
            </w:tcBorders>
            <w:vAlign w:val="center"/>
            <w:hideMark/>
          </w:tcPr>
          <w:p w14:paraId="345A3BF2"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Koeficijent (ß)</w:t>
            </w:r>
          </w:p>
        </w:tc>
        <w:tc>
          <w:tcPr>
            <w:tcW w:w="1729" w:type="dxa"/>
            <w:tcBorders>
              <w:top w:val="nil"/>
              <w:left w:val="nil"/>
              <w:bottom w:val="nil"/>
              <w:right w:val="single" w:sz="8" w:space="0" w:color="auto"/>
            </w:tcBorders>
            <w:vAlign w:val="center"/>
            <w:hideMark/>
          </w:tcPr>
          <w:p w14:paraId="04BA83EA"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0,000255</w:t>
            </w:r>
          </w:p>
        </w:tc>
      </w:tr>
      <w:tr w:rsidR="006F38EA" w:rsidRPr="006F38EA" w14:paraId="238D014E" w14:textId="77777777" w:rsidTr="006F38EA">
        <w:trPr>
          <w:trHeight w:val="518"/>
        </w:trPr>
        <w:tc>
          <w:tcPr>
            <w:tcW w:w="1581" w:type="dxa"/>
            <w:vMerge/>
            <w:tcBorders>
              <w:top w:val="nil"/>
              <w:left w:val="single" w:sz="8" w:space="0" w:color="auto"/>
              <w:bottom w:val="nil"/>
              <w:right w:val="nil"/>
            </w:tcBorders>
            <w:vAlign w:val="center"/>
            <w:hideMark/>
          </w:tcPr>
          <w:p w14:paraId="3AC1BE50"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3018" w:type="dxa"/>
            <w:vMerge/>
            <w:tcBorders>
              <w:top w:val="nil"/>
              <w:left w:val="nil"/>
              <w:bottom w:val="nil"/>
              <w:right w:val="nil"/>
            </w:tcBorders>
            <w:vAlign w:val="center"/>
            <w:hideMark/>
          </w:tcPr>
          <w:p w14:paraId="35AECB72"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2445" w:type="dxa"/>
            <w:tcBorders>
              <w:top w:val="nil"/>
              <w:left w:val="nil"/>
              <w:bottom w:val="nil"/>
              <w:right w:val="nil"/>
            </w:tcBorders>
            <w:vAlign w:val="center"/>
            <w:hideMark/>
          </w:tcPr>
          <w:p w14:paraId="0DBFB0BB"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nil"/>
              <w:right w:val="single" w:sz="8" w:space="0" w:color="auto"/>
            </w:tcBorders>
            <w:vAlign w:val="center"/>
            <w:hideMark/>
          </w:tcPr>
          <w:p w14:paraId="0DEBA105"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0,0000</w:t>
            </w:r>
          </w:p>
        </w:tc>
      </w:tr>
      <w:tr w:rsidR="006F38EA" w:rsidRPr="006F38EA" w14:paraId="57F4D233" w14:textId="77777777" w:rsidTr="006F38EA">
        <w:trPr>
          <w:trHeight w:val="518"/>
        </w:trPr>
        <w:tc>
          <w:tcPr>
            <w:tcW w:w="1581" w:type="dxa"/>
            <w:vMerge w:val="restart"/>
            <w:tcBorders>
              <w:top w:val="nil"/>
              <w:left w:val="single" w:sz="8" w:space="0" w:color="auto"/>
              <w:bottom w:val="nil"/>
              <w:right w:val="nil"/>
            </w:tcBorders>
            <w:vAlign w:val="center"/>
            <w:hideMark/>
          </w:tcPr>
          <w:p w14:paraId="7377C18F"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PP</w:t>
            </w:r>
          </w:p>
        </w:tc>
        <w:tc>
          <w:tcPr>
            <w:tcW w:w="3018" w:type="dxa"/>
            <w:vMerge w:val="restart"/>
            <w:tcBorders>
              <w:top w:val="nil"/>
              <w:left w:val="nil"/>
              <w:bottom w:val="nil"/>
              <w:right w:val="nil"/>
            </w:tcBorders>
            <w:vAlign w:val="center"/>
            <w:hideMark/>
          </w:tcPr>
          <w:p w14:paraId="54497BF1"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Nezavisna varijabla</w:t>
            </w:r>
          </w:p>
        </w:tc>
        <w:tc>
          <w:tcPr>
            <w:tcW w:w="2445" w:type="dxa"/>
            <w:tcBorders>
              <w:top w:val="nil"/>
              <w:left w:val="nil"/>
              <w:bottom w:val="nil"/>
              <w:right w:val="nil"/>
            </w:tcBorders>
            <w:vAlign w:val="center"/>
            <w:hideMark/>
          </w:tcPr>
          <w:p w14:paraId="2224A318"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Koeficijent (ß)</w:t>
            </w:r>
          </w:p>
        </w:tc>
        <w:tc>
          <w:tcPr>
            <w:tcW w:w="1729" w:type="dxa"/>
            <w:tcBorders>
              <w:top w:val="nil"/>
              <w:left w:val="nil"/>
              <w:bottom w:val="nil"/>
              <w:right w:val="single" w:sz="8" w:space="0" w:color="auto"/>
            </w:tcBorders>
            <w:vAlign w:val="center"/>
            <w:hideMark/>
          </w:tcPr>
          <w:p w14:paraId="7291A1B0"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2,53E-06</w:t>
            </w:r>
          </w:p>
        </w:tc>
      </w:tr>
      <w:tr w:rsidR="006F38EA" w:rsidRPr="006F38EA" w14:paraId="4C3CAE3B" w14:textId="77777777" w:rsidTr="006F38EA">
        <w:trPr>
          <w:trHeight w:val="539"/>
        </w:trPr>
        <w:tc>
          <w:tcPr>
            <w:tcW w:w="1581" w:type="dxa"/>
            <w:vMerge/>
            <w:tcBorders>
              <w:top w:val="nil"/>
              <w:left w:val="single" w:sz="8" w:space="0" w:color="auto"/>
              <w:bottom w:val="nil"/>
              <w:right w:val="nil"/>
            </w:tcBorders>
            <w:vAlign w:val="center"/>
            <w:hideMark/>
          </w:tcPr>
          <w:p w14:paraId="6630D2B4"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3018" w:type="dxa"/>
            <w:vMerge/>
            <w:tcBorders>
              <w:top w:val="nil"/>
              <w:left w:val="nil"/>
              <w:bottom w:val="nil"/>
              <w:right w:val="nil"/>
            </w:tcBorders>
            <w:vAlign w:val="center"/>
            <w:hideMark/>
          </w:tcPr>
          <w:p w14:paraId="7A103DF8" w14:textId="77777777" w:rsidR="006F38EA" w:rsidRPr="006F38EA" w:rsidRDefault="006F38EA" w:rsidP="006F38EA">
            <w:pPr>
              <w:spacing w:line="240" w:lineRule="auto"/>
              <w:rPr>
                <w:rFonts w:ascii="Times New Roman" w:eastAsia="Times New Roman" w:hAnsi="Times New Roman" w:cs="Times New Roman"/>
                <w:color w:val="000000"/>
                <w:lang w:val="hr-HR" w:eastAsia="hr-HR"/>
              </w:rPr>
            </w:pPr>
          </w:p>
        </w:tc>
        <w:tc>
          <w:tcPr>
            <w:tcW w:w="2445" w:type="dxa"/>
            <w:tcBorders>
              <w:top w:val="nil"/>
              <w:left w:val="nil"/>
              <w:bottom w:val="nil"/>
              <w:right w:val="nil"/>
            </w:tcBorders>
            <w:vAlign w:val="center"/>
            <w:hideMark/>
          </w:tcPr>
          <w:p w14:paraId="5C265997"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single" w:sz="8" w:space="0" w:color="auto"/>
              <w:right w:val="single" w:sz="8" w:space="0" w:color="auto"/>
            </w:tcBorders>
            <w:vAlign w:val="center"/>
            <w:hideMark/>
          </w:tcPr>
          <w:p w14:paraId="4647D17E"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0,0000</w:t>
            </w:r>
          </w:p>
        </w:tc>
      </w:tr>
      <w:tr w:rsidR="006F38EA" w:rsidRPr="006F38EA" w14:paraId="03D9ADE1" w14:textId="77777777" w:rsidTr="006F38EA">
        <w:trPr>
          <w:trHeight w:val="518"/>
        </w:trPr>
        <w:tc>
          <w:tcPr>
            <w:tcW w:w="7044" w:type="dxa"/>
            <w:gridSpan w:val="3"/>
            <w:tcBorders>
              <w:top w:val="single" w:sz="8" w:space="0" w:color="auto"/>
              <w:left w:val="single" w:sz="8" w:space="0" w:color="auto"/>
              <w:bottom w:val="nil"/>
              <w:right w:val="nil"/>
            </w:tcBorders>
            <w:vAlign w:val="center"/>
            <w:hideMark/>
          </w:tcPr>
          <w:p w14:paraId="4EF4F702"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Broj opažanja</w:t>
            </w:r>
          </w:p>
        </w:tc>
        <w:tc>
          <w:tcPr>
            <w:tcW w:w="1729" w:type="dxa"/>
            <w:tcBorders>
              <w:top w:val="nil"/>
              <w:left w:val="nil"/>
              <w:bottom w:val="nil"/>
              <w:right w:val="single" w:sz="8" w:space="0" w:color="auto"/>
            </w:tcBorders>
            <w:vAlign w:val="center"/>
            <w:hideMark/>
          </w:tcPr>
          <w:p w14:paraId="26B4DEF2"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1316</w:t>
            </w:r>
          </w:p>
        </w:tc>
      </w:tr>
      <w:tr w:rsidR="006F38EA" w:rsidRPr="006F38EA" w14:paraId="2B645B2A" w14:textId="77777777" w:rsidTr="006F38EA">
        <w:trPr>
          <w:trHeight w:val="518"/>
        </w:trPr>
        <w:tc>
          <w:tcPr>
            <w:tcW w:w="7044" w:type="dxa"/>
            <w:gridSpan w:val="3"/>
            <w:tcBorders>
              <w:top w:val="nil"/>
              <w:left w:val="single" w:sz="8" w:space="0" w:color="auto"/>
              <w:bottom w:val="nil"/>
              <w:right w:val="nil"/>
            </w:tcBorders>
            <w:vAlign w:val="center"/>
            <w:hideMark/>
          </w:tcPr>
          <w:p w14:paraId="50F03A8C"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Broj poduzeća</w:t>
            </w:r>
          </w:p>
        </w:tc>
        <w:tc>
          <w:tcPr>
            <w:tcW w:w="1729" w:type="dxa"/>
            <w:tcBorders>
              <w:top w:val="nil"/>
              <w:left w:val="nil"/>
              <w:bottom w:val="nil"/>
              <w:right w:val="single" w:sz="8" w:space="0" w:color="auto"/>
            </w:tcBorders>
            <w:vAlign w:val="center"/>
            <w:hideMark/>
          </w:tcPr>
          <w:p w14:paraId="2B02F456"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94</w:t>
            </w:r>
          </w:p>
        </w:tc>
      </w:tr>
      <w:tr w:rsidR="006F38EA" w:rsidRPr="006F38EA" w14:paraId="09D48DB2" w14:textId="77777777" w:rsidTr="006F38EA">
        <w:trPr>
          <w:trHeight w:val="518"/>
        </w:trPr>
        <w:tc>
          <w:tcPr>
            <w:tcW w:w="4599" w:type="dxa"/>
            <w:gridSpan w:val="2"/>
            <w:tcBorders>
              <w:top w:val="nil"/>
              <w:left w:val="single" w:sz="8" w:space="0" w:color="auto"/>
              <w:bottom w:val="nil"/>
              <w:right w:val="nil"/>
            </w:tcBorders>
            <w:vAlign w:val="center"/>
            <w:hideMark/>
          </w:tcPr>
          <w:p w14:paraId="440A1E84"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J-</w:t>
            </w:r>
            <w:proofErr w:type="spellStart"/>
            <w:r w:rsidRPr="006F38EA">
              <w:rPr>
                <w:rFonts w:ascii="Times New Roman" w:eastAsia="Times New Roman" w:hAnsi="Times New Roman" w:cs="Times New Roman"/>
                <w:color w:val="000000"/>
                <w:szCs w:val="24"/>
                <w:lang w:val="hr-HR" w:eastAsia="hr-HR"/>
              </w:rPr>
              <w:t>statistic</w:t>
            </w:r>
            <w:proofErr w:type="spellEnd"/>
          </w:p>
        </w:tc>
        <w:tc>
          <w:tcPr>
            <w:tcW w:w="2445" w:type="dxa"/>
            <w:tcBorders>
              <w:top w:val="nil"/>
              <w:left w:val="nil"/>
              <w:bottom w:val="nil"/>
              <w:right w:val="nil"/>
            </w:tcBorders>
            <w:vAlign w:val="center"/>
            <w:hideMark/>
          </w:tcPr>
          <w:p w14:paraId="53419A00"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nil"/>
              <w:right w:val="single" w:sz="8" w:space="0" w:color="auto"/>
            </w:tcBorders>
            <w:vAlign w:val="center"/>
            <w:hideMark/>
          </w:tcPr>
          <w:p w14:paraId="16BDC8FF"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0,294406</w:t>
            </w:r>
          </w:p>
        </w:tc>
      </w:tr>
      <w:tr w:rsidR="006F38EA" w:rsidRPr="006F38EA" w14:paraId="30B7A09B" w14:textId="77777777" w:rsidTr="006F38EA">
        <w:trPr>
          <w:trHeight w:val="518"/>
        </w:trPr>
        <w:tc>
          <w:tcPr>
            <w:tcW w:w="4599" w:type="dxa"/>
            <w:gridSpan w:val="2"/>
            <w:tcBorders>
              <w:top w:val="nil"/>
              <w:left w:val="single" w:sz="8" w:space="0" w:color="auto"/>
              <w:bottom w:val="nil"/>
              <w:right w:val="nil"/>
            </w:tcBorders>
            <w:vAlign w:val="center"/>
            <w:hideMark/>
          </w:tcPr>
          <w:p w14:paraId="3A4C9BD7"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proofErr w:type="spellStart"/>
            <w:r w:rsidRPr="006F38EA">
              <w:rPr>
                <w:rFonts w:ascii="Times New Roman" w:eastAsia="Times New Roman" w:hAnsi="Times New Roman" w:cs="Times New Roman"/>
                <w:color w:val="000000"/>
                <w:szCs w:val="24"/>
                <w:lang w:val="hr-HR" w:eastAsia="hr-HR"/>
              </w:rPr>
              <w:t>Arellano</w:t>
            </w:r>
            <w:proofErr w:type="spellEnd"/>
            <w:r w:rsidRPr="006F38EA">
              <w:rPr>
                <w:rFonts w:ascii="Times New Roman" w:eastAsia="Times New Roman" w:hAnsi="Times New Roman" w:cs="Times New Roman"/>
                <w:color w:val="000000"/>
                <w:szCs w:val="24"/>
                <w:lang w:val="hr-HR" w:eastAsia="hr-HR"/>
              </w:rPr>
              <w:t>-Bond test AR (1)</w:t>
            </w:r>
          </w:p>
        </w:tc>
        <w:tc>
          <w:tcPr>
            <w:tcW w:w="2445" w:type="dxa"/>
            <w:tcBorders>
              <w:top w:val="nil"/>
              <w:left w:val="nil"/>
              <w:bottom w:val="nil"/>
              <w:right w:val="nil"/>
            </w:tcBorders>
            <w:vAlign w:val="center"/>
            <w:hideMark/>
          </w:tcPr>
          <w:p w14:paraId="28034719"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nil"/>
              <w:right w:val="single" w:sz="8" w:space="0" w:color="auto"/>
            </w:tcBorders>
            <w:vAlign w:val="center"/>
            <w:hideMark/>
          </w:tcPr>
          <w:p w14:paraId="20CB4235"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0,1679</w:t>
            </w:r>
          </w:p>
        </w:tc>
      </w:tr>
      <w:tr w:rsidR="006F38EA" w:rsidRPr="006F38EA" w14:paraId="29AF2AAB" w14:textId="77777777" w:rsidTr="006F38EA">
        <w:trPr>
          <w:trHeight w:val="539"/>
        </w:trPr>
        <w:tc>
          <w:tcPr>
            <w:tcW w:w="4599" w:type="dxa"/>
            <w:gridSpan w:val="2"/>
            <w:tcBorders>
              <w:top w:val="nil"/>
              <w:left w:val="single" w:sz="8" w:space="0" w:color="auto"/>
              <w:bottom w:val="single" w:sz="8" w:space="0" w:color="auto"/>
              <w:right w:val="nil"/>
            </w:tcBorders>
            <w:vAlign w:val="center"/>
            <w:hideMark/>
          </w:tcPr>
          <w:p w14:paraId="0F991A60"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proofErr w:type="spellStart"/>
            <w:r w:rsidRPr="006F38EA">
              <w:rPr>
                <w:rFonts w:ascii="Times New Roman" w:eastAsia="Times New Roman" w:hAnsi="Times New Roman" w:cs="Times New Roman"/>
                <w:color w:val="000000"/>
                <w:szCs w:val="24"/>
                <w:lang w:val="hr-HR" w:eastAsia="hr-HR"/>
              </w:rPr>
              <w:t>Arellano</w:t>
            </w:r>
            <w:proofErr w:type="spellEnd"/>
            <w:r w:rsidRPr="006F38EA">
              <w:rPr>
                <w:rFonts w:ascii="Times New Roman" w:eastAsia="Times New Roman" w:hAnsi="Times New Roman" w:cs="Times New Roman"/>
                <w:color w:val="000000"/>
                <w:szCs w:val="24"/>
                <w:lang w:val="hr-HR" w:eastAsia="hr-HR"/>
              </w:rPr>
              <w:t xml:space="preserve">-Bond test AR (2) </w:t>
            </w:r>
          </w:p>
        </w:tc>
        <w:tc>
          <w:tcPr>
            <w:tcW w:w="2445" w:type="dxa"/>
            <w:tcBorders>
              <w:top w:val="nil"/>
              <w:left w:val="nil"/>
              <w:bottom w:val="single" w:sz="8" w:space="0" w:color="auto"/>
              <w:right w:val="nil"/>
            </w:tcBorders>
            <w:vAlign w:val="center"/>
            <w:hideMark/>
          </w:tcPr>
          <w:p w14:paraId="7F9593F6" w14:textId="77777777" w:rsidR="006F38EA" w:rsidRPr="006F38EA" w:rsidRDefault="006F38EA" w:rsidP="006F38EA">
            <w:pPr>
              <w:spacing w:line="240" w:lineRule="auto"/>
              <w:jc w:val="both"/>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szCs w:val="24"/>
                <w:lang w:val="hr-HR" w:eastAsia="hr-HR"/>
              </w:rPr>
              <w:t>p-vrijednost</w:t>
            </w:r>
          </w:p>
        </w:tc>
        <w:tc>
          <w:tcPr>
            <w:tcW w:w="1729" w:type="dxa"/>
            <w:tcBorders>
              <w:top w:val="nil"/>
              <w:left w:val="nil"/>
              <w:bottom w:val="single" w:sz="8" w:space="0" w:color="auto"/>
              <w:right w:val="single" w:sz="8" w:space="0" w:color="auto"/>
            </w:tcBorders>
            <w:vAlign w:val="center"/>
            <w:hideMark/>
          </w:tcPr>
          <w:p w14:paraId="285A4253" w14:textId="77777777" w:rsidR="006F38EA" w:rsidRPr="006F38EA" w:rsidRDefault="006F38EA" w:rsidP="006F38EA">
            <w:pPr>
              <w:spacing w:line="240" w:lineRule="auto"/>
              <w:jc w:val="right"/>
              <w:rPr>
                <w:rFonts w:ascii="Times New Roman" w:eastAsia="Times New Roman" w:hAnsi="Times New Roman" w:cs="Times New Roman"/>
                <w:color w:val="000000"/>
                <w:lang w:val="hr-HR" w:eastAsia="hr-HR"/>
              </w:rPr>
            </w:pPr>
            <w:r w:rsidRPr="006F38EA">
              <w:rPr>
                <w:rFonts w:ascii="Times New Roman" w:eastAsia="Times New Roman" w:hAnsi="Times New Roman" w:cs="Times New Roman"/>
                <w:color w:val="000000"/>
                <w:lang w:val="hr-HR" w:eastAsia="hr-HR"/>
              </w:rPr>
              <w:t>0,9918</w:t>
            </w:r>
          </w:p>
        </w:tc>
      </w:tr>
    </w:tbl>
    <w:p w14:paraId="7AA36D5C" w14:textId="522D893D" w:rsidR="00613CD0" w:rsidRDefault="00613CD0"/>
    <w:p w14:paraId="37F6DAC1" w14:textId="77777777" w:rsidR="00613CD0" w:rsidRDefault="00613CD0">
      <w:r>
        <w:br w:type="page"/>
      </w:r>
    </w:p>
    <w:p w14:paraId="1629BEBD" w14:textId="77777777" w:rsidR="00B92FBB" w:rsidRDefault="008A09CC" w:rsidP="007A371C">
      <w:pPr>
        <w:pStyle w:val="Naslov2"/>
        <w:numPr>
          <w:ilvl w:val="0"/>
          <w:numId w:val="7"/>
        </w:numPr>
      </w:pPr>
      <w:bookmarkStart w:id="78" w:name="_mm7wupr37nf3" w:colFirst="0" w:colLast="0"/>
      <w:bookmarkStart w:id="79" w:name="_Toc207275897"/>
      <w:bookmarkEnd w:id="78"/>
      <w:r>
        <w:lastRenderedPageBreak/>
        <w:t>Rezultati istraživanja</w:t>
      </w:r>
      <w:bookmarkEnd w:id="79"/>
    </w:p>
    <w:p w14:paraId="5A8726E2" w14:textId="77777777" w:rsidR="00B92FBB" w:rsidRDefault="00B92FBB"/>
    <w:p w14:paraId="0DEB9E39" w14:textId="493AB01A" w:rsidR="00B92FBB" w:rsidRDefault="008A09CC">
      <w:pPr>
        <w:spacing w:line="360" w:lineRule="auto"/>
        <w:jc w:val="both"/>
      </w:pPr>
      <w:r>
        <w:t xml:space="preserve">Rezultati provedenih analiza donose nekoliko jasnih obrazaca, ali i neka iznenađenja koja otvaraju prostor za dublje interpretacije. Kad se gleda ukupni uzorak, likvidnost poduzeća u sva četiri sektora pokazuje značajnu postojanost kroz vrijeme. </w:t>
      </w:r>
      <w:r w:rsidR="00DD2B42">
        <w:t>U svim modelima utvrđen je pozitivan signifikantan utjecaj k</w:t>
      </w:r>
      <w:r>
        <w:t>oeficijent</w:t>
      </w:r>
      <w:r w:rsidR="00DD2B42">
        <w:t>a</w:t>
      </w:r>
      <w:r>
        <w:t xml:space="preserve"> tekuće likvidnosti (KTL) na vlastite buduće vrijednosti što znači da poduzeća s povijesno višom likvidnošću i u narednim godinama održavaju sličnu razinu stabilnosti. Sličan obrazac bilježe i međunarodna istraživanja poput onih </w:t>
      </w:r>
      <w:proofErr w:type="spellStart"/>
      <w:r>
        <w:t>Ferreire</w:t>
      </w:r>
      <w:proofErr w:type="spellEnd"/>
      <w:r>
        <w:t xml:space="preserve"> i </w:t>
      </w:r>
      <w:proofErr w:type="spellStart"/>
      <w:r>
        <w:t>Vilele</w:t>
      </w:r>
      <w:proofErr w:type="spellEnd"/>
      <w:r>
        <w:t xml:space="preserve"> (2004) koji likvidnost opisuju kao „inercijsku” varijablu, posebno u stabilnijim okruženjima. U uzorku iz ovog istraživanja, taj je efekt posebno izražen u sektoru C. Tamo kapitalna intenzivnost i dugoročni ugovori stvaraju rigidnost u upravljanju kratkotrajnom imovinom dok je u sektoru I, zbog </w:t>
      </w:r>
      <w:proofErr w:type="spellStart"/>
      <w:r>
        <w:t>sezonalnog</w:t>
      </w:r>
      <w:proofErr w:type="spellEnd"/>
      <w:r>
        <w:t xml:space="preserve"> karaktera poslovanja, postojanost nešto slabije izražena.</w:t>
      </w:r>
    </w:p>
    <w:p w14:paraId="23219653" w14:textId="77777777" w:rsidR="00B92FBB" w:rsidRDefault="00B92FBB">
      <w:pPr>
        <w:spacing w:line="360" w:lineRule="auto"/>
        <w:jc w:val="both"/>
      </w:pPr>
    </w:p>
    <w:p w14:paraId="5A90A8AC" w14:textId="6712FCB0" w:rsidR="00B92FBB" w:rsidRDefault="008A09CC">
      <w:pPr>
        <w:spacing w:line="360" w:lineRule="auto"/>
        <w:jc w:val="both"/>
      </w:pPr>
      <w:r>
        <w:t xml:space="preserve">Kada je riječ o financijskoj poluzi (DER), u sektorima C i H zaduženost pokazuje pozitivan i statistički </w:t>
      </w:r>
      <w:r w:rsidR="005D2A4F">
        <w:t xml:space="preserve">signifikantan </w:t>
      </w:r>
      <w:r>
        <w:t xml:space="preserve">utjecaj na likvidnost. Ovakav rezultat može se čitati u svjetlu istraživanja </w:t>
      </w:r>
      <w:proofErr w:type="spellStart"/>
      <w:r>
        <w:t>Oplera</w:t>
      </w:r>
      <w:proofErr w:type="spellEnd"/>
      <w:r>
        <w:t xml:space="preserve"> i suradnika (1999), gdje se naglašava da poduzeća s većim dugom često održavaju više gotovine kako bi zadržala financijsku fleksibilnost i smanjila rizik nelikvidnosti. U domaćem kontekstu, to potvrđuju Mostarac i Petrović koji ističu da prerađivačka poduzeća u Hrvatskoj dug često koriste kao </w:t>
      </w:r>
      <w:proofErr w:type="spellStart"/>
      <w:r>
        <w:t>buffer</w:t>
      </w:r>
      <w:proofErr w:type="spellEnd"/>
      <w:r>
        <w:t xml:space="preserve"> za financiranje obrtnog kapitala, a ne isključivo za dugoročna ulaganja. S druge strane, u sektoru N odnos poluge i likvidnosti pokazuje suptilniju dinamiku. Dug se koristi više za održavanje operativne fleksibilnosti i balansiranje kratkoročnih obveza nego za gradnju većih gotovinskih rezervi. To je u skladu s nalazima OECD-a (2024) gdje se ističe da manja, projektno orijentirana poduzeća zadržavaju tek onoliko likvidnosti koliko im je nužno za operativni ciklus.</w:t>
      </w:r>
    </w:p>
    <w:p w14:paraId="7AA3A300" w14:textId="77777777" w:rsidR="00B92FBB" w:rsidRDefault="00B92FBB">
      <w:pPr>
        <w:spacing w:line="360" w:lineRule="auto"/>
        <w:jc w:val="both"/>
      </w:pPr>
    </w:p>
    <w:p w14:paraId="72B13301" w14:textId="5B980E45" w:rsidR="00B92FBB" w:rsidRDefault="008A09CC">
      <w:pPr>
        <w:spacing w:line="360" w:lineRule="auto"/>
        <w:jc w:val="both"/>
      </w:pPr>
      <w:r>
        <w:t xml:space="preserve">Kontrolne varijable donose još zanimljiviju sliku. Profitabilnost (ROA i ROE) u svim sektorima pokazuje pozitivan, iako nejednako snažan, utjecaj na likvidnost. U sektorima C i H taj odnos je najizraženiji jer stabilni novčani tokovi iz operativnog poslovanja olakšavaju održavanje rezervi i smanjuju potrebu za vanjskim financiranjem. Time se rezultati ovog istraživanja uklapaju u nalaze </w:t>
      </w:r>
      <w:proofErr w:type="spellStart"/>
      <w:r>
        <w:t>Brealeya</w:t>
      </w:r>
      <w:proofErr w:type="spellEnd"/>
      <w:r w:rsidR="00A80B25">
        <w:t xml:space="preserve"> i suradnika</w:t>
      </w:r>
      <w:r>
        <w:t xml:space="preserve"> (2020</w:t>
      </w:r>
      <w:r w:rsidR="0029244D">
        <w:t>, str. 636</w:t>
      </w:r>
      <w:r>
        <w:t xml:space="preserve">) koji naglašavaju da interni izvori financiranja čine osnovu za </w:t>
      </w:r>
      <w:proofErr w:type="spellStart"/>
      <w:r>
        <w:t>likvidnosnu</w:t>
      </w:r>
      <w:proofErr w:type="spellEnd"/>
      <w:r>
        <w:t xml:space="preserve"> stabilnost poduzeća. U sektorima I </w:t>
      </w:r>
      <w:proofErr w:type="spellStart"/>
      <w:r>
        <w:t>i</w:t>
      </w:r>
      <w:proofErr w:type="spellEnd"/>
      <w:r>
        <w:t xml:space="preserve"> N povezanost je slabija što se može objasniti većim sezonskim oscilacijama i nesigurnijim prihodima. Taj obrazac podsjeća na nalaze </w:t>
      </w:r>
      <w:proofErr w:type="spellStart"/>
      <w:r>
        <w:t>Almeide</w:t>
      </w:r>
      <w:proofErr w:type="spellEnd"/>
      <w:r w:rsidR="00BD1931">
        <w:t>,</w:t>
      </w:r>
      <w:r>
        <w:t xml:space="preserve"> </w:t>
      </w:r>
      <w:proofErr w:type="spellStart"/>
      <w:r>
        <w:t>Campella</w:t>
      </w:r>
      <w:proofErr w:type="spellEnd"/>
      <w:r w:rsidR="00BD1931">
        <w:t xml:space="preserve"> i </w:t>
      </w:r>
      <w:proofErr w:type="spellStart"/>
      <w:r w:rsidR="00BD1931">
        <w:t>Weisbacha</w:t>
      </w:r>
      <w:proofErr w:type="spellEnd"/>
      <w:r>
        <w:t xml:space="preserve"> (2007), koji u tržištima podložnim šokovima bilježe veću varijabilnost u odnosu profitabilnosti i likvidnosti.</w:t>
      </w:r>
    </w:p>
    <w:p w14:paraId="12FE9EE2" w14:textId="77777777" w:rsidR="00B92FBB" w:rsidRDefault="00B92FBB">
      <w:pPr>
        <w:spacing w:line="360" w:lineRule="auto"/>
        <w:jc w:val="both"/>
      </w:pPr>
    </w:p>
    <w:p w14:paraId="4D21FEC5" w14:textId="77777777" w:rsidR="00B92FBB" w:rsidRDefault="008A09CC">
      <w:pPr>
        <w:spacing w:line="360" w:lineRule="auto"/>
        <w:jc w:val="both"/>
      </w:pPr>
      <w:r>
        <w:lastRenderedPageBreak/>
        <w:t xml:space="preserve">Kada se promatra rast prihoda (PP), sektor C donosi klasičan obrazac negativnog utjecaja na likvidnost. Poduzeća u fazama rasta intenzivno ulažu u zalihe i obrtni kapital, što privremeno iscrpljuje gotovinske rezerve. Slične dinamike opisane su i u istraživanjima Kinga (2023), koji rast prihoda u industrijskim granama povezuje s pojačanim pritiskom na kratkoročne resurse. U sektoru H taj efekt je nešto blaži, jer stabilni ugovori i dugoročniji tokovi osiguravaju da dio likvidnosti ostane dostupan. U sektoru I rast prihoda često ne dovodi do pada likvidnosti jer se, zbog </w:t>
      </w:r>
      <w:proofErr w:type="spellStart"/>
      <w:r>
        <w:t>sezonalnosti</w:t>
      </w:r>
      <w:proofErr w:type="spellEnd"/>
      <w:r>
        <w:t>, planiraju veći novčani priljevi i zalihe gotovine u razdobljima pojačane potražnje. Sektor N pokazuje veću volatilnost: u godinama rasta, likvidnost se može brzo trošiti na financiranje projekata, dok se u slabijim godinama bilježi nagli pad kratkoročnih sredstava, što je vidljivo i u deskriptivnoj analizi kroz ekstremne vrijednosti KTL-a.</w:t>
      </w:r>
    </w:p>
    <w:p w14:paraId="2C37AE06" w14:textId="77777777" w:rsidR="00B92FBB" w:rsidRDefault="00B92FBB">
      <w:pPr>
        <w:spacing w:line="360" w:lineRule="auto"/>
        <w:jc w:val="both"/>
      </w:pPr>
    </w:p>
    <w:p w14:paraId="6F1BE994" w14:textId="77777777" w:rsidR="00B92FBB" w:rsidRDefault="008A09CC">
      <w:pPr>
        <w:spacing w:line="360" w:lineRule="auto"/>
        <w:jc w:val="both"/>
      </w:pPr>
      <w:r>
        <w:t xml:space="preserve">Kapitalna intenzivnost (KI) ima konzistentno pozitivan učinak u svim sektorima, ali s različitim intenzitetom. U prerađivačkoj industriji (C) i prijevozu (H), gdje su ulaganja u strojeve, vozni park i infrastrukturu visoka, viša kapitalna intenzivnost znači i potrebu za održavanjem veće likvidnosti radi pokrića operativnih troškova i rizika od kvarova ili zastoja. Ovaj nalaz nadovezuje se na teorijske okvire iz financija koji upućuju da veći fiksni troškovi zahtijevaju stabilnije </w:t>
      </w:r>
      <w:proofErr w:type="spellStart"/>
      <w:r>
        <w:t>likvidnosne</w:t>
      </w:r>
      <w:proofErr w:type="spellEnd"/>
      <w:r>
        <w:t xml:space="preserve"> rezerve. U sektoru I kapitalna intenzivnost je manja, ali u godinama značajnijih investicija u hotelske kapacitete ili ugostiteljsku opremu i ovdje dolazi do sličnog efekta. U sektoru N odnos kapitalne intenzivnosti i likvidnosti manje je izražen jer većina poduzeća posluje u djelatnostima niske imovinske opterećenosti, ali iznimke postoje kod specijaliziranih poduzeća s visokom razinom ulaganja u specifičnu opremu ili tehnologiju.</w:t>
      </w:r>
    </w:p>
    <w:p w14:paraId="1CDCC4F5" w14:textId="77777777" w:rsidR="00B92FBB" w:rsidRDefault="00B92FBB">
      <w:pPr>
        <w:spacing w:line="360" w:lineRule="auto"/>
        <w:jc w:val="both"/>
      </w:pPr>
    </w:p>
    <w:p w14:paraId="5C7CBDF3" w14:textId="1D5BE8C7" w:rsidR="00B92FBB" w:rsidRDefault="008A09CC">
      <w:pPr>
        <w:spacing w:line="360" w:lineRule="auto"/>
        <w:jc w:val="both"/>
      </w:pPr>
      <w:r>
        <w:t>Sve u svemu, naši rezultati prate većinu međunarodnih i domaćih istraživanja, ali s nekoliko sektorskih odstupanja. Dok globalna istraživanja često naglašavaju negativnu vezu između poluge i likvidnosti u stabilnim okruženjima (</w:t>
      </w:r>
      <w:proofErr w:type="spellStart"/>
      <w:r>
        <w:t>Dittmar</w:t>
      </w:r>
      <w:proofErr w:type="spellEnd"/>
      <w:r>
        <w:t xml:space="preserve">, </w:t>
      </w:r>
      <w:proofErr w:type="spellStart"/>
      <w:r>
        <w:t>Mahrt</w:t>
      </w:r>
      <w:proofErr w:type="spellEnd"/>
      <w:r>
        <w:t xml:space="preserve">-Smith </w:t>
      </w:r>
      <w:r w:rsidR="0043109A">
        <w:t>i</w:t>
      </w:r>
      <w:r>
        <w:t xml:space="preserve"> </w:t>
      </w:r>
      <w:proofErr w:type="spellStart"/>
      <w:r>
        <w:t>Servaes</w:t>
      </w:r>
      <w:proofErr w:type="spellEnd"/>
      <w:r>
        <w:t xml:space="preserve">, 2003; </w:t>
      </w:r>
      <w:proofErr w:type="spellStart"/>
      <w:r>
        <w:t>Faulkender</w:t>
      </w:r>
      <w:proofErr w:type="spellEnd"/>
      <w:r>
        <w:t xml:space="preserve"> </w:t>
      </w:r>
      <w:r w:rsidR="0043109A">
        <w:t>i</w:t>
      </w:r>
      <w:r>
        <w:t xml:space="preserve"> Wang, 2006), u hrvatskom uzorku u sektorima C i H bilježimo suptilniji, ponekad čak pozitivan odnos. Razlog za to leži u strukturi financiranja, gdje dug često ima operativnu, a ne isključivo investicijsku ulogu. U sektorima s većim oscilacijama, poput I </w:t>
      </w:r>
      <w:proofErr w:type="spellStart"/>
      <w:r>
        <w:t>i</w:t>
      </w:r>
      <w:proofErr w:type="spellEnd"/>
      <w:r>
        <w:t xml:space="preserve"> N, odnos poluge i likvidnosti pokazuje se nestabilnijim, što podsjeća na nalaze </w:t>
      </w:r>
      <w:proofErr w:type="spellStart"/>
      <w:r>
        <w:t>Almeide</w:t>
      </w:r>
      <w:proofErr w:type="spellEnd"/>
      <w:r>
        <w:t xml:space="preserve"> i suradnika (2021) za tržišta u razvoju gdje volatilnost diktira opreznije ponašanje s gotovinom.</w:t>
      </w:r>
    </w:p>
    <w:p w14:paraId="74BB9A0B" w14:textId="77777777" w:rsidR="003C3246" w:rsidRDefault="003C3246">
      <w:pPr>
        <w:spacing w:line="360" w:lineRule="auto"/>
        <w:jc w:val="both"/>
      </w:pPr>
    </w:p>
    <w:p w14:paraId="15BD5ECE" w14:textId="61C492F7" w:rsidR="003C3246" w:rsidRDefault="003C3246" w:rsidP="003C3246">
      <w:pPr>
        <w:spacing w:line="360" w:lineRule="auto"/>
        <w:jc w:val="both"/>
      </w:pPr>
      <w:r>
        <w:t xml:space="preserve">Rezultati ovog istraživanja pružaju nekoliko važnih smjernica za poduzeća u različitim sektorima. </w:t>
      </w:r>
      <w:r w:rsidR="0028448C" w:rsidRPr="0028448C">
        <w:t xml:space="preserve">Prvo, potvrđena postojanost likvidnosti (H1) u sektorima C, I </w:t>
      </w:r>
      <w:proofErr w:type="spellStart"/>
      <w:r w:rsidR="0028448C" w:rsidRPr="0028448C">
        <w:t>i</w:t>
      </w:r>
      <w:proofErr w:type="spellEnd"/>
      <w:r w:rsidR="0028448C" w:rsidRPr="0028448C">
        <w:t xml:space="preserve"> N upućuje na važnost kontinuiranog i discipliniranog upravljanja kratkotrajnom imovinom i obvezama. Poduzeća koja održavaju stabilnu likvidnost dugoročno su otpornija na tržišne promjene i nepredviđene šokove. U sektoru H, gdje H1 nije potvrđena, rezultati ukazuju na veću dinamiku i manju </w:t>
      </w:r>
      <w:r w:rsidR="0028448C" w:rsidRPr="0028448C">
        <w:lastRenderedPageBreak/>
        <w:t>stabilnost likvidnosti</w:t>
      </w:r>
      <w:r w:rsidR="00DF5C97">
        <w:t xml:space="preserve">. To stvara </w:t>
      </w:r>
      <w:r w:rsidR="0028448C" w:rsidRPr="0028448C">
        <w:t>potrebu za fleksibilnijim i prilagodljivijim pristupom upravljanju kratkotrajnom imovinom.</w:t>
      </w:r>
    </w:p>
    <w:p w14:paraId="6F5B3DE7" w14:textId="77777777" w:rsidR="0028448C" w:rsidRDefault="0028448C" w:rsidP="003C3246">
      <w:pPr>
        <w:spacing w:line="360" w:lineRule="auto"/>
        <w:jc w:val="both"/>
      </w:pPr>
    </w:p>
    <w:p w14:paraId="1CEAC2A7" w14:textId="77777777" w:rsidR="003C3246" w:rsidRDefault="003C3246" w:rsidP="003C3246">
      <w:pPr>
        <w:spacing w:line="360" w:lineRule="auto"/>
        <w:jc w:val="both"/>
      </w:pPr>
      <w:r>
        <w:t xml:space="preserve">Pozitivna povezanost financijske poluge i likvidnosti u stabilnijim sektorima (C i H), koja je potvrdila H2 hipotezu, pokazuje da umjerena razina zaduženosti može biti korisna ako je usklađena s operativnim potrebama i strategijama rasta. Za poduzeća u </w:t>
      </w:r>
      <w:proofErr w:type="spellStart"/>
      <w:r>
        <w:t>volatilnijim</w:t>
      </w:r>
      <w:proofErr w:type="spellEnd"/>
      <w:r>
        <w:t xml:space="preserve"> okruženjima preporučuje se opreznije korištenje duga i jačanje unutarnjih rezervi kako bi se povećala financijska fleksibilnost.</w:t>
      </w:r>
    </w:p>
    <w:p w14:paraId="753A54E2" w14:textId="77777777" w:rsidR="003C3246" w:rsidRDefault="003C3246" w:rsidP="003C3246">
      <w:pPr>
        <w:spacing w:line="360" w:lineRule="auto"/>
        <w:jc w:val="both"/>
      </w:pPr>
    </w:p>
    <w:p w14:paraId="59D76899" w14:textId="6427493A" w:rsidR="003C3246" w:rsidRDefault="003C3246" w:rsidP="003C3246">
      <w:pPr>
        <w:spacing w:line="360" w:lineRule="auto"/>
        <w:jc w:val="both"/>
      </w:pPr>
      <w:r>
        <w:t xml:space="preserve">Utjecaj kontrolnih varijabli, u skladu s H3 hipotezom, naglašava potrebu za prilagođenim pristupom upravljanju profitabilnošću, kapitalnom intenzivnošću i prihodima. Stabilni operativni prinosi i kvalitetno planiranje novčanih tokova bitni su kod održavanja ravnoteže između rasta i likvidnosti. U sektorima gdje su </w:t>
      </w:r>
      <w:proofErr w:type="spellStart"/>
      <w:r>
        <w:t>sezonalnost</w:t>
      </w:r>
      <w:proofErr w:type="spellEnd"/>
      <w:r>
        <w:t xml:space="preserve"> i volatilnost izraženije, kao što su turizam i pomoćne uslužne djelatnosti, potrebno je uspostaviti mehanizme za bolje predviđanje i upravljanje rizikom nelikvidnosti, primjerice putem fleksibilnijih kreditnih linija ili diverzifikacije izvora financiranja.</w:t>
      </w:r>
    </w:p>
    <w:p w14:paraId="2A181EAE" w14:textId="77777777" w:rsidR="00E16415" w:rsidRDefault="00E16415" w:rsidP="003C3246">
      <w:pPr>
        <w:spacing w:line="360" w:lineRule="auto"/>
        <w:jc w:val="both"/>
      </w:pPr>
    </w:p>
    <w:p w14:paraId="7BA1B4F6" w14:textId="2C046C4B" w:rsidR="00E16415" w:rsidRDefault="00E16415" w:rsidP="003C3246">
      <w:pPr>
        <w:spacing w:line="360" w:lineRule="auto"/>
        <w:jc w:val="both"/>
      </w:pPr>
      <w:r w:rsidRPr="00E16415">
        <w:t xml:space="preserve">Kako bi se rezultati dodatno sistematizirali, u Tablici </w:t>
      </w:r>
      <w:r w:rsidR="008A2981">
        <w:t>13</w:t>
      </w:r>
      <w:r w:rsidRPr="00E16415">
        <w:t xml:space="preserve"> prikazano je rangiranje sektora prema razini stabilnosti i izloženosti riziku, temeljeno na analizi ključnih varijabli modela.</w:t>
      </w:r>
      <w:r>
        <w:t xml:space="preserve"> P</w:t>
      </w:r>
      <w:r w:rsidRPr="00E16415">
        <w:t>rerađivačka industrija (C) zadržava visoku stabilnost zahvaljujući umjerenoj zaduženosti i stabilnim povratima. Administrativne i pomoćne djelatnosti (N) nalaze se u srednjoj zoni stabilnosti zbog niske profitabilnosti, dok su sektori transporta i skladištenja (H) te turizma i ugostiteljstva (I) najosjetljiviji na promjene u okruženju i troškovima kapitala.</w:t>
      </w:r>
    </w:p>
    <w:p w14:paraId="1E1FD5B8" w14:textId="77777777" w:rsidR="00E16415" w:rsidRDefault="00E16415" w:rsidP="003C3246">
      <w:pPr>
        <w:spacing w:line="360" w:lineRule="auto"/>
        <w:jc w:val="both"/>
      </w:pPr>
    </w:p>
    <w:p w14:paraId="7624E81E" w14:textId="43F8907A" w:rsidR="00D11EF7" w:rsidRPr="00D11EF7" w:rsidRDefault="00D11EF7" w:rsidP="00D11EF7">
      <w:pPr>
        <w:pStyle w:val="Opisslike"/>
        <w:keepNext/>
        <w:jc w:val="both"/>
        <w:rPr>
          <w:i w:val="0"/>
          <w:iCs w:val="0"/>
          <w:color w:val="000000" w:themeColor="text1"/>
          <w:sz w:val="22"/>
          <w:szCs w:val="22"/>
        </w:rPr>
      </w:pPr>
      <w:bookmarkStart w:id="80" w:name="_Toc207265207"/>
      <w:r w:rsidRPr="00D11EF7">
        <w:rPr>
          <w:i w:val="0"/>
          <w:iCs w:val="0"/>
          <w:color w:val="000000" w:themeColor="text1"/>
          <w:sz w:val="22"/>
          <w:szCs w:val="22"/>
        </w:rPr>
        <w:t xml:space="preserve">Tablica </w:t>
      </w:r>
      <w:r w:rsidRPr="00D11EF7">
        <w:rPr>
          <w:i w:val="0"/>
          <w:iCs w:val="0"/>
          <w:color w:val="000000" w:themeColor="text1"/>
          <w:sz w:val="22"/>
          <w:szCs w:val="22"/>
        </w:rPr>
        <w:fldChar w:fldCharType="begin"/>
      </w:r>
      <w:r w:rsidRPr="00D11EF7">
        <w:rPr>
          <w:i w:val="0"/>
          <w:iCs w:val="0"/>
          <w:color w:val="000000" w:themeColor="text1"/>
          <w:sz w:val="22"/>
          <w:szCs w:val="22"/>
        </w:rPr>
        <w:instrText xml:space="preserve"> SEQ Tablica \* ARABIC </w:instrText>
      </w:r>
      <w:r w:rsidRPr="00D11EF7">
        <w:rPr>
          <w:i w:val="0"/>
          <w:iCs w:val="0"/>
          <w:color w:val="000000" w:themeColor="text1"/>
          <w:sz w:val="22"/>
          <w:szCs w:val="22"/>
        </w:rPr>
        <w:fldChar w:fldCharType="separate"/>
      </w:r>
      <w:r w:rsidRPr="00D11EF7">
        <w:rPr>
          <w:i w:val="0"/>
          <w:iCs w:val="0"/>
          <w:noProof/>
          <w:color w:val="000000" w:themeColor="text1"/>
          <w:sz w:val="22"/>
          <w:szCs w:val="22"/>
        </w:rPr>
        <w:t>13</w:t>
      </w:r>
      <w:r w:rsidRPr="00D11EF7">
        <w:rPr>
          <w:i w:val="0"/>
          <w:iCs w:val="0"/>
          <w:color w:val="000000" w:themeColor="text1"/>
          <w:sz w:val="22"/>
          <w:szCs w:val="22"/>
        </w:rPr>
        <w:fldChar w:fldCharType="end"/>
      </w:r>
      <w:r w:rsidRPr="00D11EF7">
        <w:rPr>
          <w:i w:val="0"/>
          <w:iCs w:val="0"/>
          <w:color w:val="000000" w:themeColor="text1"/>
          <w:sz w:val="22"/>
          <w:szCs w:val="22"/>
        </w:rPr>
        <w:t xml:space="preserve"> . Rangiranje sektora prema stabilnosti i riziku (vlastita izrada autorice)</w:t>
      </w:r>
      <w:bookmarkEnd w:id="80"/>
    </w:p>
    <w:tbl>
      <w:tblPr>
        <w:tblW w:w="9014" w:type="dxa"/>
        <w:tblLook w:val="04A0" w:firstRow="1" w:lastRow="0" w:firstColumn="1" w:lastColumn="0" w:noHBand="0" w:noVBand="1"/>
      </w:tblPr>
      <w:tblGrid>
        <w:gridCol w:w="727"/>
        <w:gridCol w:w="2804"/>
        <w:gridCol w:w="1952"/>
        <w:gridCol w:w="3531"/>
      </w:tblGrid>
      <w:tr w:rsidR="00E16415" w:rsidRPr="00E16415" w14:paraId="175E1909" w14:textId="77777777" w:rsidTr="00E16415">
        <w:trPr>
          <w:trHeight w:val="614"/>
        </w:trPr>
        <w:tc>
          <w:tcPr>
            <w:tcW w:w="727" w:type="dxa"/>
            <w:tcBorders>
              <w:top w:val="single" w:sz="4" w:space="0" w:color="auto"/>
              <w:left w:val="single" w:sz="4" w:space="0" w:color="auto"/>
              <w:bottom w:val="single" w:sz="4" w:space="0" w:color="auto"/>
              <w:right w:val="nil"/>
            </w:tcBorders>
            <w:vAlign w:val="center"/>
            <w:hideMark/>
          </w:tcPr>
          <w:p w14:paraId="6887B8A5" w14:textId="77777777" w:rsidR="00E16415" w:rsidRPr="00E16415" w:rsidRDefault="00E16415" w:rsidP="00E16415">
            <w:pPr>
              <w:spacing w:line="240" w:lineRule="auto"/>
              <w:jc w:val="center"/>
              <w:rPr>
                <w:rFonts w:ascii="Aptos Narrow" w:eastAsia="Times New Roman" w:hAnsi="Aptos Narrow" w:cs="Times New Roman"/>
                <w:b/>
                <w:bCs/>
                <w:color w:val="000000"/>
                <w:lang w:val="hr-HR" w:eastAsia="hr-HR"/>
              </w:rPr>
            </w:pPr>
            <w:r w:rsidRPr="00E16415">
              <w:rPr>
                <w:rFonts w:ascii="Aptos Narrow" w:eastAsia="Times New Roman" w:hAnsi="Aptos Narrow" w:cs="Times New Roman"/>
                <w:b/>
                <w:bCs/>
                <w:color w:val="000000"/>
                <w:lang w:val="hr-HR" w:eastAsia="hr-HR"/>
              </w:rPr>
              <w:t>Rang</w:t>
            </w:r>
          </w:p>
        </w:tc>
        <w:tc>
          <w:tcPr>
            <w:tcW w:w="2804" w:type="dxa"/>
            <w:tcBorders>
              <w:top w:val="single" w:sz="4" w:space="0" w:color="auto"/>
              <w:left w:val="nil"/>
              <w:bottom w:val="single" w:sz="4" w:space="0" w:color="auto"/>
              <w:right w:val="nil"/>
            </w:tcBorders>
            <w:vAlign w:val="center"/>
            <w:hideMark/>
          </w:tcPr>
          <w:p w14:paraId="39C38A47" w14:textId="77777777" w:rsidR="00E16415" w:rsidRPr="00E16415" w:rsidRDefault="00E16415" w:rsidP="00E16415">
            <w:pPr>
              <w:spacing w:line="240" w:lineRule="auto"/>
              <w:jc w:val="center"/>
              <w:rPr>
                <w:rFonts w:ascii="Aptos Narrow" w:eastAsia="Times New Roman" w:hAnsi="Aptos Narrow" w:cs="Times New Roman"/>
                <w:b/>
                <w:bCs/>
                <w:color w:val="000000"/>
                <w:lang w:val="hr-HR" w:eastAsia="hr-HR"/>
              </w:rPr>
            </w:pPr>
            <w:r w:rsidRPr="00E16415">
              <w:rPr>
                <w:rFonts w:ascii="Aptos Narrow" w:eastAsia="Times New Roman" w:hAnsi="Aptos Narrow" w:cs="Times New Roman"/>
                <w:b/>
                <w:bCs/>
                <w:color w:val="000000"/>
                <w:lang w:val="hr-HR" w:eastAsia="hr-HR"/>
              </w:rPr>
              <w:t>Sektor</w:t>
            </w:r>
          </w:p>
        </w:tc>
        <w:tc>
          <w:tcPr>
            <w:tcW w:w="1952" w:type="dxa"/>
            <w:tcBorders>
              <w:top w:val="single" w:sz="4" w:space="0" w:color="auto"/>
              <w:left w:val="nil"/>
              <w:bottom w:val="single" w:sz="4" w:space="0" w:color="auto"/>
              <w:right w:val="nil"/>
            </w:tcBorders>
            <w:vAlign w:val="center"/>
            <w:hideMark/>
          </w:tcPr>
          <w:p w14:paraId="1D9C94B2" w14:textId="77777777" w:rsidR="00E16415" w:rsidRPr="00E16415" w:rsidRDefault="00E16415" w:rsidP="00E16415">
            <w:pPr>
              <w:spacing w:line="240" w:lineRule="auto"/>
              <w:jc w:val="center"/>
              <w:rPr>
                <w:rFonts w:ascii="Aptos Narrow" w:eastAsia="Times New Roman" w:hAnsi="Aptos Narrow" w:cs="Times New Roman"/>
                <w:b/>
                <w:bCs/>
                <w:color w:val="000000"/>
                <w:lang w:val="hr-HR" w:eastAsia="hr-HR"/>
              </w:rPr>
            </w:pPr>
            <w:r w:rsidRPr="00E16415">
              <w:rPr>
                <w:rFonts w:ascii="Aptos Narrow" w:eastAsia="Times New Roman" w:hAnsi="Aptos Narrow" w:cs="Times New Roman"/>
                <w:b/>
                <w:bCs/>
                <w:color w:val="000000"/>
                <w:lang w:val="hr-HR" w:eastAsia="hr-HR"/>
              </w:rPr>
              <w:t>Ocjena stabilnosti</w:t>
            </w:r>
          </w:p>
        </w:tc>
        <w:tc>
          <w:tcPr>
            <w:tcW w:w="3531" w:type="dxa"/>
            <w:tcBorders>
              <w:top w:val="single" w:sz="4" w:space="0" w:color="auto"/>
              <w:left w:val="nil"/>
              <w:bottom w:val="single" w:sz="4" w:space="0" w:color="auto"/>
              <w:right w:val="single" w:sz="4" w:space="0" w:color="auto"/>
            </w:tcBorders>
            <w:vAlign w:val="center"/>
            <w:hideMark/>
          </w:tcPr>
          <w:p w14:paraId="1B012E68" w14:textId="77777777" w:rsidR="00E16415" w:rsidRPr="00E16415" w:rsidRDefault="00E16415" w:rsidP="00E16415">
            <w:pPr>
              <w:spacing w:line="240" w:lineRule="auto"/>
              <w:jc w:val="center"/>
              <w:rPr>
                <w:rFonts w:ascii="Aptos Narrow" w:eastAsia="Times New Roman" w:hAnsi="Aptos Narrow" w:cs="Times New Roman"/>
                <w:b/>
                <w:bCs/>
                <w:color w:val="000000"/>
                <w:lang w:val="hr-HR" w:eastAsia="hr-HR"/>
              </w:rPr>
            </w:pPr>
            <w:r w:rsidRPr="00E16415">
              <w:rPr>
                <w:rFonts w:ascii="Aptos Narrow" w:eastAsia="Times New Roman" w:hAnsi="Aptos Narrow" w:cs="Times New Roman"/>
                <w:b/>
                <w:bCs/>
                <w:color w:val="000000"/>
                <w:lang w:val="hr-HR" w:eastAsia="hr-HR"/>
              </w:rPr>
              <w:t>Obrazloženje</w:t>
            </w:r>
          </w:p>
        </w:tc>
      </w:tr>
      <w:tr w:rsidR="00E16415" w:rsidRPr="00E16415" w14:paraId="111BA4ED" w14:textId="77777777" w:rsidTr="00E16415">
        <w:trPr>
          <w:trHeight w:val="1843"/>
        </w:trPr>
        <w:tc>
          <w:tcPr>
            <w:tcW w:w="727" w:type="dxa"/>
            <w:tcBorders>
              <w:top w:val="nil"/>
              <w:left w:val="single" w:sz="4" w:space="0" w:color="auto"/>
              <w:bottom w:val="dotted" w:sz="4" w:space="0" w:color="auto"/>
              <w:right w:val="dotted" w:sz="4" w:space="0" w:color="auto"/>
            </w:tcBorders>
            <w:vAlign w:val="center"/>
            <w:hideMark/>
          </w:tcPr>
          <w:p w14:paraId="0FF32C2A" w14:textId="77777777" w:rsidR="00E16415" w:rsidRPr="00E16415" w:rsidRDefault="00E16415" w:rsidP="00E16415">
            <w:pPr>
              <w:spacing w:line="240" w:lineRule="auto"/>
              <w:jc w:val="right"/>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1</w:t>
            </w:r>
          </w:p>
        </w:tc>
        <w:tc>
          <w:tcPr>
            <w:tcW w:w="2804" w:type="dxa"/>
            <w:tcBorders>
              <w:top w:val="nil"/>
              <w:left w:val="nil"/>
              <w:bottom w:val="dotted" w:sz="4" w:space="0" w:color="auto"/>
              <w:right w:val="dotted" w:sz="4" w:space="0" w:color="auto"/>
            </w:tcBorders>
            <w:vAlign w:val="center"/>
            <w:hideMark/>
          </w:tcPr>
          <w:p w14:paraId="7EF1FC14"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Prerađivačka industrija (C)</w:t>
            </w:r>
          </w:p>
        </w:tc>
        <w:tc>
          <w:tcPr>
            <w:tcW w:w="1952" w:type="dxa"/>
            <w:tcBorders>
              <w:top w:val="nil"/>
              <w:left w:val="nil"/>
              <w:bottom w:val="dotted" w:sz="4" w:space="0" w:color="auto"/>
              <w:right w:val="dotted" w:sz="4" w:space="0" w:color="auto"/>
            </w:tcBorders>
            <w:vAlign w:val="center"/>
            <w:hideMark/>
          </w:tcPr>
          <w:p w14:paraId="24608DA5"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Visoka stabilnost</w:t>
            </w:r>
          </w:p>
        </w:tc>
        <w:tc>
          <w:tcPr>
            <w:tcW w:w="3531" w:type="dxa"/>
            <w:tcBorders>
              <w:top w:val="nil"/>
              <w:left w:val="nil"/>
              <w:bottom w:val="dotted" w:sz="4" w:space="0" w:color="auto"/>
              <w:right w:val="single" w:sz="4" w:space="0" w:color="auto"/>
            </w:tcBorders>
            <w:vAlign w:val="center"/>
            <w:hideMark/>
          </w:tcPr>
          <w:p w14:paraId="2726A884"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Umjerena zaduženost, stabilni povrati, otpornost na tržišne promjene.</w:t>
            </w:r>
          </w:p>
        </w:tc>
      </w:tr>
      <w:tr w:rsidR="00E16415" w:rsidRPr="00E16415" w14:paraId="15AC3D06" w14:textId="77777777" w:rsidTr="00E16415">
        <w:trPr>
          <w:trHeight w:val="1843"/>
        </w:trPr>
        <w:tc>
          <w:tcPr>
            <w:tcW w:w="727" w:type="dxa"/>
            <w:tcBorders>
              <w:top w:val="nil"/>
              <w:left w:val="single" w:sz="4" w:space="0" w:color="auto"/>
              <w:bottom w:val="dotted" w:sz="4" w:space="0" w:color="auto"/>
              <w:right w:val="dotted" w:sz="4" w:space="0" w:color="auto"/>
            </w:tcBorders>
            <w:vAlign w:val="center"/>
            <w:hideMark/>
          </w:tcPr>
          <w:p w14:paraId="6C92CAD2" w14:textId="77777777" w:rsidR="00E16415" w:rsidRPr="00E16415" w:rsidRDefault="00E16415" w:rsidP="00E16415">
            <w:pPr>
              <w:spacing w:line="240" w:lineRule="auto"/>
              <w:jc w:val="right"/>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2</w:t>
            </w:r>
          </w:p>
        </w:tc>
        <w:tc>
          <w:tcPr>
            <w:tcW w:w="2804" w:type="dxa"/>
            <w:tcBorders>
              <w:top w:val="nil"/>
              <w:left w:val="nil"/>
              <w:bottom w:val="dotted" w:sz="4" w:space="0" w:color="auto"/>
              <w:right w:val="dotted" w:sz="4" w:space="0" w:color="auto"/>
            </w:tcBorders>
            <w:vAlign w:val="center"/>
            <w:hideMark/>
          </w:tcPr>
          <w:p w14:paraId="567BD95E"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Administrativne i pomoćne uslužne djelatnosti (N)</w:t>
            </w:r>
          </w:p>
        </w:tc>
        <w:tc>
          <w:tcPr>
            <w:tcW w:w="1952" w:type="dxa"/>
            <w:tcBorders>
              <w:top w:val="nil"/>
              <w:left w:val="nil"/>
              <w:bottom w:val="dotted" w:sz="4" w:space="0" w:color="auto"/>
              <w:right w:val="dotted" w:sz="4" w:space="0" w:color="auto"/>
            </w:tcBorders>
            <w:vAlign w:val="center"/>
            <w:hideMark/>
          </w:tcPr>
          <w:p w14:paraId="684EC762"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Srednja stabilnost</w:t>
            </w:r>
          </w:p>
        </w:tc>
        <w:tc>
          <w:tcPr>
            <w:tcW w:w="3531" w:type="dxa"/>
            <w:tcBorders>
              <w:top w:val="nil"/>
              <w:left w:val="nil"/>
              <w:bottom w:val="dotted" w:sz="4" w:space="0" w:color="auto"/>
              <w:right w:val="single" w:sz="4" w:space="0" w:color="auto"/>
            </w:tcBorders>
            <w:vAlign w:val="center"/>
            <w:hideMark/>
          </w:tcPr>
          <w:p w14:paraId="3143EB72"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Umjerena zaduženost, ali niska profitabilnost čini sektor ranjivim na nagle promjene.</w:t>
            </w:r>
          </w:p>
        </w:tc>
      </w:tr>
      <w:tr w:rsidR="00E16415" w:rsidRPr="00E16415" w14:paraId="1CA606C7" w14:textId="77777777" w:rsidTr="00E16415">
        <w:trPr>
          <w:trHeight w:val="1843"/>
        </w:trPr>
        <w:tc>
          <w:tcPr>
            <w:tcW w:w="727" w:type="dxa"/>
            <w:tcBorders>
              <w:top w:val="nil"/>
              <w:left w:val="single" w:sz="4" w:space="0" w:color="auto"/>
              <w:bottom w:val="dotted" w:sz="4" w:space="0" w:color="auto"/>
              <w:right w:val="dotted" w:sz="4" w:space="0" w:color="auto"/>
            </w:tcBorders>
            <w:vAlign w:val="center"/>
            <w:hideMark/>
          </w:tcPr>
          <w:p w14:paraId="0BADC309" w14:textId="77777777" w:rsidR="00E16415" w:rsidRPr="00E16415" w:rsidRDefault="00E16415" w:rsidP="00E16415">
            <w:pPr>
              <w:spacing w:line="240" w:lineRule="auto"/>
              <w:jc w:val="right"/>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lastRenderedPageBreak/>
              <w:t>3</w:t>
            </w:r>
          </w:p>
        </w:tc>
        <w:tc>
          <w:tcPr>
            <w:tcW w:w="2804" w:type="dxa"/>
            <w:tcBorders>
              <w:top w:val="nil"/>
              <w:left w:val="nil"/>
              <w:bottom w:val="dotted" w:sz="4" w:space="0" w:color="auto"/>
              <w:right w:val="dotted" w:sz="4" w:space="0" w:color="auto"/>
            </w:tcBorders>
            <w:vAlign w:val="center"/>
            <w:hideMark/>
          </w:tcPr>
          <w:p w14:paraId="241FD80F" w14:textId="0CC7DBD5" w:rsidR="00E16415" w:rsidRPr="00E16415" w:rsidRDefault="00E54314" w:rsidP="00E16415">
            <w:pPr>
              <w:spacing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Prijevoz</w:t>
            </w:r>
            <w:r w:rsidR="00E16415" w:rsidRPr="00E16415">
              <w:rPr>
                <w:rFonts w:ascii="Aptos Narrow" w:eastAsia="Times New Roman" w:hAnsi="Aptos Narrow" w:cs="Times New Roman"/>
                <w:color w:val="000000"/>
                <w:lang w:val="hr-HR" w:eastAsia="hr-HR"/>
              </w:rPr>
              <w:t xml:space="preserve"> i skladištenje (H)</w:t>
            </w:r>
          </w:p>
        </w:tc>
        <w:tc>
          <w:tcPr>
            <w:tcW w:w="1952" w:type="dxa"/>
            <w:tcBorders>
              <w:top w:val="nil"/>
              <w:left w:val="nil"/>
              <w:bottom w:val="dotted" w:sz="4" w:space="0" w:color="auto"/>
              <w:right w:val="dotted" w:sz="4" w:space="0" w:color="auto"/>
            </w:tcBorders>
            <w:vAlign w:val="center"/>
            <w:hideMark/>
          </w:tcPr>
          <w:p w14:paraId="74B07C3B"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Umjereni rizik</w:t>
            </w:r>
          </w:p>
        </w:tc>
        <w:tc>
          <w:tcPr>
            <w:tcW w:w="3531" w:type="dxa"/>
            <w:tcBorders>
              <w:top w:val="nil"/>
              <w:left w:val="nil"/>
              <w:bottom w:val="dotted" w:sz="4" w:space="0" w:color="auto"/>
              <w:right w:val="single" w:sz="4" w:space="0" w:color="auto"/>
            </w:tcBorders>
            <w:vAlign w:val="center"/>
            <w:hideMark/>
          </w:tcPr>
          <w:p w14:paraId="319AD9E5"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Visoka volatilnost zbog osjetljivosti na promjene troška kapitala i poremećaje u opskrbnim lancima.</w:t>
            </w:r>
          </w:p>
        </w:tc>
      </w:tr>
      <w:tr w:rsidR="00E16415" w:rsidRPr="00E16415" w14:paraId="4C7361FD" w14:textId="77777777" w:rsidTr="00E16415">
        <w:trPr>
          <w:trHeight w:val="1229"/>
        </w:trPr>
        <w:tc>
          <w:tcPr>
            <w:tcW w:w="727" w:type="dxa"/>
            <w:tcBorders>
              <w:top w:val="nil"/>
              <w:left w:val="single" w:sz="4" w:space="0" w:color="auto"/>
              <w:bottom w:val="single" w:sz="4" w:space="0" w:color="auto"/>
              <w:right w:val="dotted" w:sz="4" w:space="0" w:color="auto"/>
            </w:tcBorders>
            <w:vAlign w:val="center"/>
            <w:hideMark/>
          </w:tcPr>
          <w:p w14:paraId="285EB8F1" w14:textId="77777777" w:rsidR="00E16415" w:rsidRPr="00E16415" w:rsidRDefault="00E16415" w:rsidP="00E16415">
            <w:pPr>
              <w:spacing w:line="240" w:lineRule="auto"/>
              <w:jc w:val="right"/>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4</w:t>
            </w:r>
          </w:p>
        </w:tc>
        <w:tc>
          <w:tcPr>
            <w:tcW w:w="2804" w:type="dxa"/>
            <w:tcBorders>
              <w:top w:val="nil"/>
              <w:left w:val="nil"/>
              <w:bottom w:val="single" w:sz="4" w:space="0" w:color="auto"/>
              <w:right w:val="dotted" w:sz="4" w:space="0" w:color="auto"/>
            </w:tcBorders>
            <w:vAlign w:val="center"/>
            <w:hideMark/>
          </w:tcPr>
          <w:p w14:paraId="54E9B550" w14:textId="759E8DB0" w:rsidR="00E16415" w:rsidRPr="00E16415" w:rsidRDefault="00E54314" w:rsidP="00E16415">
            <w:pPr>
              <w:spacing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 xml:space="preserve">Djelatnosti pružanja smještaja te pripreme i usluživanja hrane </w:t>
            </w:r>
            <w:r w:rsidR="00E16415" w:rsidRPr="00E16415">
              <w:rPr>
                <w:rFonts w:ascii="Aptos Narrow" w:eastAsia="Times New Roman" w:hAnsi="Aptos Narrow" w:cs="Times New Roman"/>
                <w:color w:val="000000"/>
                <w:lang w:val="hr-HR" w:eastAsia="hr-HR"/>
              </w:rPr>
              <w:t>(I)</w:t>
            </w:r>
          </w:p>
        </w:tc>
        <w:tc>
          <w:tcPr>
            <w:tcW w:w="1952" w:type="dxa"/>
            <w:tcBorders>
              <w:top w:val="nil"/>
              <w:left w:val="nil"/>
              <w:bottom w:val="single" w:sz="4" w:space="0" w:color="auto"/>
              <w:right w:val="dotted" w:sz="4" w:space="0" w:color="auto"/>
            </w:tcBorders>
            <w:vAlign w:val="center"/>
            <w:hideMark/>
          </w:tcPr>
          <w:p w14:paraId="24DDAE02" w14:textId="77777777" w:rsidR="00E16415" w:rsidRPr="00E16415" w:rsidRDefault="00E16415" w:rsidP="00E16415">
            <w:pPr>
              <w:spacing w:line="240" w:lineRule="auto"/>
              <w:rPr>
                <w:rFonts w:ascii="Aptos Narrow" w:eastAsia="Times New Roman" w:hAnsi="Aptos Narrow" w:cs="Times New Roman"/>
                <w:color w:val="000000"/>
                <w:lang w:val="hr-HR" w:eastAsia="hr-HR"/>
              </w:rPr>
            </w:pPr>
            <w:r w:rsidRPr="00E16415">
              <w:rPr>
                <w:rFonts w:ascii="Aptos Narrow" w:eastAsia="Times New Roman" w:hAnsi="Aptos Narrow" w:cs="Times New Roman"/>
                <w:color w:val="000000"/>
                <w:lang w:val="hr-HR" w:eastAsia="hr-HR"/>
              </w:rPr>
              <w:t>Visok rizik</w:t>
            </w:r>
          </w:p>
        </w:tc>
        <w:tc>
          <w:tcPr>
            <w:tcW w:w="3531" w:type="dxa"/>
            <w:tcBorders>
              <w:top w:val="nil"/>
              <w:left w:val="nil"/>
              <w:bottom w:val="single" w:sz="4" w:space="0" w:color="auto"/>
              <w:right w:val="single" w:sz="4" w:space="0" w:color="auto"/>
            </w:tcBorders>
            <w:vAlign w:val="center"/>
            <w:hideMark/>
          </w:tcPr>
          <w:p w14:paraId="67694470" w14:textId="77777777" w:rsidR="00E16415" w:rsidRPr="00E16415" w:rsidRDefault="00E16415" w:rsidP="00E16415">
            <w:pPr>
              <w:spacing w:line="240" w:lineRule="auto"/>
              <w:rPr>
                <w:rFonts w:ascii="Aptos Narrow" w:eastAsia="Times New Roman" w:hAnsi="Aptos Narrow" w:cs="Times New Roman"/>
                <w:color w:val="000000"/>
                <w:lang w:val="hr-HR" w:eastAsia="hr-HR"/>
              </w:rPr>
            </w:pPr>
            <w:proofErr w:type="spellStart"/>
            <w:r w:rsidRPr="00E16415">
              <w:rPr>
                <w:rFonts w:ascii="Aptos Narrow" w:eastAsia="Times New Roman" w:hAnsi="Aptos Narrow" w:cs="Times New Roman"/>
                <w:color w:val="000000"/>
                <w:lang w:val="hr-HR" w:eastAsia="hr-HR"/>
              </w:rPr>
              <w:t>Sezonalnost</w:t>
            </w:r>
            <w:proofErr w:type="spellEnd"/>
            <w:r w:rsidRPr="00E16415">
              <w:rPr>
                <w:rFonts w:ascii="Aptos Narrow" w:eastAsia="Times New Roman" w:hAnsi="Aptos Narrow" w:cs="Times New Roman"/>
                <w:color w:val="000000"/>
                <w:lang w:val="hr-HR" w:eastAsia="hr-HR"/>
              </w:rPr>
              <w:t xml:space="preserve">, osjetljivost na vanjske šokove i </w:t>
            </w:r>
            <w:proofErr w:type="spellStart"/>
            <w:r w:rsidRPr="00E16415">
              <w:rPr>
                <w:rFonts w:ascii="Aptos Narrow" w:eastAsia="Times New Roman" w:hAnsi="Aptos Narrow" w:cs="Times New Roman"/>
                <w:color w:val="000000"/>
                <w:lang w:val="hr-HR" w:eastAsia="hr-HR"/>
              </w:rPr>
              <w:t>volatilna</w:t>
            </w:r>
            <w:proofErr w:type="spellEnd"/>
            <w:r w:rsidRPr="00E16415">
              <w:rPr>
                <w:rFonts w:ascii="Aptos Narrow" w:eastAsia="Times New Roman" w:hAnsi="Aptos Narrow" w:cs="Times New Roman"/>
                <w:color w:val="000000"/>
                <w:lang w:val="hr-HR" w:eastAsia="hr-HR"/>
              </w:rPr>
              <w:t xml:space="preserve"> profitabilnost.</w:t>
            </w:r>
          </w:p>
        </w:tc>
      </w:tr>
    </w:tbl>
    <w:p w14:paraId="37D49138" w14:textId="77777777" w:rsidR="003C3246" w:rsidRDefault="003C3246" w:rsidP="003C3246">
      <w:pPr>
        <w:spacing w:line="360" w:lineRule="auto"/>
        <w:jc w:val="both"/>
      </w:pPr>
    </w:p>
    <w:p w14:paraId="20BC1283" w14:textId="77777777" w:rsidR="00E16415" w:rsidRDefault="00E16415" w:rsidP="003C3246">
      <w:pPr>
        <w:spacing w:line="360" w:lineRule="auto"/>
        <w:jc w:val="both"/>
      </w:pPr>
    </w:p>
    <w:p w14:paraId="282E63B1" w14:textId="3731D2BA" w:rsidR="003C3246" w:rsidRDefault="003C3246" w:rsidP="003C3246">
      <w:pPr>
        <w:spacing w:line="360" w:lineRule="auto"/>
        <w:jc w:val="both"/>
      </w:pPr>
      <w:r>
        <w:t xml:space="preserve">Za buduća poslovanja, rezultati sugeriraju važnost sektorskog pristupa u financijskom odlučivanju. Jedinstvene politike upravljanja kapitalnom strukturom i likvidnošću često ne daju optimalne rezultate, </w:t>
      </w:r>
      <w:r w:rsidR="00DD2B42">
        <w:t>ali</w:t>
      </w:r>
      <w:r>
        <w:t xml:space="preserve"> prilagodba strategija specifičnostima sektora omogućuje veću otpornost poduzeća na promjene gospodarskih ciklusa.</w:t>
      </w:r>
    </w:p>
    <w:p w14:paraId="388FF00A" w14:textId="77777777" w:rsidR="00B92FBB" w:rsidRDefault="00B92FBB">
      <w:pPr>
        <w:spacing w:line="360" w:lineRule="auto"/>
        <w:jc w:val="both"/>
      </w:pPr>
    </w:p>
    <w:p w14:paraId="04F88488" w14:textId="04D65AE2" w:rsidR="00613CD0" w:rsidRDefault="008A09CC">
      <w:pPr>
        <w:spacing w:line="360" w:lineRule="auto"/>
        <w:jc w:val="both"/>
      </w:pPr>
      <w:r>
        <w:t>Ovi rezultati potvrđuju da odnosi između poluge, likvidnosti i ostalih financijskih pokazatelja nisu univerzalni, nego se razlikuju po sektoru i vremenskom kontekstu. Upravo zato ovaj rad, s dugoročnim panelom i sektorskim pristupom, pruža dublji uvid u dinamiku hrvatskih poduzeća nego što su to do sada činila dostupna istraživanja.</w:t>
      </w:r>
    </w:p>
    <w:p w14:paraId="2E6931BF" w14:textId="77777777" w:rsidR="00613CD0" w:rsidRDefault="00613CD0">
      <w:r>
        <w:br w:type="page"/>
      </w:r>
    </w:p>
    <w:p w14:paraId="4B45B8BE" w14:textId="738F8F3A" w:rsidR="00DD2B42" w:rsidRDefault="00DD2B42" w:rsidP="007A371C">
      <w:pPr>
        <w:pStyle w:val="Naslov2"/>
        <w:numPr>
          <w:ilvl w:val="0"/>
          <w:numId w:val="7"/>
        </w:numPr>
      </w:pPr>
      <w:bookmarkStart w:id="81" w:name="_Toc207275898"/>
      <w:r>
        <w:lastRenderedPageBreak/>
        <w:t>Ograničenja istraživanja</w:t>
      </w:r>
      <w:bookmarkEnd w:id="81"/>
    </w:p>
    <w:p w14:paraId="7DAACD0B" w14:textId="77777777" w:rsidR="00DD2B42" w:rsidRPr="00DD2B42" w:rsidRDefault="00DD2B42" w:rsidP="00DD2B42"/>
    <w:p w14:paraId="2F2C916D" w14:textId="1C891E87" w:rsidR="00DD2B42" w:rsidRDefault="00DD2B42" w:rsidP="00DD2B42">
      <w:pPr>
        <w:spacing w:line="360" w:lineRule="auto"/>
        <w:jc w:val="both"/>
      </w:pPr>
      <w:r>
        <w:t>Iako istraživanje donosi uvide u odnos financijske poluge i likvidnosti poduzeća u hrvatskom gospodarstvu, potrebno je naglasiti nekoliko aspekata koji mogu utjecati na tumačenje rezultata.</w:t>
      </w:r>
    </w:p>
    <w:p w14:paraId="5BD3C595" w14:textId="77777777" w:rsidR="00DD2B42" w:rsidRDefault="00DD2B42" w:rsidP="00DD2B42">
      <w:pPr>
        <w:spacing w:line="360" w:lineRule="auto"/>
        <w:jc w:val="both"/>
      </w:pPr>
    </w:p>
    <w:p w14:paraId="664FCDCD" w14:textId="74DDABA1" w:rsidR="00DD2B42" w:rsidRDefault="00DD2B42" w:rsidP="00DD2B42">
      <w:pPr>
        <w:spacing w:line="360" w:lineRule="auto"/>
        <w:jc w:val="both"/>
      </w:pPr>
      <w:r>
        <w:t>Prvo, uzorak obuhvaća samo poduzeća koja su poslovala u svim promatranim godinama (2008. - 2023.). Dakle, rezultati prvenstveno odražavaju obrasce stabilnijih poduzeća. Također, analiza je provedena na razini sektora, zbog čega specifičnosti unutar pojedinih podsektora nisu detaljnije razrađene.</w:t>
      </w:r>
    </w:p>
    <w:p w14:paraId="1E972829" w14:textId="77777777" w:rsidR="00DD2B42" w:rsidRDefault="00DD2B42" w:rsidP="00DD2B42">
      <w:pPr>
        <w:spacing w:line="360" w:lineRule="auto"/>
        <w:jc w:val="both"/>
      </w:pPr>
    </w:p>
    <w:p w14:paraId="27EC7BF2" w14:textId="2122D952" w:rsidR="00DD2B42" w:rsidRDefault="00DD2B42" w:rsidP="00DD2B42">
      <w:pPr>
        <w:spacing w:line="360" w:lineRule="auto"/>
        <w:jc w:val="both"/>
      </w:pPr>
      <w:r>
        <w:t>Podaci prikupljeni od FINA-e pružaju čvrst kvantitativni temelj, no ne uključuju kvalitativne pokazatelje, poput internih politika upravljanja poduzećem ili pristupa riziku koji bi dodatno obogatili analizu.</w:t>
      </w:r>
    </w:p>
    <w:p w14:paraId="365BBE98" w14:textId="77777777" w:rsidR="00DD2B42" w:rsidRDefault="00DD2B42" w:rsidP="00DD2B42">
      <w:pPr>
        <w:spacing w:line="360" w:lineRule="auto"/>
        <w:jc w:val="both"/>
      </w:pPr>
    </w:p>
    <w:p w14:paraId="2EB9FAFC" w14:textId="2FDE657F" w:rsidR="0024316E" w:rsidRDefault="00DD2B42" w:rsidP="00DD2B42">
      <w:pPr>
        <w:spacing w:line="360" w:lineRule="auto"/>
        <w:jc w:val="both"/>
      </w:pPr>
      <w:r w:rsidRPr="00DD2B42">
        <w:t>Ipak, rezultati ukazuju na važnost promišljenog upravljanja strukturom kapitala i likvidnošću. U dinamičnom okruženju, obilježenom čestim promjenama i nepredvidivim šokovima, ravnoteža između zaduženosti i likvidnosti ostaje jedan od glavnih čimbenika otpornosti i dugoročne održivosti poduzeća.</w:t>
      </w:r>
    </w:p>
    <w:p w14:paraId="51447F09" w14:textId="59DAA0D9" w:rsidR="00613CD0" w:rsidRDefault="00613CD0">
      <w:r>
        <w:br w:type="page"/>
      </w:r>
    </w:p>
    <w:p w14:paraId="71873C6F" w14:textId="169C0220" w:rsidR="0024316E" w:rsidRDefault="0024316E" w:rsidP="007A371C">
      <w:pPr>
        <w:pStyle w:val="Naslov2"/>
        <w:numPr>
          <w:ilvl w:val="0"/>
          <w:numId w:val="7"/>
        </w:numPr>
      </w:pPr>
      <w:bookmarkStart w:id="82" w:name="_Toc207275899"/>
      <w:r w:rsidRPr="0024316E">
        <w:lastRenderedPageBreak/>
        <w:t>Strategijske preporuke i implikacije za praksu</w:t>
      </w:r>
      <w:bookmarkEnd w:id="82"/>
    </w:p>
    <w:p w14:paraId="5EABD6F2" w14:textId="77777777" w:rsidR="00355CD2" w:rsidRPr="00355CD2" w:rsidRDefault="00355CD2" w:rsidP="00355CD2"/>
    <w:p w14:paraId="5DBEC2C8" w14:textId="65390418" w:rsidR="00355CD2" w:rsidRDefault="00355CD2" w:rsidP="00355CD2">
      <w:pPr>
        <w:spacing w:line="360" w:lineRule="auto"/>
        <w:jc w:val="both"/>
      </w:pPr>
      <w:r w:rsidRPr="00355CD2">
        <w:t>Kako analiza ne bi ostala ograničena isključivo na interpretacij</w:t>
      </w:r>
      <w:r>
        <w:t xml:space="preserve">u </w:t>
      </w:r>
      <w:r w:rsidRPr="00355CD2">
        <w:t xml:space="preserve">podataka, u nastavku se </w:t>
      </w:r>
      <w:r>
        <w:t>iznose</w:t>
      </w:r>
      <w:r w:rsidRPr="00355CD2">
        <w:t xml:space="preserve"> smjernice i preporuke koje omogućuju </w:t>
      </w:r>
      <w:r>
        <w:t xml:space="preserve">praktičnu </w:t>
      </w:r>
      <w:r w:rsidRPr="00355CD2">
        <w:t xml:space="preserve">primjenu dobivenih </w:t>
      </w:r>
      <w:r>
        <w:t>rezultata.</w:t>
      </w:r>
    </w:p>
    <w:p w14:paraId="7A4357E2" w14:textId="77777777" w:rsidR="00355CD2" w:rsidRDefault="00355CD2" w:rsidP="00355CD2">
      <w:pPr>
        <w:spacing w:line="360" w:lineRule="auto"/>
        <w:jc w:val="both"/>
      </w:pPr>
    </w:p>
    <w:p w14:paraId="048F6228" w14:textId="4E5E42E9" w:rsidR="00355CD2" w:rsidRDefault="00355CD2" w:rsidP="00355CD2">
      <w:pPr>
        <w:spacing w:line="360" w:lineRule="auto"/>
        <w:jc w:val="both"/>
      </w:pPr>
      <w:r w:rsidRPr="00355CD2">
        <w:t>Za menadžere u svim sektorima naglašava</w:t>
      </w:r>
      <w:r w:rsidR="00A530AF">
        <w:t xml:space="preserve"> se</w:t>
      </w:r>
      <w:r w:rsidRPr="00355CD2">
        <w:t xml:space="preserve"> važnost sustavnog praćenja razine zaduženosti i profitabilnosti te redovitog provođenja internih stres-testova radi pravodobnog prepoznavanja rizika. Dobit ostvarena tijekom godine ne bi smjela ostati pasivna u kapitalu, već se preporučuje njezino </w:t>
      </w:r>
      <w:proofErr w:type="spellStart"/>
      <w:r w:rsidRPr="00355CD2">
        <w:t>reinvestiranje</w:t>
      </w:r>
      <w:proofErr w:type="spellEnd"/>
      <w:r w:rsidRPr="00355CD2">
        <w:t xml:space="preserve"> u likvidne rezerve ili kratkoročne instrumente koji povećavaju otpornost poduzeća na moguće šokove. Istodobno, optimizacija operativnih procesa i digitalizacija poslovanja </w:t>
      </w:r>
      <w:r>
        <w:t>mogu služiti</w:t>
      </w:r>
      <w:r w:rsidRPr="00355CD2">
        <w:t xml:space="preserve"> kao strategije za jačanje učinkovitosti i dugoročne stabilnosti. Dodatno, </w:t>
      </w:r>
      <w:r>
        <w:t>preporučuje se</w:t>
      </w:r>
      <w:r w:rsidRPr="00355CD2">
        <w:t xml:space="preserve"> scenarijsko planiranje pri čemu se izrađuju optimistični, realni i pesimistični modeli poslovanja kako bi se odluke temeljile na objektivnim simulacijama, a ne isključivo na iskustvu ili intuiciji</w:t>
      </w:r>
      <w:r>
        <w:t>.</w:t>
      </w:r>
    </w:p>
    <w:p w14:paraId="121D1232" w14:textId="77777777" w:rsidR="00795F00" w:rsidRDefault="00795F00" w:rsidP="00355CD2">
      <w:pPr>
        <w:spacing w:line="360" w:lineRule="auto"/>
        <w:jc w:val="both"/>
      </w:pPr>
    </w:p>
    <w:p w14:paraId="0F45A416" w14:textId="5306F45F" w:rsidR="00795F00" w:rsidRDefault="00795F00" w:rsidP="00355CD2">
      <w:pPr>
        <w:spacing w:line="360" w:lineRule="auto"/>
        <w:jc w:val="both"/>
      </w:pPr>
      <w:r w:rsidRPr="00795F00">
        <w:t>Za investitore rezultati predstavljaju koristan alat pri procjeni rizika i potencijala ulaganja. Analiza odnosa između poluge i likvidnosti po sektorima pruža jasniji uvid u financijsku stabilnost poduzeća te pomaže na vrijeme uočiti ranjivosti u razdobljima tržišnih poremećaja. Time se investitorima omogućuje usmjeravanje kapitala prema održivijim projektima i donošenje odluka koje uravnotežuju kratkoročnu sigurnost s dugoročnom održivošću portfelja.</w:t>
      </w:r>
    </w:p>
    <w:p w14:paraId="0BB53F1F" w14:textId="77777777" w:rsidR="00355CD2" w:rsidRDefault="00355CD2" w:rsidP="00355CD2">
      <w:pPr>
        <w:spacing w:line="360" w:lineRule="auto"/>
        <w:jc w:val="both"/>
      </w:pPr>
    </w:p>
    <w:p w14:paraId="434350A4" w14:textId="1139D6C3" w:rsidR="00355CD2" w:rsidRDefault="00355CD2" w:rsidP="00355CD2">
      <w:pPr>
        <w:spacing w:line="360" w:lineRule="auto"/>
        <w:jc w:val="both"/>
      </w:pPr>
      <w:r>
        <w:t xml:space="preserve">Nositelji ekonomskih odluka </w:t>
      </w:r>
      <w:r w:rsidR="009C3EDB">
        <w:t>trebali bi oblikovati</w:t>
      </w:r>
      <w:r>
        <w:t xml:space="preserve"> mjer</w:t>
      </w:r>
      <w:r w:rsidR="009C3EDB">
        <w:t>e</w:t>
      </w:r>
      <w:r>
        <w:t xml:space="preserve"> i poticaj</w:t>
      </w:r>
      <w:r w:rsidR="009C3EDB">
        <w:t>e</w:t>
      </w:r>
      <w:r>
        <w:t xml:space="preserve"> kojima bi se poduzećima olakšalo upravljanje </w:t>
      </w:r>
      <w:r w:rsidR="009C3EDB">
        <w:t>rizikom</w:t>
      </w:r>
      <w:r>
        <w:t xml:space="preserve">. </w:t>
      </w:r>
      <w:r w:rsidR="009C3EDB">
        <w:t>Primjeri takve mjere mogu biti</w:t>
      </w:r>
      <w:r>
        <w:t xml:space="preserve"> subvencij</w:t>
      </w:r>
      <w:r w:rsidR="009C3EDB">
        <w:t>e</w:t>
      </w:r>
      <w:r>
        <w:t xml:space="preserve"> za poduzeća koja reinvestiraju dobit u likvidne rezerve </w:t>
      </w:r>
      <w:r w:rsidR="009C3EDB">
        <w:t>ili</w:t>
      </w:r>
      <w:r>
        <w:t xml:space="preserve"> </w:t>
      </w:r>
      <w:r w:rsidR="009C3EDB" w:rsidRPr="009C3EDB">
        <w:t>olakšani modeli financiranja</w:t>
      </w:r>
      <w:r>
        <w:t xml:space="preserve"> za sektore s izraženom </w:t>
      </w:r>
      <w:proofErr w:type="spellStart"/>
      <w:r>
        <w:t>sezonalnošću</w:t>
      </w:r>
      <w:proofErr w:type="spellEnd"/>
      <w:r>
        <w:t xml:space="preserve">, poput turizma i transporta. Osim toga, </w:t>
      </w:r>
      <w:r w:rsidR="009C3EDB">
        <w:t>bitno</w:t>
      </w:r>
      <w:r>
        <w:t xml:space="preserve"> je</w:t>
      </w:r>
      <w:r w:rsidR="009C3EDB">
        <w:t xml:space="preserve"> i od strane kreatora politika</w:t>
      </w:r>
      <w:r>
        <w:t xml:space="preserve"> kontinuirano poticati digitalizaciju i inovacije, uz usmjeravanje sredstava u edukaciju menadžera i poduzetnika, čime bi se unaprijedila njihova sposobnost pravodobnog prepoznavanja i ublažavanja financijskih rizika.</w:t>
      </w:r>
    </w:p>
    <w:p w14:paraId="08798F41" w14:textId="77777777" w:rsidR="00355CD2" w:rsidRDefault="00355CD2" w:rsidP="00355CD2">
      <w:pPr>
        <w:spacing w:line="360" w:lineRule="auto"/>
        <w:jc w:val="both"/>
      </w:pPr>
    </w:p>
    <w:p w14:paraId="53AB4D8A" w14:textId="459F1AEA" w:rsidR="0024316E" w:rsidRDefault="00355CD2" w:rsidP="00355CD2">
      <w:pPr>
        <w:spacing w:line="360" w:lineRule="auto"/>
        <w:jc w:val="both"/>
      </w:pPr>
      <w:r>
        <w:t>Kada se promatraju pojedini sektori, prerađivačka industrija (C) pokazuje najvišu razinu stabilnosti, zahvaljujući umjerenoj zaduženosti i konzistentnim povratima, te bi trebala nastaviti s ulaganjem u modernizaciju i tehnološki napredak. Administrativne i pomoćne uslužne djelatnosti (N) ostvaruju srednju stabilnost, no niska profitabilnost upućuje na nužnost optimizacije troškova</w:t>
      </w:r>
      <w:r w:rsidR="00CC1CF9">
        <w:t xml:space="preserve"> i povećanja produktivnosti</w:t>
      </w:r>
      <w:r>
        <w:t>. Sektor transporta i skladištenja (H) karakterizira visoka volatilnost</w:t>
      </w:r>
      <w:r w:rsidR="00CC1CF9">
        <w:t>, ponajprije zbog osjetljivosti</w:t>
      </w:r>
      <w:r>
        <w:t xml:space="preserve"> na promjene troška kapitala i globalne poremećaje u lancima opskrbe, zbog čega se preporučuje diverzifikacija izvora </w:t>
      </w:r>
      <w:r>
        <w:lastRenderedPageBreak/>
        <w:t xml:space="preserve">financiranja. Turizam i ugostiteljstvo (I) ostaju najizloženiji vanjskim šokovima i sezonskim oscilacijama, što </w:t>
      </w:r>
      <w:r w:rsidR="00CC1CF9">
        <w:t>zahtijeva</w:t>
      </w:r>
      <w:r>
        <w:t xml:space="preserve"> diversifikaciju tržišta i jačanje digitalnih kanala prodaje kako bi se smanjila volatilnost i povećala dugoročna otpornost sektora.</w:t>
      </w:r>
    </w:p>
    <w:p w14:paraId="0654FE61" w14:textId="77777777" w:rsidR="00795F00" w:rsidRDefault="00795F00" w:rsidP="00355CD2">
      <w:pPr>
        <w:spacing w:line="360" w:lineRule="auto"/>
        <w:jc w:val="both"/>
      </w:pPr>
    </w:p>
    <w:p w14:paraId="3B3EC0BF" w14:textId="46BE1305" w:rsidR="00613CD0" w:rsidRDefault="00795F00" w:rsidP="00355CD2">
      <w:pPr>
        <w:spacing w:line="360" w:lineRule="auto"/>
        <w:jc w:val="both"/>
      </w:pPr>
      <w:r w:rsidRPr="00795F00">
        <w:t>Provedene preporuke nadilaze okvir same analize jer pružaju konkretan doprinos praksi</w:t>
      </w:r>
      <w:r>
        <w:t>.</w:t>
      </w:r>
      <w:r w:rsidRPr="00795F00">
        <w:t xml:space="preserve"> </w:t>
      </w:r>
      <w:r>
        <w:t>O</w:t>
      </w:r>
      <w:r w:rsidRPr="00795F00">
        <w:t>mogućujući menadžerima, investitorima i donositeljima ekonomskih odluka da pravodobno prepoznaju rizike, prilagode strategije i ojačaju otpornost poslovanja u dinamičnom gospodarskom okruženju.</w:t>
      </w:r>
    </w:p>
    <w:p w14:paraId="04EC8D8C" w14:textId="77777777" w:rsidR="00613CD0" w:rsidRDefault="00613CD0">
      <w:r>
        <w:br w:type="page"/>
      </w:r>
    </w:p>
    <w:p w14:paraId="4D01012A" w14:textId="180BFFD0" w:rsidR="00B92FBB" w:rsidRDefault="008A09CC" w:rsidP="007A371C">
      <w:pPr>
        <w:pStyle w:val="Naslov2"/>
        <w:numPr>
          <w:ilvl w:val="0"/>
          <w:numId w:val="7"/>
        </w:numPr>
      </w:pPr>
      <w:bookmarkStart w:id="83" w:name="_Toc207275900"/>
      <w:r>
        <w:lastRenderedPageBreak/>
        <w:t>Zaključak</w:t>
      </w:r>
      <w:bookmarkEnd w:id="83"/>
    </w:p>
    <w:p w14:paraId="66688F3C" w14:textId="77777777" w:rsidR="00D11EF7" w:rsidRPr="00D11EF7" w:rsidRDefault="00D11EF7" w:rsidP="00D11EF7"/>
    <w:p w14:paraId="3A968518" w14:textId="77777777" w:rsidR="00B92FBB" w:rsidRDefault="008A09CC">
      <w:pPr>
        <w:spacing w:line="360" w:lineRule="auto"/>
        <w:jc w:val="both"/>
      </w:pPr>
      <w:r>
        <w:t>Ovo istraživanje pružilo je jasniji uvid u vezu između financijske poluge i likvidnosti poduzeća u četiri sektora hrvatskog gospodarstva: prerađivačkoj industriji (C), prijevozu i skladištenju (H), pružanju smještaja i pripremi i usluživanju hrane (I) te administrativnim i pomoćnim uslugama (N). Dugoročan, uravnotežen panel podataka za razdoblje od 2008. do 2023. omogućio je praćenje ponašanja poduzeća kroz različite faze ekonomskog ciklusa: od globalne financijske krize i recesije, preko razdoblja rasta, do pandemije i kasnijeg rasta kamatnih stopa i inflacije.</w:t>
      </w:r>
    </w:p>
    <w:p w14:paraId="3B7CC595" w14:textId="77777777" w:rsidR="00B92FBB" w:rsidRDefault="00B92FBB">
      <w:pPr>
        <w:spacing w:line="360" w:lineRule="auto"/>
        <w:jc w:val="both"/>
      </w:pPr>
    </w:p>
    <w:p w14:paraId="3CB4B321" w14:textId="77777777" w:rsidR="00B92FBB" w:rsidRDefault="008A09CC">
      <w:pPr>
        <w:spacing w:line="360" w:lineRule="auto"/>
        <w:jc w:val="both"/>
      </w:pPr>
      <w:r>
        <w:t xml:space="preserve">Rezultati pokazuju da likvidnost u svim sektorima ima jasnu inerciju. Poduzeća koja su bila likvidna u prošlosti i u kasnijim razdobljima zadržavaju stabilnije pozicije. Međutim, utjecaj zaduženosti nije jednoznačan. U industriji i logistici, viša poluga često se povezuje s višim razinama likvidnosti jer se dug koristi kao instrument očuvanja operativne stabilnosti. U turizmu i administrativnim uslugama veća je volatilnost, uz oscilacije koje proizlaze iz </w:t>
      </w:r>
      <w:proofErr w:type="spellStart"/>
      <w:r>
        <w:t>sezonalnosti</w:t>
      </w:r>
      <w:proofErr w:type="spellEnd"/>
      <w:r>
        <w:t>, projektne dinamike i ograničenog pristupa vanjskim izvorima financiranja.</w:t>
      </w:r>
    </w:p>
    <w:p w14:paraId="7B48D632" w14:textId="77777777" w:rsidR="00B92FBB" w:rsidRDefault="00B92FBB">
      <w:pPr>
        <w:spacing w:line="360" w:lineRule="auto"/>
        <w:jc w:val="both"/>
      </w:pPr>
    </w:p>
    <w:p w14:paraId="344E3ADE" w14:textId="77777777" w:rsidR="00B92FBB" w:rsidRDefault="008A09CC">
      <w:pPr>
        <w:spacing w:line="360" w:lineRule="auto"/>
        <w:jc w:val="both"/>
      </w:pPr>
      <w:r>
        <w:t>Kontrolne varijable donose dodatnu dimenziju u analizi. Profitabilnost (ROA i ROE) pokazuje da stabilna dobit stvara zaštitni sloj za očuvanje likvidnosti i olakšava upravljanje dugom. Rast prihoda, posebno kad je nagao, može privremeno iscrpiti gotovinske rezerve i povećati potrebu za kratkoročnim zaduživanjem. Kapitalna intenzivnost u većini sektora naglašava važnost održavanja viših razina kratkotrajne imovine što je posebno izraženo u kapitalno zahtjevnim granama poput prerađivačke industrije i transporta.</w:t>
      </w:r>
    </w:p>
    <w:p w14:paraId="3835367C" w14:textId="77777777" w:rsidR="00B92FBB" w:rsidRDefault="00B92FBB">
      <w:pPr>
        <w:spacing w:line="360" w:lineRule="auto"/>
        <w:jc w:val="both"/>
      </w:pPr>
    </w:p>
    <w:p w14:paraId="6C77F2BC" w14:textId="77777777" w:rsidR="00B92FBB" w:rsidRDefault="008A09CC">
      <w:pPr>
        <w:spacing w:line="360" w:lineRule="auto"/>
        <w:jc w:val="both"/>
      </w:pPr>
      <w:r>
        <w:t>U usporedbi s postojećom literaturom, rezultati potvrđuju većinu globalnih teorijskih pretpostavki, ali otkrivaju i specifičnosti hrvatskog tržišta. Pozitivan odnos poluge i likvidnosti u industriji i logistici razlikuje se od istraživanja za razvijenija tržišta gdje dug često djeluje restriktivno. S druge strane, volatilnost u turizmu i uslužnim djelatnostima podsjeća na obrasce tipične za tržišta u razvoju gdje se stabilnost često gradi na kratkoročnim strategijama i opreznijem upravljanju gotovinom.</w:t>
      </w:r>
    </w:p>
    <w:p w14:paraId="6D577576" w14:textId="77777777" w:rsidR="0004573D" w:rsidRDefault="0004573D">
      <w:pPr>
        <w:spacing w:line="360" w:lineRule="auto"/>
        <w:jc w:val="both"/>
      </w:pPr>
    </w:p>
    <w:p w14:paraId="5A22C35F" w14:textId="2164D625" w:rsidR="0004573D" w:rsidRDefault="0004573D" w:rsidP="0004573D">
      <w:pPr>
        <w:spacing w:line="360" w:lineRule="auto"/>
        <w:jc w:val="both"/>
      </w:pPr>
      <w:r>
        <w:t>Ovim istraživanjem ostvareni su zadani ciljevi. Analizirana je povezanost financijske poluge i likvidnosti poduzeća u četiri sektora hrvatskog gospodarstva uz uvažavanje sektorskih specifičnosti i kontrolnih varijabli.</w:t>
      </w:r>
    </w:p>
    <w:p w14:paraId="02ADF55F" w14:textId="77777777" w:rsidR="0004573D" w:rsidRDefault="0004573D" w:rsidP="0004573D">
      <w:pPr>
        <w:spacing w:line="360" w:lineRule="auto"/>
        <w:jc w:val="both"/>
      </w:pPr>
    </w:p>
    <w:p w14:paraId="66AAF987" w14:textId="77777777" w:rsidR="0004573D" w:rsidRDefault="0004573D" w:rsidP="0004573D">
      <w:pPr>
        <w:spacing w:line="360" w:lineRule="auto"/>
        <w:jc w:val="both"/>
      </w:pPr>
      <w:r>
        <w:t>Što se tiče hipoteza, rezultati pokazuju sljedeće:</w:t>
      </w:r>
    </w:p>
    <w:p w14:paraId="48339CD7" w14:textId="77777777" w:rsidR="0004573D" w:rsidRDefault="0004573D" w:rsidP="0004573D">
      <w:pPr>
        <w:spacing w:line="360" w:lineRule="auto"/>
        <w:jc w:val="both"/>
      </w:pPr>
    </w:p>
    <w:p w14:paraId="5BBEC7F4" w14:textId="2A751E0C" w:rsidR="0004573D" w:rsidRDefault="00DF5C97" w:rsidP="0004573D">
      <w:pPr>
        <w:spacing w:line="360" w:lineRule="auto"/>
        <w:jc w:val="both"/>
      </w:pPr>
      <w:r w:rsidRPr="00DF5C97">
        <w:t xml:space="preserve">H1 – postojanost likvidnosti kroz vrijeme potvrđena je u sektorima C, I </w:t>
      </w:r>
      <w:proofErr w:type="spellStart"/>
      <w:r w:rsidRPr="00DF5C97">
        <w:t>i</w:t>
      </w:r>
      <w:proofErr w:type="spellEnd"/>
      <w:r w:rsidRPr="00DF5C97">
        <w:t xml:space="preserve"> N, dok je odbačena u sektoru H</w:t>
      </w:r>
      <w:r>
        <w:t>. Takav rezultat</w:t>
      </w:r>
      <w:r w:rsidRPr="00DF5C97">
        <w:t xml:space="preserve"> ukazuje na veću dinamiku i manju stabilnost u likvidnosti poduzeća iz djelatnosti prijevoza i skladištenja.</w:t>
      </w:r>
    </w:p>
    <w:p w14:paraId="556B5081" w14:textId="77777777" w:rsidR="00DF5C97" w:rsidRDefault="00DF5C97" w:rsidP="0004573D">
      <w:pPr>
        <w:spacing w:line="360" w:lineRule="auto"/>
        <w:jc w:val="both"/>
      </w:pPr>
    </w:p>
    <w:p w14:paraId="4109BCD3" w14:textId="77777777" w:rsidR="0004573D" w:rsidRDefault="0004573D" w:rsidP="0004573D">
      <w:pPr>
        <w:spacing w:line="360" w:lineRule="auto"/>
        <w:jc w:val="both"/>
      </w:pPr>
      <w:r>
        <w:t xml:space="preserve">H2 – povezanost poluge s višim razinama likvidnosti potvrđena je u sektorima C i H, dok u sektorima I </w:t>
      </w:r>
      <w:proofErr w:type="spellStart"/>
      <w:r>
        <w:t>i</w:t>
      </w:r>
      <w:proofErr w:type="spellEnd"/>
      <w:r>
        <w:t xml:space="preserve"> N nije u potpunosti potvrđena zbog volatilnosti i specifičnih obrazaca upravljanja dugom.</w:t>
      </w:r>
    </w:p>
    <w:p w14:paraId="2D9DB4AF" w14:textId="77777777" w:rsidR="0004573D" w:rsidRDefault="0004573D" w:rsidP="0004573D">
      <w:pPr>
        <w:spacing w:line="360" w:lineRule="auto"/>
        <w:jc w:val="both"/>
      </w:pPr>
    </w:p>
    <w:p w14:paraId="162962BC" w14:textId="77777777" w:rsidR="0004573D" w:rsidRDefault="0004573D" w:rsidP="0004573D">
      <w:pPr>
        <w:spacing w:line="360" w:lineRule="auto"/>
        <w:jc w:val="both"/>
      </w:pPr>
      <w:r>
        <w:t>H3 – utjecaj kontrolnih varijabli uglavnom je potvrđen; profitabilnost dosljedno doprinosi većoj likvidnosti, kapitalna intenzivnost pokazuje jači efekt u kapitalno intenzivnim granama, a promjene prihoda različito djeluju ovisno o dinamici sektora.</w:t>
      </w:r>
    </w:p>
    <w:p w14:paraId="4CBD92E0" w14:textId="77777777" w:rsidR="0004573D" w:rsidRDefault="0004573D" w:rsidP="0004573D">
      <w:pPr>
        <w:spacing w:line="360" w:lineRule="auto"/>
        <w:jc w:val="both"/>
      </w:pPr>
    </w:p>
    <w:p w14:paraId="36AB91C6" w14:textId="1FB86748" w:rsidR="0004573D" w:rsidRDefault="0004573D" w:rsidP="0004573D">
      <w:pPr>
        <w:spacing w:line="360" w:lineRule="auto"/>
        <w:jc w:val="both"/>
      </w:pPr>
      <w:r>
        <w:t>Ovi rezultati potvrđuju većinu globalnih teorijskih pretpostavki, ali ukazuju i na specifičnosti hrvatskog tržišta, posebno kada je riječ o ulozi duga u održavanju likvidnosti i otpornosti poduzeća.</w:t>
      </w:r>
    </w:p>
    <w:p w14:paraId="50A7FF45" w14:textId="3A5EA9FF" w:rsidR="00613CD0" w:rsidRDefault="00613CD0">
      <w:r>
        <w:br w:type="page"/>
      </w:r>
    </w:p>
    <w:p w14:paraId="1F4AB2E2" w14:textId="77777777" w:rsidR="00B92FBB" w:rsidRDefault="008A09CC" w:rsidP="007A371C">
      <w:pPr>
        <w:pStyle w:val="Naslov2"/>
        <w:numPr>
          <w:ilvl w:val="0"/>
          <w:numId w:val="7"/>
        </w:numPr>
      </w:pPr>
      <w:bookmarkStart w:id="84" w:name="_3p6kfxx8abx9" w:colFirst="0" w:colLast="0"/>
      <w:bookmarkStart w:id="85" w:name="_Toc207275901"/>
      <w:bookmarkEnd w:id="84"/>
      <w:r>
        <w:lastRenderedPageBreak/>
        <w:t>Popis literature</w:t>
      </w:r>
      <w:bookmarkEnd w:id="85"/>
    </w:p>
    <w:p w14:paraId="0FBD4612" w14:textId="77777777" w:rsidR="00B92FBB" w:rsidRDefault="00B92FBB"/>
    <w:p w14:paraId="41BBE869" w14:textId="4625C9D8"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Acharya</w:t>
      </w:r>
      <w:proofErr w:type="spellEnd"/>
      <w:r w:rsidRPr="00B136B7">
        <w:rPr>
          <w:color w:val="000000" w:themeColor="text1"/>
        </w:rPr>
        <w:t xml:space="preserve">, V. V., </w:t>
      </w:r>
      <w:proofErr w:type="spellStart"/>
      <w:r w:rsidRPr="00B136B7">
        <w:rPr>
          <w:color w:val="000000" w:themeColor="text1"/>
        </w:rPr>
        <w:t>Almeida</w:t>
      </w:r>
      <w:proofErr w:type="spellEnd"/>
      <w:r w:rsidRPr="00B136B7">
        <w:rPr>
          <w:color w:val="000000" w:themeColor="text1"/>
        </w:rPr>
        <w:t>, H.</w:t>
      </w:r>
      <w:r w:rsidR="0043109A" w:rsidRPr="00B136B7">
        <w:rPr>
          <w:color w:val="000000" w:themeColor="text1"/>
        </w:rPr>
        <w:t xml:space="preserve"> i</w:t>
      </w:r>
      <w:r w:rsidRPr="00B136B7">
        <w:rPr>
          <w:color w:val="000000" w:themeColor="text1"/>
        </w:rPr>
        <w:t xml:space="preserve"> </w:t>
      </w:r>
      <w:proofErr w:type="spellStart"/>
      <w:r w:rsidRPr="00B136B7">
        <w:rPr>
          <w:color w:val="000000" w:themeColor="text1"/>
        </w:rPr>
        <w:t>Campello</w:t>
      </w:r>
      <w:proofErr w:type="spellEnd"/>
      <w:r w:rsidRPr="00B136B7">
        <w:rPr>
          <w:color w:val="000000" w:themeColor="text1"/>
        </w:rPr>
        <w:t xml:space="preserve">, M. (2005). </w:t>
      </w:r>
      <w:proofErr w:type="spellStart"/>
      <w:r w:rsidRPr="00B136B7">
        <w:rPr>
          <w:color w:val="000000" w:themeColor="text1"/>
        </w:rPr>
        <w:t>Is</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negative </w:t>
      </w:r>
      <w:proofErr w:type="spellStart"/>
      <w:r w:rsidRPr="00B136B7">
        <w:rPr>
          <w:color w:val="000000" w:themeColor="text1"/>
        </w:rPr>
        <w:t>debt</w:t>
      </w:r>
      <w:proofErr w:type="spellEnd"/>
      <w:r w:rsidRPr="00B136B7">
        <w:rPr>
          <w:color w:val="000000" w:themeColor="text1"/>
        </w:rPr>
        <w:t xml:space="preserve">? A </w:t>
      </w:r>
      <w:proofErr w:type="spellStart"/>
      <w:r w:rsidRPr="00B136B7">
        <w:rPr>
          <w:color w:val="000000" w:themeColor="text1"/>
        </w:rPr>
        <w:t>hedging</w:t>
      </w:r>
      <w:proofErr w:type="spellEnd"/>
      <w:r w:rsidRPr="00B136B7">
        <w:rPr>
          <w:color w:val="000000" w:themeColor="text1"/>
        </w:rPr>
        <w:t xml:space="preserve"> </w:t>
      </w:r>
      <w:proofErr w:type="spellStart"/>
      <w:r w:rsidRPr="00B136B7">
        <w:rPr>
          <w:color w:val="000000" w:themeColor="text1"/>
        </w:rPr>
        <w:t>perspective</w:t>
      </w:r>
      <w:proofErr w:type="spellEnd"/>
      <w:r w:rsidRPr="00B136B7">
        <w:rPr>
          <w:color w:val="000000" w:themeColor="text1"/>
        </w:rPr>
        <w:t xml:space="preserve"> on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financial</w:t>
      </w:r>
      <w:proofErr w:type="spellEnd"/>
      <w:r w:rsidRPr="00B136B7">
        <w:rPr>
          <w:color w:val="000000" w:themeColor="text1"/>
        </w:rPr>
        <w:t xml:space="preserve"> </w:t>
      </w:r>
      <w:proofErr w:type="spellStart"/>
      <w:r w:rsidRPr="00B136B7">
        <w:rPr>
          <w:color w:val="000000" w:themeColor="text1"/>
        </w:rPr>
        <w:t>policies</w:t>
      </w:r>
      <w:proofErr w:type="spellEnd"/>
      <w:r w:rsidRPr="00B136B7">
        <w:rPr>
          <w:color w:val="000000" w:themeColor="text1"/>
        </w:rPr>
        <w:t xml:space="preserve">. </w:t>
      </w:r>
      <w:r w:rsidRPr="00B136B7">
        <w:rPr>
          <w:i/>
          <w:color w:val="000000" w:themeColor="text1"/>
        </w:rPr>
        <w:t xml:space="preserve">Journal </w:t>
      </w:r>
      <w:proofErr w:type="spellStart"/>
      <w:r w:rsidRPr="00B136B7">
        <w:rPr>
          <w:i/>
          <w:color w:val="000000" w:themeColor="text1"/>
        </w:rPr>
        <w:t>of</w:t>
      </w:r>
      <w:proofErr w:type="spellEnd"/>
      <w:r w:rsidRPr="00B136B7">
        <w:rPr>
          <w:i/>
          <w:color w:val="000000" w:themeColor="text1"/>
        </w:rPr>
        <w:t xml:space="preserve"> Financial </w:t>
      </w:r>
      <w:proofErr w:type="spellStart"/>
      <w:r w:rsidRPr="00B136B7">
        <w:rPr>
          <w:i/>
          <w:color w:val="000000" w:themeColor="text1"/>
        </w:rPr>
        <w:t>Intermediation</w:t>
      </w:r>
      <w:proofErr w:type="spellEnd"/>
      <w:r w:rsidRPr="00B136B7">
        <w:rPr>
          <w:color w:val="000000" w:themeColor="text1"/>
        </w:rPr>
        <w:t xml:space="preserve">, 16(4), 3-36. </w:t>
      </w:r>
    </w:p>
    <w:p w14:paraId="21CBBAFD" w14:textId="66977F4F"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Aldasoro</w:t>
      </w:r>
      <w:proofErr w:type="spellEnd"/>
      <w:r w:rsidRPr="00B136B7">
        <w:rPr>
          <w:color w:val="000000" w:themeColor="text1"/>
        </w:rPr>
        <w:t xml:space="preserve">, I., </w:t>
      </w:r>
      <w:proofErr w:type="spellStart"/>
      <w:r w:rsidRPr="00B136B7">
        <w:rPr>
          <w:color w:val="000000" w:themeColor="text1"/>
        </w:rPr>
        <w:t>Avalos</w:t>
      </w:r>
      <w:proofErr w:type="spellEnd"/>
      <w:r w:rsidRPr="00B136B7">
        <w:rPr>
          <w:color w:val="000000" w:themeColor="text1"/>
        </w:rPr>
        <w:t>, F</w:t>
      </w:r>
      <w:r w:rsidR="0043109A" w:rsidRPr="00B136B7">
        <w:rPr>
          <w:color w:val="000000" w:themeColor="text1"/>
        </w:rPr>
        <w:t>. i</w:t>
      </w:r>
      <w:r w:rsidRPr="00B136B7">
        <w:rPr>
          <w:color w:val="000000" w:themeColor="text1"/>
        </w:rPr>
        <w:t xml:space="preserve"> Huang, W. (2023).</w:t>
      </w:r>
      <w:r w:rsidRPr="00B136B7">
        <w:rPr>
          <w:i/>
          <w:color w:val="000000" w:themeColor="text1"/>
        </w:rPr>
        <w:t xml:space="preserve"> </w:t>
      </w:r>
      <w:proofErr w:type="spellStart"/>
      <w:r w:rsidRPr="00B136B7">
        <w:rPr>
          <w:i/>
          <w:color w:val="000000" w:themeColor="text1"/>
        </w:rPr>
        <w:t>Liquid</w:t>
      </w:r>
      <w:proofErr w:type="spellEnd"/>
      <w:r w:rsidRPr="00B136B7">
        <w:rPr>
          <w:i/>
          <w:color w:val="000000" w:themeColor="text1"/>
        </w:rPr>
        <w:t xml:space="preserve"> </w:t>
      </w:r>
      <w:proofErr w:type="spellStart"/>
      <w:r w:rsidRPr="00B136B7">
        <w:rPr>
          <w:i/>
          <w:color w:val="000000" w:themeColor="text1"/>
        </w:rPr>
        <w:t>assets</w:t>
      </w:r>
      <w:proofErr w:type="spellEnd"/>
      <w:r w:rsidRPr="00B136B7">
        <w:rPr>
          <w:i/>
          <w:color w:val="000000" w:themeColor="text1"/>
        </w:rPr>
        <w:t xml:space="preserve"> at </w:t>
      </w:r>
      <w:proofErr w:type="spellStart"/>
      <w:r w:rsidRPr="00B136B7">
        <w:rPr>
          <w:i/>
          <w:color w:val="000000" w:themeColor="text1"/>
        </w:rPr>
        <w:t>CCPs</w:t>
      </w:r>
      <w:proofErr w:type="spellEnd"/>
      <w:r w:rsidRPr="00B136B7">
        <w:rPr>
          <w:i/>
          <w:color w:val="000000" w:themeColor="text1"/>
        </w:rPr>
        <w:t xml:space="preserve">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systemic</w:t>
      </w:r>
      <w:proofErr w:type="spellEnd"/>
      <w:r w:rsidRPr="00B136B7">
        <w:rPr>
          <w:i/>
          <w:color w:val="000000" w:themeColor="text1"/>
        </w:rPr>
        <w:t xml:space="preserve"> </w:t>
      </w:r>
      <w:proofErr w:type="spellStart"/>
      <w:r w:rsidRPr="00B136B7">
        <w:rPr>
          <w:i/>
          <w:color w:val="000000" w:themeColor="text1"/>
        </w:rPr>
        <w:t>liquidity</w:t>
      </w:r>
      <w:proofErr w:type="spellEnd"/>
      <w:r w:rsidRPr="00B136B7">
        <w:rPr>
          <w:i/>
          <w:color w:val="000000" w:themeColor="text1"/>
        </w:rPr>
        <w:t xml:space="preserve"> </w:t>
      </w:r>
      <w:proofErr w:type="spellStart"/>
      <w:r w:rsidRPr="00B136B7">
        <w:rPr>
          <w:i/>
          <w:color w:val="000000" w:themeColor="text1"/>
        </w:rPr>
        <w:t>risks</w:t>
      </w:r>
      <w:proofErr w:type="spellEnd"/>
      <w:r w:rsidRPr="00B136B7">
        <w:rPr>
          <w:i/>
          <w:color w:val="000000" w:themeColor="text1"/>
        </w:rPr>
        <w:t xml:space="preserve">. BIS </w:t>
      </w:r>
      <w:proofErr w:type="spellStart"/>
      <w:r w:rsidRPr="00B136B7">
        <w:rPr>
          <w:i/>
          <w:color w:val="000000" w:themeColor="text1"/>
        </w:rPr>
        <w:t>Quarterly</w:t>
      </w:r>
      <w:proofErr w:type="spellEnd"/>
      <w:r w:rsidRPr="00B136B7">
        <w:rPr>
          <w:i/>
          <w:color w:val="000000" w:themeColor="text1"/>
        </w:rPr>
        <w:t xml:space="preserve"> </w:t>
      </w:r>
      <w:proofErr w:type="spellStart"/>
      <w:r w:rsidRPr="00B136B7">
        <w:rPr>
          <w:i/>
          <w:color w:val="000000" w:themeColor="text1"/>
        </w:rPr>
        <w:t>Review</w:t>
      </w:r>
      <w:proofErr w:type="spellEnd"/>
      <w:r w:rsidRPr="00B136B7">
        <w:rPr>
          <w:i/>
          <w:color w:val="000000" w:themeColor="text1"/>
        </w:rPr>
        <w:t>.</w:t>
      </w:r>
      <w:r w:rsidRPr="00B136B7">
        <w:rPr>
          <w:color w:val="000000" w:themeColor="text1"/>
        </w:rPr>
        <w:t xml:space="preserve"> Preuzeto 20.08.2025. s https://www.bis.org/publ/qtrpdf/r_qt2312c.htm. </w:t>
      </w:r>
    </w:p>
    <w:p w14:paraId="38D14698" w14:textId="7577A506"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Almeida</w:t>
      </w:r>
      <w:proofErr w:type="spellEnd"/>
      <w:r w:rsidRPr="00B136B7">
        <w:rPr>
          <w:color w:val="000000" w:themeColor="text1"/>
        </w:rPr>
        <w:t xml:space="preserve">, H., </w:t>
      </w:r>
      <w:proofErr w:type="spellStart"/>
      <w:r w:rsidRPr="00B136B7">
        <w:rPr>
          <w:color w:val="000000" w:themeColor="text1"/>
        </w:rPr>
        <w:t>Campello</w:t>
      </w:r>
      <w:proofErr w:type="spellEnd"/>
      <w:r w:rsidRPr="00B136B7">
        <w:rPr>
          <w:color w:val="000000" w:themeColor="text1"/>
        </w:rPr>
        <w:t>, M.</w:t>
      </w:r>
      <w:r w:rsidR="0043109A" w:rsidRPr="00B136B7">
        <w:rPr>
          <w:color w:val="000000" w:themeColor="text1"/>
        </w:rPr>
        <w:t xml:space="preserve"> i</w:t>
      </w:r>
      <w:r w:rsidRPr="00B136B7">
        <w:rPr>
          <w:color w:val="000000" w:themeColor="text1"/>
        </w:rPr>
        <w:t xml:space="preserve"> </w:t>
      </w:r>
      <w:proofErr w:type="spellStart"/>
      <w:r w:rsidRPr="00B136B7">
        <w:rPr>
          <w:color w:val="000000" w:themeColor="text1"/>
        </w:rPr>
        <w:t>Weisbach</w:t>
      </w:r>
      <w:proofErr w:type="spellEnd"/>
      <w:r w:rsidRPr="00B136B7">
        <w:rPr>
          <w:color w:val="000000" w:themeColor="text1"/>
        </w:rPr>
        <w:t xml:space="preserve">, M. S. (2004).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proofErr w:type="spellStart"/>
      <w:r w:rsidRPr="00B136B7">
        <w:rPr>
          <w:color w:val="000000" w:themeColor="text1"/>
        </w:rPr>
        <w:t>flow</w:t>
      </w:r>
      <w:proofErr w:type="spellEnd"/>
      <w:r w:rsidRPr="00B136B7">
        <w:rPr>
          <w:color w:val="000000" w:themeColor="text1"/>
        </w:rPr>
        <w:t xml:space="preserve"> </w:t>
      </w:r>
      <w:proofErr w:type="spellStart"/>
      <w:r w:rsidRPr="00B136B7">
        <w:rPr>
          <w:color w:val="000000" w:themeColor="text1"/>
        </w:rPr>
        <w:t>sensitivity</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r w:rsidRPr="00B136B7">
        <w:rPr>
          <w:i/>
          <w:color w:val="000000" w:themeColor="text1"/>
        </w:rPr>
        <w:t xml:space="preserve">Journal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Finance</w:t>
      </w:r>
      <w:proofErr w:type="spellEnd"/>
      <w:r w:rsidRPr="00B136B7">
        <w:rPr>
          <w:color w:val="000000" w:themeColor="text1"/>
        </w:rPr>
        <w:t xml:space="preserve">, 59(4), 1777-1804. </w:t>
      </w:r>
    </w:p>
    <w:p w14:paraId="4BD211B9" w14:textId="12E06D09" w:rsidR="000B4398" w:rsidRPr="00B136B7" w:rsidRDefault="000B4398" w:rsidP="000B4398">
      <w:pPr>
        <w:numPr>
          <w:ilvl w:val="0"/>
          <w:numId w:val="2"/>
        </w:numPr>
        <w:spacing w:line="360" w:lineRule="auto"/>
        <w:jc w:val="both"/>
        <w:rPr>
          <w:color w:val="000000" w:themeColor="text1"/>
        </w:rPr>
      </w:pPr>
      <w:proofErr w:type="spellStart"/>
      <w:r w:rsidRPr="00B136B7">
        <w:rPr>
          <w:color w:val="000000" w:themeColor="text1"/>
        </w:rPr>
        <w:t>Aluprotekt</w:t>
      </w:r>
      <w:proofErr w:type="spellEnd"/>
      <w:r w:rsidRPr="00B136B7">
        <w:rPr>
          <w:color w:val="000000" w:themeColor="text1"/>
        </w:rPr>
        <w:t>. (</w:t>
      </w:r>
      <w:proofErr w:type="spellStart"/>
      <w:r w:rsidRPr="00B136B7">
        <w:rPr>
          <w:color w:val="000000" w:themeColor="text1"/>
        </w:rPr>
        <w:t>n.d</w:t>
      </w:r>
      <w:proofErr w:type="spellEnd"/>
      <w:r w:rsidRPr="00B136B7">
        <w:rPr>
          <w:color w:val="000000" w:themeColor="text1"/>
        </w:rPr>
        <w:t xml:space="preserve">.). </w:t>
      </w:r>
      <w:proofErr w:type="spellStart"/>
      <w:r w:rsidRPr="00B136B7">
        <w:rPr>
          <w:i/>
          <w:color w:val="000000" w:themeColor="text1"/>
        </w:rPr>
        <w:t>Aluprotekt</w:t>
      </w:r>
      <w:proofErr w:type="spellEnd"/>
      <w:r w:rsidRPr="00B136B7">
        <w:rPr>
          <w:i/>
          <w:color w:val="000000" w:themeColor="text1"/>
        </w:rPr>
        <w:t>: O nama</w:t>
      </w:r>
      <w:r w:rsidRPr="00B136B7">
        <w:rPr>
          <w:color w:val="000000" w:themeColor="text1"/>
        </w:rPr>
        <w:t xml:space="preserve">. Preuzeto 25.08.2025. s </w:t>
      </w:r>
      <w:hyperlink r:id="rId22">
        <w:r w:rsidRPr="00B136B7">
          <w:rPr>
            <w:color w:val="000000" w:themeColor="text1"/>
          </w:rPr>
          <w:t>https://aluprotekt.hr/</w:t>
        </w:r>
      </w:hyperlink>
      <w:r w:rsidRPr="00B136B7">
        <w:rPr>
          <w:color w:val="000000" w:themeColor="text1"/>
        </w:rPr>
        <w:t>.</w:t>
      </w:r>
    </w:p>
    <w:p w14:paraId="2041E464" w14:textId="04F66652"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Arellano</w:t>
      </w:r>
      <w:proofErr w:type="spellEnd"/>
      <w:r w:rsidRPr="00B136B7">
        <w:rPr>
          <w:color w:val="000000" w:themeColor="text1"/>
        </w:rPr>
        <w:t xml:space="preserve">, M. i Bond, S. (1991). </w:t>
      </w:r>
      <w:r w:rsidRPr="00B136B7">
        <w:rPr>
          <w:i/>
          <w:color w:val="000000" w:themeColor="text1"/>
        </w:rPr>
        <w:t xml:space="preserve">Some </w:t>
      </w:r>
      <w:proofErr w:type="spellStart"/>
      <w:r w:rsidRPr="00B136B7">
        <w:rPr>
          <w:i/>
          <w:color w:val="000000" w:themeColor="text1"/>
        </w:rPr>
        <w:t>tests</w:t>
      </w:r>
      <w:proofErr w:type="spellEnd"/>
      <w:r w:rsidRPr="00B136B7">
        <w:rPr>
          <w:i/>
          <w:color w:val="000000" w:themeColor="text1"/>
        </w:rPr>
        <w:t xml:space="preserve">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specification</w:t>
      </w:r>
      <w:proofErr w:type="spellEnd"/>
      <w:r w:rsidRPr="00B136B7">
        <w:rPr>
          <w:i/>
          <w:color w:val="000000" w:themeColor="text1"/>
        </w:rPr>
        <w:t xml:space="preserve"> for panel data: Monte Carlo </w:t>
      </w:r>
      <w:proofErr w:type="spellStart"/>
      <w:r w:rsidRPr="00B136B7">
        <w:rPr>
          <w:i/>
          <w:color w:val="000000" w:themeColor="text1"/>
        </w:rPr>
        <w:t>evidence</w:t>
      </w:r>
      <w:proofErr w:type="spellEnd"/>
      <w:r w:rsidRPr="00B136B7">
        <w:rPr>
          <w:i/>
          <w:color w:val="000000" w:themeColor="text1"/>
        </w:rPr>
        <w:t xml:space="preserve">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an</w:t>
      </w:r>
      <w:proofErr w:type="spellEnd"/>
      <w:r w:rsidRPr="00B136B7">
        <w:rPr>
          <w:i/>
          <w:color w:val="000000" w:themeColor="text1"/>
        </w:rPr>
        <w:t xml:space="preserve"> </w:t>
      </w:r>
      <w:proofErr w:type="spellStart"/>
      <w:r w:rsidRPr="00B136B7">
        <w:rPr>
          <w:i/>
          <w:color w:val="000000" w:themeColor="text1"/>
        </w:rPr>
        <w:t>application</w:t>
      </w:r>
      <w:proofErr w:type="spellEnd"/>
      <w:r w:rsidRPr="00B136B7">
        <w:rPr>
          <w:i/>
          <w:color w:val="000000" w:themeColor="text1"/>
        </w:rPr>
        <w:t xml:space="preserve"> to </w:t>
      </w:r>
      <w:proofErr w:type="spellStart"/>
      <w:r w:rsidRPr="00B136B7">
        <w:rPr>
          <w:i/>
          <w:color w:val="000000" w:themeColor="text1"/>
        </w:rPr>
        <w:t>employment</w:t>
      </w:r>
      <w:proofErr w:type="spellEnd"/>
      <w:r w:rsidRPr="00B136B7">
        <w:rPr>
          <w:i/>
          <w:color w:val="000000" w:themeColor="text1"/>
        </w:rPr>
        <w:t xml:space="preserve"> </w:t>
      </w:r>
      <w:proofErr w:type="spellStart"/>
      <w:r w:rsidRPr="00B136B7">
        <w:rPr>
          <w:i/>
          <w:color w:val="000000" w:themeColor="text1"/>
        </w:rPr>
        <w:t>equations</w:t>
      </w:r>
      <w:proofErr w:type="spellEnd"/>
      <w:r w:rsidRPr="00B136B7">
        <w:rPr>
          <w:color w:val="000000" w:themeColor="text1"/>
        </w:rPr>
        <w:t xml:space="preserve">. New York University, 276-297. </w:t>
      </w:r>
    </w:p>
    <w:p w14:paraId="7A6FBB51" w14:textId="35559011" w:rsidR="000B4398" w:rsidRPr="00B136B7" w:rsidRDefault="000B4398" w:rsidP="000B4398">
      <w:pPr>
        <w:numPr>
          <w:ilvl w:val="0"/>
          <w:numId w:val="2"/>
        </w:numPr>
        <w:spacing w:after="240" w:line="360" w:lineRule="auto"/>
        <w:jc w:val="both"/>
        <w:rPr>
          <w:color w:val="000000" w:themeColor="text1"/>
        </w:rPr>
      </w:pPr>
      <w:proofErr w:type="spellStart"/>
      <w:r w:rsidRPr="00B136B7">
        <w:rPr>
          <w:color w:val="000000" w:themeColor="text1"/>
        </w:rPr>
        <w:t>Baltagi</w:t>
      </w:r>
      <w:proofErr w:type="spellEnd"/>
      <w:r w:rsidRPr="00B136B7">
        <w:rPr>
          <w:color w:val="000000" w:themeColor="text1"/>
        </w:rPr>
        <w:t xml:space="preserve">, B. H. (2009). </w:t>
      </w:r>
      <w:proofErr w:type="spellStart"/>
      <w:r w:rsidRPr="00B136B7">
        <w:rPr>
          <w:i/>
          <w:iCs/>
          <w:color w:val="000000" w:themeColor="text1"/>
        </w:rPr>
        <w:t>Econometric</w:t>
      </w:r>
      <w:proofErr w:type="spellEnd"/>
      <w:r w:rsidRPr="00B136B7">
        <w:rPr>
          <w:i/>
          <w:iCs/>
          <w:color w:val="000000" w:themeColor="text1"/>
        </w:rPr>
        <w:t xml:space="preserve"> </w:t>
      </w:r>
      <w:proofErr w:type="spellStart"/>
      <w:r w:rsidRPr="00B136B7">
        <w:rPr>
          <w:i/>
          <w:iCs/>
          <w:color w:val="000000" w:themeColor="text1"/>
        </w:rPr>
        <w:t>analysis</w:t>
      </w:r>
      <w:proofErr w:type="spellEnd"/>
      <w:r w:rsidRPr="00B136B7">
        <w:rPr>
          <w:i/>
          <w:iCs/>
          <w:color w:val="000000" w:themeColor="text1"/>
        </w:rPr>
        <w:t xml:space="preserve"> </w:t>
      </w:r>
      <w:proofErr w:type="spellStart"/>
      <w:r w:rsidRPr="00B136B7">
        <w:rPr>
          <w:i/>
          <w:iCs/>
          <w:color w:val="000000" w:themeColor="text1"/>
        </w:rPr>
        <w:t>of</w:t>
      </w:r>
      <w:proofErr w:type="spellEnd"/>
      <w:r w:rsidRPr="00B136B7">
        <w:rPr>
          <w:i/>
          <w:iCs/>
          <w:color w:val="000000" w:themeColor="text1"/>
        </w:rPr>
        <w:t xml:space="preserve"> panel data</w:t>
      </w:r>
      <w:r w:rsidRPr="00B136B7">
        <w:rPr>
          <w:color w:val="000000" w:themeColor="text1"/>
        </w:rPr>
        <w:t xml:space="preserve"> (4th </w:t>
      </w:r>
      <w:proofErr w:type="spellStart"/>
      <w:r w:rsidRPr="00B136B7">
        <w:rPr>
          <w:color w:val="000000" w:themeColor="text1"/>
        </w:rPr>
        <w:t>ed</w:t>
      </w:r>
      <w:proofErr w:type="spellEnd"/>
      <w:r w:rsidRPr="00B136B7">
        <w:rPr>
          <w:color w:val="000000" w:themeColor="text1"/>
        </w:rPr>
        <w:t xml:space="preserve">.). </w:t>
      </w:r>
      <w:proofErr w:type="spellStart"/>
      <w:r w:rsidRPr="00B136B7">
        <w:rPr>
          <w:color w:val="000000" w:themeColor="text1"/>
        </w:rPr>
        <w:t>Chichester</w:t>
      </w:r>
      <w:proofErr w:type="spellEnd"/>
      <w:r w:rsidRPr="00B136B7">
        <w:rPr>
          <w:color w:val="000000" w:themeColor="text1"/>
        </w:rPr>
        <w:t xml:space="preserve">: John </w:t>
      </w:r>
      <w:proofErr w:type="spellStart"/>
      <w:r w:rsidRPr="00B136B7">
        <w:rPr>
          <w:color w:val="000000" w:themeColor="text1"/>
        </w:rPr>
        <w:t>Wiley</w:t>
      </w:r>
      <w:proofErr w:type="spellEnd"/>
      <w:r w:rsidRPr="00B136B7">
        <w:rPr>
          <w:color w:val="000000" w:themeColor="text1"/>
        </w:rPr>
        <w:t xml:space="preserve"> &amp; </w:t>
      </w:r>
      <w:proofErr w:type="spellStart"/>
      <w:r w:rsidRPr="00B136B7">
        <w:rPr>
          <w:color w:val="000000" w:themeColor="text1"/>
        </w:rPr>
        <w:t>Sons</w:t>
      </w:r>
      <w:proofErr w:type="spellEnd"/>
      <w:r w:rsidRPr="00B136B7">
        <w:rPr>
          <w:color w:val="000000" w:themeColor="text1"/>
        </w:rPr>
        <w:t>, 31-34.</w:t>
      </w:r>
    </w:p>
    <w:p w14:paraId="250EA5F6" w14:textId="6D3236FC" w:rsidR="000B4398" w:rsidRPr="00B136B7" w:rsidRDefault="000B4398" w:rsidP="000B4398">
      <w:pPr>
        <w:numPr>
          <w:ilvl w:val="0"/>
          <w:numId w:val="2"/>
        </w:numPr>
        <w:spacing w:line="360" w:lineRule="auto"/>
        <w:jc w:val="both"/>
        <w:rPr>
          <w:color w:val="000000" w:themeColor="text1"/>
        </w:rPr>
      </w:pPr>
      <w:r w:rsidRPr="00B136B7">
        <w:rPr>
          <w:color w:val="000000" w:themeColor="text1"/>
        </w:rPr>
        <w:t xml:space="preserve">Basel </w:t>
      </w:r>
      <w:proofErr w:type="spellStart"/>
      <w:r w:rsidRPr="00B136B7">
        <w:rPr>
          <w:color w:val="000000" w:themeColor="text1"/>
        </w:rPr>
        <w:t>Committee</w:t>
      </w:r>
      <w:proofErr w:type="spellEnd"/>
      <w:r w:rsidRPr="00B136B7">
        <w:rPr>
          <w:color w:val="000000" w:themeColor="text1"/>
        </w:rPr>
        <w:t xml:space="preserve"> on Banking </w:t>
      </w:r>
      <w:proofErr w:type="spellStart"/>
      <w:r w:rsidRPr="00B136B7">
        <w:rPr>
          <w:color w:val="000000" w:themeColor="text1"/>
        </w:rPr>
        <w:t>Supervision</w:t>
      </w:r>
      <w:proofErr w:type="spellEnd"/>
      <w:r w:rsidRPr="00B136B7">
        <w:rPr>
          <w:color w:val="000000" w:themeColor="text1"/>
        </w:rPr>
        <w:t xml:space="preserve">. (2024). </w:t>
      </w:r>
      <w:proofErr w:type="spellStart"/>
      <w:r w:rsidRPr="00B136B7">
        <w:rPr>
          <w:i/>
          <w:color w:val="000000" w:themeColor="text1"/>
        </w:rPr>
        <w:t>The</w:t>
      </w:r>
      <w:proofErr w:type="spellEnd"/>
      <w:r w:rsidRPr="00B136B7">
        <w:rPr>
          <w:i/>
          <w:color w:val="000000" w:themeColor="text1"/>
        </w:rPr>
        <w:t xml:space="preserve"> 2023 </w:t>
      </w:r>
      <w:proofErr w:type="spellStart"/>
      <w:r w:rsidRPr="00B136B7">
        <w:rPr>
          <w:i/>
          <w:color w:val="000000" w:themeColor="text1"/>
        </w:rPr>
        <w:t>banking</w:t>
      </w:r>
      <w:proofErr w:type="spellEnd"/>
      <w:r w:rsidRPr="00B136B7">
        <w:rPr>
          <w:i/>
          <w:color w:val="000000" w:themeColor="text1"/>
        </w:rPr>
        <w:t xml:space="preserve"> </w:t>
      </w:r>
      <w:proofErr w:type="spellStart"/>
      <w:r w:rsidRPr="00B136B7">
        <w:rPr>
          <w:i/>
          <w:color w:val="000000" w:themeColor="text1"/>
        </w:rPr>
        <w:t>turmoil</w:t>
      </w:r>
      <w:proofErr w:type="spellEnd"/>
      <w:r w:rsidRPr="00B136B7">
        <w:rPr>
          <w:i/>
          <w:color w:val="000000" w:themeColor="text1"/>
        </w:rPr>
        <w:t xml:space="preserve">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liquidity</w:t>
      </w:r>
      <w:proofErr w:type="spellEnd"/>
      <w:r w:rsidRPr="00B136B7">
        <w:rPr>
          <w:i/>
          <w:color w:val="000000" w:themeColor="text1"/>
        </w:rPr>
        <w:t xml:space="preserve"> </w:t>
      </w:r>
      <w:proofErr w:type="spellStart"/>
      <w:r w:rsidRPr="00B136B7">
        <w:rPr>
          <w:i/>
          <w:color w:val="000000" w:themeColor="text1"/>
        </w:rPr>
        <w:t>risk</w:t>
      </w:r>
      <w:proofErr w:type="spellEnd"/>
      <w:r w:rsidRPr="00B136B7">
        <w:rPr>
          <w:i/>
          <w:color w:val="000000" w:themeColor="text1"/>
        </w:rPr>
        <w:t xml:space="preserve">: A </w:t>
      </w:r>
      <w:proofErr w:type="spellStart"/>
      <w:r w:rsidRPr="00B136B7">
        <w:rPr>
          <w:i/>
          <w:color w:val="000000" w:themeColor="text1"/>
        </w:rPr>
        <w:t>progress</w:t>
      </w:r>
      <w:proofErr w:type="spellEnd"/>
      <w:r w:rsidRPr="00B136B7">
        <w:rPr>
          <w:i/>
          <w:color w:val="000000" w:themeColor="text1"/>
        </w:rPr>
        <w:t xml:space="preserve"> </w:t>
      </w:r>
      <w:proofErr w:type="spellStart"/>
      <w:r w:rsidRPr="00B136B7">
        <w:rPr>
          <w:i/>
          <w:color w:val="000000" w:themeColor="text1"/>
        </w:rPr>
        <w:t>report</w:t>
      </w:r>
      <w:proofErr w:type="spellEnd"/>
      <w:r w:rsidRPr="00B136B7">
        <w:rPr>
          <w:i/>
          <w:color w:val="000000" w:themeColor="text1"/>
        </w:rPr>
        <w:t>.</w:t>
      </w:r>
      <w:r w:rsidRPr="00B136B7">
        <w:rPr>
          <w:color w:val="000000" w:themeColor="text1"/>
        </w:rPr>
        <w:t xml:space="preserve"> Preuzeto 20.08.2025. s https://www.bis.org/bcbs/publ/d582.pdf.</w:t>
      </w:r>
    </w:p>
    <w:p w14:paraId="34F7FB15"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Baze podataka Financijske agencije (Financijski rezultati poslovanja poduzetnika Republike Hrvatske obveznika poreza na dobit za godine 2008.-2023.)</w:t>
      </w:r>
    </w:p>
    <w:p w14:paraId="3CC925ED" w14:textId="77777777"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Belak</w:t>
      </w:r>
      <w:proofErr w:type="spellEnd"/>
      <w:r w:rsidRPr="00B136B7">
        <w:rPr>
          <w:color w:val="000000" w:themeColor="text1"/>
        </w:rPr>
        <w:t xml:space="preserve">, V. (2014). </w:t>
      </w:r>
      <w:r w:rsidRPr="00B136B7">
        <w:rPr>
          <w:i/>
          <w:color w:val="000000" w:themeColor="text1"/>
        </w:rPr>
        <w:t>Analiza poslovne uspješnosti</w:t>
      </w:r>
      <w:r w:rsidRPr="00B136B7">
        <w:rPr>
          <w:color w:val="000000" w:themeColor="text1"/>
        </w:rPr>
        <w:t xml:space="preserve">. Zagreb: </w:t>
      </w:r>
      <w:proofErr w:type="spellStart"/>
      <w:r w:rsidRPr="00B136B7">
        <w:rPr>
          <w:color w:val="000000" w:themeColor="text1"/>
        </w:rPr>
        <w:t>EDiT</w:t>
      </w:r>
      <w:proofErr w:type="spellEnd"/>
      <w:r w:rsidRPr="00B136B7">
        <w:rPr>
          <w:color w:val="000000" w:themeColor="text1"/>
        </w:rPr>
        <w:t>.</w:t>
      </w:r>
    </w:p>
    <w:p w14:paraId="7D87ED99"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Benić, Đ. (2016). </w:t>
      </w:r>
      <w:r w:rsidRPr="00B136B7">
        <w:rPr>
          <w:i/>
          <w:color w:val="000000" w:themeColor="text1"/>
        </w:rPr>
        <w:t>Makroekonomija</w:t>
      </w:r>
      <w:r w:rsidRPr="00B136B7">
        <w:rPr>
          <w:color w:val="000000" w:themeColor="text1"/>
        </w:rPr>
        <w:t>. Zagreb: Školska knjiga.</w:t>
      </w:r>
    </w:p>
    <w:p w14:paraId="3CC75AB0" w14:textId="1785BC9E" w:rsidR="000B4398" w:rsidRPr="00B136B7" w:rsidRDefault="000B4398" w:rsidP="000B4398">
      <w:pPr>
        <w:numPr>
          <w:ilvl w:val="0"/>
          <w:numId w:val="2"/>
        </w:numPr>
        <w:spacing w:line="360" w:lineRule="auto"/>
        <w:jc w:val="both"/>
        <w:rPr>
          <w:color w:val="000000" w:themeColor="text1"/>
        </w:rPr>
      </w:pPr>
      <w:proofErr w:type="spellStart"/>
      <w:r w:rsidRPr="00B136B7">
        <w:rPr>
          <w:color w:val="000000" w:themeColor="text1"/>
        </w:rPr>
        <w:t>Bioenergy</w:t>
      </w:r>
      <w:proofErr w:type="spellEnd"/>
      <w:r w:rsidRPr="00B136B7">
        <w:rPr>
          <w:color w:val="000000" w:themeColor="text1"/>
        </w:rPr>
        <w:t xml:space="preserve"> Europe. (</w:t>
      </w:r>
      <w:proofErr w:type="spellStart"/>
      <w:r w:rsidRPr="00B136B7">
        <w:rPr>
          <w:color w:val="000000" w:themeColor="text1"/>
        </w:rPr>
        <w:t>n.d</w:t>
      </w:r>
      <w:proofErr w:type="spellEnd"/>
      <w:r w:rsidRPr="00B136B7">
        <w:rPr>
          <w:color w:val="000000" w:themeColor="text1"/>
        </w:rPr>
        <w:t xml:space="preserve">.). </w:t>
      </w:r>
      <w:r w:rsidRPr="00B136B7">
        <w:rPr>
          <w:i/>
          <w:color w:val="000000" w:themeColor="text1"/>
        </w:rPr>
        <w:t xml:space="preserve">SR-22 </w:t>
      </w:r>
      <w:proofErr w:type="spellStart"/>
      <w:r w:rsidRPr="00B136B7">
        <w:rPr>
          <w:i/>
          <w:color w:val="000000" w:themeColor="text1"/>
        </w:rPr>
        <w:t>pellets</w:t>
      </w:r>
      <w:proofErr w:type="spellEnd"/>
      <w:r w:rsidRPr="00B136B7">
        <w:rPr>
          <w:color w:val="000000" w:themeColor="text1"/>
        </w:rPr>
        <w:t xml:space="preserve">. Preuzeto 25.08.2025. s  </w:t>
      </w:r>
      <w:hyperlink r:id="rId23">
        <w:r w:rsidRPr="00B136B7">
          <w:rPr>
            <w:color w:val="000000" w:themeColor="text1"/>
          </w:rPr>
          <w:t>https://bioenergyeurope.org/sr-22-pellets/</w:t>
        </w:r>
      </w:hyperlink>
      <w:r w:rsidRPr="00B136B7">
        <w:rPr>
          <w:color w:val="000000" w:themeColor="text1"/>
        </w:rPr>
        <w:t>.</w:t>
      </w:r>
    </w:p>
    <w:p w14:paraId="0A710F40" w14:textId="751E7140"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Brealey</w:t>
      </w:r>
      <w:proofErr w:type="spellEnd"/>
      <w:r w:rsidRPr="00B136B7">
        <w:rPr>
          <w:color w:val="000000" w:themeColor="text1"/>
        </w:rPr>
        <w:t>, R. A., Myers, S. C.</w:t>
      </w:r>
      <w:r w:rsidR="0043109A" w:rsidRPr="00B136B7">
        <w:rPr>
          <w:color w:val="000000" w:themeColor="text1"/>
        </w:rPr>
        <w:t xml:space="preserve"> i</w:t>
      </w:r>
      <w:r w:rsidRPr="00B136B7">
        <w:rPr>
          <w:color w:val="000000" w:themeColor="text1"/>
        </w:rPr>
        <w:t xml:space="preserve"> Allen, F. (2020). </w:t>
      </w:r>
      <w:proofErr w:type="spellStart"/>
      <w:r w:rsidRPr="00B136B7">
        <w:rPr>
          <w:i/>
          <w:color w:val="000000" w:themeColor="text1"/>
        </w:rPr>
        <w:t>Principles</w:t>
      </w:r>
      <w:proofErr w:type="spellEnd"/>
      <w:r w:rsidRPr="00B136B7">
        <w:rPr>
          <w:i/>
          <w:color w:val="000000" w:themeColor="text1"/>
        </w:rPr>
        <w:t xml:space="preserve">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corporate</w:t>
      </w:r>
      <w:proofErr w:type="spellEnd"/>
      <w:r w:rsidRPr="00B136B7">
        <w:rPr>
          <w:i/>
          <w:color w:val="000000" w:themeColor="text1"/>
        </w:rPr>
        <w:t xml:space="preserve"> </w:t>
      </w:r>
      <w:proofErr w:type="spellStart"/>
      <w:r w:rsidRPr="00B136B7">
        <w:rPr>
          <w:i/>
          <w:color w:val="000000" w:themeColor="text1"/>
        </w:rPr>
        <w:t>finance</w:t>
      </w:r>
      <w:proofErr w:type="spellEnd"/>
      <w:r w:rsidRPr="00B136B7">
        <w:rPr>
          <w:color w:val="000000" w:themeColor="text1"/>
        </w:rPr>
        <w:t xml:space="preserve"> (2020 </w:t>
      </w:r>
      <w:proofErr w:type="spellStart"/>
      <w:r w:rsidRPr="00B136B7">
        <w:rPr>
          <w:color w:val="000000" w:themeColor="text1"/>
        </w:rPr>
        <w:t>release</w:t>
      </w:r>
      <w:proofErr w:type="spellEnd"/>
      <w:r w:rsidRPr="00B136B7">
        <w:rPr>
          <w:color w:val="000000" w:themeColor="text1"/>
        </w:rPr>
        <w:t xml:space="preserve">). New York, NY: </w:t>
      </w:r>
      <w:proofErr w:type="spellStart"/>
      <w:r w:rsidRPr="00B136B7">
        <w:rPr>
          <w:color w:val="000000" w:themeColor="text1"/>
        </w:rPr>
        <w:t>McGraw</w:t>
      </w:r>
      <w:proofErr w:type="spellEnd"/>
      <w:r w:rsidRPr="00B136B7">
        <w:rPr>
          <w:color w:val="000000" w:themeColor="text1"/>
        </w:rPr>
        <w:t xml:space="preserve">-Hill </w:t>
      </w:r>
      <w:proofErr w:type="spellStart"/>
      <w:r w:rsidRPr="00B136B7">
        <w:rPr>
          <w:color w:val="000000" w:themeColor="text1"/>
        </w:rPr>
        <w:t>Education</w:t>
      </w:r>
      <w:proofErr w:type="spellEnd"/>
      <w:r w:rsidRPr="00B136B7">
        <w:rPr>
          <w:color w:val="000000" w:themeColor="text1"/>
        </w:rPr>
        <w:t>.</w:t>
      </w:r>
    </w:p>
    <w:p w14:paraId="1EB067C0" w14:textId="196FFB0A"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Dittmar</w:t>
      </w:r>
      <w:proofErr w:type="spellEnd"/>
      <w:r w:rsidRPr="00B136B7">
        <w:rPr>
          <w:color w:val="000000" w:themeColor="text1"/>
        </w:rPr>
        <w:t xml:space="preserve">, A., </w:t>
      </w:r>
      <w:proofErr w:type="spellStart"/>
      <w:r w:rsidRPr="00B136B7">
        <w:rPr>
          <w:color w:val="000000" w:themeColor="text1"/>
        </w:rPr>
        <w:t>Mahrt</w:t>
      </w:r>
      <w:proofErr w:type="spellEnd"/>
      <w:r w:rsidRPr="00B136B7">
        <w:rPr>
          <w:color w:val="000000" w:themeColor="text1"/>
        </w:rPr>
        <w:t>-Smith, J.</w:t>
      </w:r>
      <w:r w:rsidR="0043109A" w:rsidRPr="00B136B7">
        <w:rPr>
          <w:color w:val="000000" w:themeColor="text1"/>
        </w:rPr>
        <w:t xml:space="preserve"> i</w:t>
      </w:r>
      <w:r w:rsidRPr="00B136B7">
        <w:rPr>
          <w:color w:val="000000" w:themeColor="text1"/>
        </w:rPr>
        <w:t xml:space="preserve"> </w:t>
      </w:r>
      <w:proofErr w:type="spellStart"/>
      <w:r w:rsidRPr="00B136B7">
        <w:rPr>
          <w:color w:val="000000" w:themeColor="text1"/>
        </w:rPr>
        <w:t>Servaes</w:t>
      </w:r>
      <w:proofErr w:type="spellEnd"/>
      <w:r w:rsidRPr="00B136B7">
        <w:rPr>
          <w:color w:val="000000" w:themeColor="text1"/>
        </w:rPr>
        <w:t xml:space="preserve">, H. (2003). International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governance</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proofErr w:type="spellStart"/>
      <w:r w:rsidRPr="00B136B7">
        <w:rPr>
          <w:color w:val="000000" w:themeColor="text1"/>
        </w:rPr>
        <w:t>holdings</w:t>
      </w:r>
      <w:proofErr w:type="spellEnd"/>
      <w:r w:rsidRPr="00B136B7">
        <w:rPr>
          <w:color w:val="000000" w:themeColor="text1"/>
        </w:rPr>
        <w:t xml:space="preserve">. </w:t>
      </w:r>
      <w:r w:rsidRPr="00B136B7">
        <w:rPr>
          <w:i/>
          <w:color w:val="000000" w:themeColor="text1"/>
        </w:rPr>
        <w:t xml:space="preserve">Journal </w:t>
      </w:r>
      <w:proofErr w:type="spellStart"/>
      <w:r w:rsidRPr="00B136B7">
        <w:rPr>
          <w:i/>
          <w:color w:val="000000" w:themeColor="text1"/>
        </w:rPr>
        <w:t>of</w:t>
      </w:r>
      <w:proofErr w:type="spellEnd"/>
      <w:r w:rsidRPr="00B136B7">
        <w:rPr>
          <w:i/>
          <w:color w:val="000000" w:themeColor="text1"/>
        </w:rPr>
        <w:t xml:space="preserve"> Financial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Quantitative</w:t>
      </w:r>
      <w:proofErr w:type="spellEnd"/>
      <w:r w:rsidRPr="00B136B7">
        <w:rPr>
          <w:i/>
          <w:color w:val="000000" w:themeColor="text1"/>
        </w:rPr>
        <w:t xml:space="preserve"> </w:t>
      </w:r>
      <w:proofErr w:type="spellStart"/>
      <w:r w:rsidRPr="00B136B7">
        <w:rPr>
          <w:i/>
          <w:color w:val="000000" w:themeColor="text1"/>
        </w:rPr>
        <w:t>Analysis</w:t>
      </w:r>
      <w:proofErr w:type="spellEnd"/>
      <w:r w:rsidRPr="00B136B7">
        <w:rPr>
          <w:color w:val="000000" w:themeColor="text1"/>
        </w:rPr>
        <w:t xml:space="preserve">, 38(1), 111-133. </w:t>
      </w:r>
    </w:p>
    <w:p w14:paraId="52430D3A" w14:textId="77777777" w:rsidR="00BD1931" w:rsidRPr="00B136B7" w:rsidRDefault="00BD1931" w:rsidP="00BD1931">
      <w:pPr>
        <w:numPr>
          <w:ilvl w:val="0"/>
          <w:numId w:val="2"/>
        </w:numPr>
        <w:spacing w:after="240" w:line="360" w:lineRule="auto"/>
        <w:jc w:val="both"/>
        <w:rPr>
          <w:color w:val="000000" w:themeColor="text1"/>
        </w:rPr>
      </w:pPr>
      <w:r w:rsidRPr="00B136B7">
        <w:rPr>
          <w:color w:val="000000" w:themeColor="text1"/>
        </w:rPr>
        <w:t xml:space="preserve">Državni zavod za statistiku. (2024). </w:t>
      </w:r>
      <w:r w:rsidRPr="00B136B7">
        <w:rPr>
          <w:i/>
          <w:iCs/>
          <w:color w:val="000000" w:themeColor="text1"/>
        </w:rPr>
        <w:t>BDP i nacionalni računi</w:t>
      </w:r>
      <w:r w:rsidRPr="00B136B7">
        <w:rPr>
          <w:color w:val="000000" w:themeColor="text1"/>
        </w:rPr>
        <w:t xml:space="preserve">. Preuzeto 20.08.2025. s </w:t>
      </w:r>
      <w:hyperlink r:id="rId24" w:history="1">
        <w:r w:rsidRPr="00B136B7">
          <w:rPr>
            <w:rStyle w:val="Hiperveza"/>
            <w:color w:val="000000" w:themeColor="text1"/>
            <w:u w:val="none"/>
          </w:rPr>
          <w:t>https://podaci.dzs.hr/hr/podaci/bdp-i-nacionalni-racuni/</w:t>
        </w:r>
      </w:hyperlink>
      <w:r w:rsidRPr="00B136B7">
        <w:rPr>
          <w:color w:val="000000" w:themeColor="text1"/>
        </w:rPr>
        <w:t>.</w:t>
      </w:r>
    </w:p>
    <w:p w14:paraId="661E6F89" w14:textId="77777777" w:rsidR="00BD1931" w:rsidRPr="00B136B7" w:rsidRDefault="00BD1931" w:rsidP="00BD1931">
      <w:pPr>
        <w:numPr>
          <w:ilvl w:val="0"/>
          <w:numId w:val="2"/>
        </w:numPr>
        <w:spacing w:after="240" w:line="360" w:lineRule="auto"/>
        <w:jc w:val="both"/>
        <w:rPr>
          <w:color w:val="000000" w:themeColor="text1"/>
        </w:rPr>
      </w:pPr>
      <w:r w:rsidRPr="00B136B7">
        <w:rPr>
          <w:color w:val="000000" w:themeColor="text1"/>
        </w:rPr>
        <w:t xml:space="preserve">Državni zavod za statistiku. (2024). </w:t>
      </w:r>
      <w:r w:rsidRPr="00B136B7">
        <w:rPr>
          <w:i/>
          <w:iCs/>
          <w:color w:val="000000" w:themeColor="text1"/>
        </w:rPr>
        <w:t>Investicije u 2023</w:t>
      </w:r>
      <w:r w:rsidRPr="00B136B7">
        <w:rPr>
          <w:color w:val="000000" w:themeColor="text1"/>
        </w:rPr>
        <w:t xml:space="preserve">. Preuzeto 20.08.2025. s </w:t>
      </w:r>
      <w:hyperlink r:id="rId25" w:history="1">
        <w:r w:rsidRPr="00B136B7">
          <w:rPr>
            <w:rStyle w:val="Hiperveza"/>
            <w:color w:val="000000" w:themeColor="text1"/>
            <w:u w:val="none"/>
          </w:rPr>
          <w:t>https://podaci.dzs.hr/2024/hr/76973</w:t>
        </w:r>
      </w:hyperlink>
    </w:p>
    <w:p w14:paraId="64F7EE82"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lastRenderedPageBreak/>
        <w:t xml:space="preserve">Državni zavod za statistiku (2024). </w:t>
      </w:r>
      <w:r w:rsidRPr="00B136B7">
        <w:rPr>
          <w:i/>
          <w:color w:val="000000" w:themeColor="text1"/>
        </w:rPr>
        <w:t>Nacionalna klasifikacija djelatnosti 2025. - NKD 2025</w:t>
      </w:r>
      <w:r w:rsidRPr="00B136B7">
        <w:rPr>
          <w:color w:val="000000" w:themeColor="text1"/>
        </w:rPr>
        <w:t>. Preuzeto 12.12.2024. s https://web.dzs.hr/App/NKD_Browser/assets/docs/NKD_2025_struktura.pdf.</w:t>
      </w:r>
    </w:p>
    <w:p w14:paraId="51279B0D" w14:textId="24E9988A"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Ebeke</w:t>
      </w:r>
      <w:proofErr w:type="spellEnd"/>
      <w:r w:rsidRPr="00B136B7">
        <w:rPr>
          <w:color w:val="000000" w:themeColor="text1"/>
        </w:rPr>
        <w:t xml:space="preserve">, C. H., </w:t>
      </w:r>
      <w:proofErr w:type="spellStart"/>
      <w:r w:rsidRPr="00B136B7">
        <w:rPr>
          <w:color w:val="000000" w:themeColor="text1"/>
        </w:rPr>
        <w:t>Jovanovic</w:t>
      </w:r>
      <w:proofErr w:type="spellEnd"/>
      <w:r w:rsidRPr="00B136B7">
        <w:rPr>
          <w:color w:val="000000" w:themeColor="text1"/>
        </w:rPr>
        <w:t xml:space="preserve">, N., </w:t>
      </w:r>
      <w:proofErr w:type="spellStart"/>
      <w:r w:rsidRPr="00B136B7">
        <w:rPr>
          <w:color w:val="000000" w:themeColor="text1"/>
        </w:rPr>
        <w:t>Valderrama</w:t>
      </w:r>
      <w:proofErr w:type="spellEnd"/>
      <w:r w:rsidRPr="00B136B7">
        <w:rPr>
          <w:color w:val="000000" w:themeColor="text1"/>
        </w:rPr>
        <w:t>, L.</w:t>
      </w:r>
      <w:r w:rsidR="0043109A" w:rsidRPr="00B136B7">
        <w:rPr>
          <w:color w:val="000000" w:themeColor="text1"/>
        </w:rPr>
        <w:t xml:space="preserve"> i</w:t>
      </w:r>
      <w:r w:rsidRPr="00B136B7">
        <w:rPr>
          <w:color w:val="000000" w:themeColor="text1"/>
        </w:rPr>
        <w:t xml:space="preserve"> </w:t>
      </w:r>
      <w:proofErr w:type="spellStart"/>
      <w:r w:rsidRPr="00B136B7">
        <w:rPr>
          <w:color w:val="000000" w:themeColor="text1"/>
        </w:rPr>
        <w:t>Zhou</w:t>
      </w:r>
      <w:proofErr w:type="spellEnd"/>
      <w:r w:rsidRPr="00B136B7">
        <w:rPr>
          <w:color w:val="000000" w:themeColor="text1"/>
        </w:rPr>
        <w:t xml:space="preserve">, J. (2021). </w:t>
      </w:r>
      <w:proofErr w:type="spellStart"/>
      <w:r w:rsidRPr="00B136B7">
        <w:rPr>
          <w:i/>
          <w:color w:val="000000" w:themeColor="text1"/>
        </w:rPr>
        <w:t>Corporate</w:t>
      </w:r>
      <w:proofErr w:type="spellEnd"/>
      <w:r w:rsidRPr="00B136B7">
        <w:rPr>
          <w:i/>
          <w:color w:val="000000" w:themeColor="text1"/>
        </w:rPr>
        <w:t xml:space="preserve"> </w:t>
      </w:r>
      <w:proofErr w:type="spellStart"/>
      <w:r w:rsidRPr="00B136B7">
        <w:rPr>
          <w:i/>
          <w:color w:val="000000" w:themeColor="text1"/>
        </w:rPr>
        <w:t>Liquidity</w:t>
      </w:r>
      <w:proofErr w:type="spellEnd"/>
      <w:r w:rsidRPr="00B136B7">
        <w:rPr>
          <w:i/>
          <w:color w:val="000000" w:themeColor="text1"/>
        </w:rPr>
        <w:t xml:space="preserve">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Solvency</w:t>
      </w:r>
      <w:proofErr w:type="spellEnd"/>
      <w:r w:rsidRPr="00B136B7">
        <w:rPr>
          <w:i/>
          <w:color w:val="000000" w:themeColor="text1"/>
        </w:rPr>
        <w:t xml:space="preserve"> </w:t>
      </w:r>
      <w:proofErr w:type="spellStart"/>
      <w:r w:rsidRPr="00B136B7">
        <w:rPr>
          <w:i/>
          <w:color w:val="000000" w:themeColor="text1"/>
        </w:rPr>
        <w:t>in</w:t>
      </w:r>
      <w:proofErr w:type="spellEnd"/>
      <w:r w:rsidRPr="00B136B7">
        <w:rPr>
          <w:i/>
          <w:color w:val="000000" w:themeColor="text1"/>
        </w:rPr>
        <w:t xml:space="preserve"> Europe </w:t>
      </w:r>
      <w:proofErr w:type="spellStart"/>
      <w:r w:rsidRPr="00B136B7">
        <w:rPr>
          <w:i/>
          <w:color w:val="000000" w:themeColor="text1"/>
        </w:rPr>
        <w:t>during</w:t>
      </w:r>
      <w:proofErr w:type="spellEnd"/>
      <w:r w:rsidRPr="00B136B7">
        <w:rPr>
          <w:i/>
          <w:color w:val="000000" w:themeColor="text1"/>
        </w:rPr>
        <w:t xml:space="preserve"> COVID-19: </w:t>
      </w:r>
      <w:proofErr w:type="spellStart"/>
      <w:r w:rsidRPr="00B136B7">
        <w:rPr>
          <w:i/>
          <w:color w:val="000000" w:themeColor="text1"/>
        </w:rPr>
        <w:t>The</w:t>
      </w:r>
      <w:proofErr w:type="spellEnd"/>
      <w:r w:rsidRPr="00B136B7">
        <w:rPr>
          <w:i/>
          <w:color w:val="000000" w:themeColor="text1"/>
        </w:rPr>
        <w:t xml:space="preserve"> Role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Policies</w:t>
      </w:r>
      <w:proofErr w:type="spellEnd"/>
      <w:r w:rsidRPr="00B136B7">
        <w:rPr>
          <w:i/>
          <w:color w:val="000000" w:themeColor="text1"/>
        </w:rPr>
        <w:t xml:space="preserve">, </w:t>
      </w:r>
      <w:r w:rsidRPr="00B136B7">
        <w:rPr>
          <w:iCs/>
          <w:color w:val="000000" w:themeColor="text1"/>
        </w:rPr>
        <w:t>34-41</w:t>
      </w:r>
      <w:r w:rsidRPr="00B136B7">
        <w:rPr>
          <w:i/>
          <w:color w:val="000000" w:themeColor="text1"/>
        </w:rPr>
        <w:t>.</w:t>
      </w:r>
      <w:r w:rsidRPr="00B136B7">
        <w:rPr>
          <w:color w:val="000000" w:themeColor="text1"/>
        </w:rPr>
        <w:t xml:space="preserve"> Preuzeto 20.08.2025. s https://www.imf.org/en/Publications/WP/Issues/2021/03/02/Corporate-Liquidity-and-Solvency-in-Europe-during-COVID-19-The-Role-of-Policies-50133. </w:t>
      </w:r>
    </w:p>
    <w:p w14:paraId="77742E97"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ECB. (2024, May). </w:t>
      </w:r>
      <w:r w:rsidRPr="00B136B7">
        <w:rPr>
          <w:i/>
          <w:color w:val="000000" w:themeColor="text1"/>
        </w:rPr>
        <w:t xml:space="preserve">Financial </w:t>
      </w:r>
      <w:proofErr w:type="spellStart"/>
      <w:r w:rsidRPr="00B136B7">
        <w:rPr>
          <w:i/>
          <w:color w:val="000000" w:themeColor="text1"/>
        </w:rPr>
        <w:t>Stability</w:t>
      </w:r>
      <w:proofErr w:type="spellEnd"/>
      <w:r w:rsidRPr="00B136B7">
        <w:rPr>
          <w:i/>
          <w:color w:val="000000" w:themeColor="text1"/>
        </w:rPr>
        <w:t xml:space="preserve"> </w:t>
      </w:r>
      <w:proofErr w:type="spellStart"/>
      <w:r w:rsidRPr="00B136B7">
        <w:rPr>
          <w:i/>
          <w:color w:val="000000" w:themeColor="text1"/>
        </w:rPr>
        <w:t>Review</w:t>
      </w:r>
      <w:proofErr w:type="spellEnd"/>
      <w:r w:rsidRPr="00B136B7">
        <w:rPr>
          <w:i/>
          <w:color w:val="000000" w:themeColor="text1"/>
        </w:rPr>
        <w:t>, May 2024</w:t>
      </w:r>
      <w:r w:rsidRPr="00B136B7">
        <w:rPr>
          <w:color w:val="000000" w:themeColor="text1"/>
        </w:rPr>
        <w:t>. Preuzeto 20.08.2025. s https://www.ecb.europa.eu/press/financial-stability-publications/fsr/html/ecb.fsr202405~7f212449c8.en.html.</w:t>
      </w:r>
    </w:p>
    <w:p w14:paraId="3F2C5423" w14:textId="19266B99"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Faulkender</w:t>
      </w:r>
      <w:proofErr w:type="spellEnd"/>
      <w:r w:rsidRPr="00B136B7">
        <w:rPr>
          <w:color w:val="000000" w:themeColor="text1"/>
        </w:rPr>
        <w:t>, M.</w:t>
      </w:r>
      <w:r w:rsidR="0043109A" w:rsidRPr="00B136B7">
        <w:rPr>
          <w:color w:val="000000" w:themeColor="text1"/>
        </w:rPr>
        <w:t xml:space="preserve"> i</w:t>
      </w:r>
      <w:r w:rsidRPr="00B136B7">
        <w:rPr>
          <w:color w:val="000000" w:themeColor="text1"/>
        </w:rPr>
        <w:t xml:space="preserve"> Wang, R. (2006).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financial</w:t>
      </w:r>
      <w:proofErr w:type="spellEnd"/>
      <w:r w:rsidRPr="00B136B7">
        <w:rPr>
          <w:color w:val="000000" w:themeColor="text1"/>
        </w:rPr>
        <w:t xml:space="preserve"> </w:t>
      </w:r>
      <w:proofErr w:type="spellStart"/>
      <w:r w:rsidRPr="00B136B7">
        <w:rPr>
          <w:color w:val="000000" w:themeColor="text1"/>
        </w:rPr>
        <w:t>policy</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value</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r w:rsidRPr="00B136B7">
        <w:rPr>
          <w:i/>
          <w:color w:val="000000" w:themeColor="text1"/>
        </w:rPr>
        <w:t xml:space="preserve">Journal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Finance</w:t>
      </w:r>
      <w:proofErr w:type="spellEnd"/>
      <w:r w:rsidRPr="00B136B7">
        <w:rPr>
          <w:color w:val="000000" w:themeColor="text1"/>
        </w:rPr>
        <w:t xml:space="preserve">, 61(4), 1957-1990. </w:t>
      </w:r>
    </w:p>
    <w:p w14:paraId="22A4912B" w14:textId="533B2566"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Ferreira</w:t>
      </w:r>
      <w:proofErr w:type="spellEnd"/>
      <w:r w:rsidRPr="00B136B7">
        <w:rPr>
          <w:color w:val="000000" w:themeColor="text1"/>
        </w:rPr>
        <w:t>, M. A.</w:t>
      </w:r>
      <w:r w:rsidR="0043109A" w:rsidRPr="00B136B7">
        <w:rPr>
          <w:color w:val="000000" w:themeColor="text1"/>
        </w:rPr>
        <w:t xml:space="preserve"> i</w:t>
      </w:r>
      <w:r w:rsidRPr="00B136B7">
        <w:rPr>
          <w:color w:val="000000" w:themeColor="text1"/>
        </w:rPr>
        <w:t xml:space="preserve"> </w:t>
      </w:r>
      <w:proofErr w:type="spellStart"/>
      <w:r w:rsidRPr="00B136B7">
        <w:rPr>
          <w:color w:val="000000" w:themeColor="text1"/>
        </w:rPr>
        <w:t>Vilela</w:t>
      </w:r>
      <w:proofErr w:type="spellEnd"/>
      <w:r w:rsidRPr="00B136B7">
        <w:rPr>
          <w:color w:val="000000" w:themeColor="text1"/>
        </w:rPr>
        <w:t xml:space="preserve">, A. S. (2004). </w:t>
      </w:r>
      <w:proofErr w:type="spellStart"/>
      <w:r w:rsidRPr="00B136B7">
        <w:rPr>
          <w:color w:val="000000" w:themeColor="text1"/>
        </w:rPr>
        <w:t>Why</w:t>
      </w:r>
      <w:proofErr w:type="spellEnd"/>
      <w:r w:rsidRPr="00B136B7">
        <w:rPr>
          <w:color w:val="000000" w:themeColor="text1"/>
        </w:rPr>
        <w:t xml:space="preserve"> do </w:t>
      </w:r>
      <w:proofErr w:type="spellStart"/>
      <w:r w:rsidRPr="00B136B7">
        <w:rPr>
          <w:color w:val="000000" w:themeColor="text1"/>
        </w:rPr>
        <w:t>firms</w:t>
      </w:r>
      <w:proofErr w:type="spellEnd"/>
      <w:r w:rsidRPr="00B136B7">
        <w:rPr>
          <w:color w:val="000000" w:themeColor="text1"/>
        </w:rPr>
        <w:t xml:space="preserve"> </w:t>
      </w:r>
      <w:proofErr w:type="spellStart"/>
      <w:r w:rsidRPr="00B136B7">
        <w:rPr>
          <w:color w:val="000000" w:themeColor="text1"/>
        </w:rPr>
        <w:t>hold</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r w:rsidRPr="00B136B7">
        <w:rPr>
          <w:i/>
          <w:color w:val="000000" w:themeColor="text1"/>
        </w:rPr>
        <w:t>European Financial Management</w:t>
      </w:r>
      <w:r w:rsidRPr="00B136B7">
        <w:rPr>
          <w:color w:val="000000" w:themeColor="text1"/>
        </w:rPr>
        <w:t xml:space="preserve">, 10(2), 295-319. </w:t>
      </w:r>
    </w:p>
    <w:p w14:paraId="2ACB6EFD" w14:textId="69533C5C"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Gujarati</w:t>
      </w:r>
      <w:proofErr w:type="spellEnd"/>
      <w:r w:rsidRPr="00B136B7">
        <w:rPr>
          <w:color w:val="000000" w:themeColor="text1"/>
        </w:rPr>
        <w:t>, D. N.</w:t>
      </w:r>
      <w:r w:rsidR="0043109A" w:rsidRPr="00B136B7">
        <w:rPr>
          <w:color w:val="000000" w:themeColor="text1"/>
        </w:rPr>
        <w:t xml:space="preserve"> i</w:t>
      </w:r>
      <w:r w:rsidRPr="00B136B7">
        <w:rPr>
          <w:color w:val="000000" w:themeColor="text1"/>
        </w:rPr>
        <w:t xml:space="preserve"> Porter, D. C. (2021). </w:t>
      </w:r>
      <w:proofErr w:type="spellStart"/>
      <w:r w:rsidRPr="00B136B7">
        <w:rPr>
          <w:i/>
          <w:color w:val="000000" w:themeColor="text1"/>
        </w:rPr>
        <w:t>Basic</w:t>
      </w:r>
      <w:proofErr w:type="spellEnd"/>
      <w:r w:rsidRPr="00B136B7">
        <w:rPr>
          <w:i/>
          <w:color w:val="000000" w:themeColor="text1"/>
        </w:rPr>
        <w:t xml:space="preserve"> </w:t>
      </w:r>
      <w:proofErr w:type="spellStart"/>
      <w:r w:rsidRPr="00B136B7">
        <w:rPr>
          <w:i/>
          <w:color w:val="000000" w:themeColor="text1"/>
        </w:rPr>
        <w:t>econometrics</w:t>
      </w:r>
      <w:proofErr w:type="spellEnd"/>
      <w:r w:rsidRPr="00B136B7">
        <w:rPr>
          <w:color w:val="000000" w:themeColor="text1"/>
        </w:rPr>
        <w:t xml:space="preserve"> (5th </w:t>
      </w:r>
      <w:proofErr w:type="spellStart"/>
      <w:r w:rsidRPr="00B136B7">
        <w:rPr>
          <w:color w:val="000000" w:themeColor="text1"/>
        </w:rPr>
        <w:t>ed</w:t>
      </w:r>
      <w:proofErr w:type="spellEnd"/>
      <w:r w:rsidRPr="00B136B7">
        <w:rPr>
          <w:color w:val="000000" w:themeColor="text1"/>
        </w:rPr>
        <w:t xml:space="preserve">.). </w:t>
      </w:r>
      <w:proofErr w:type="spellStart"/>
      <w:r w:rsidRPr="00B136B7">
        <w:rPr>
          <w:color w:val="000000" w:themeColor="text1"/>
        </w:rPr>
        <w:t>McGraw</w:t>
      </w:r>
      <w:proofErr w:type="spellEnd"/>
      <w:r w:rsidRPr="00B136B7">
        <w:rPr>
          <w:color w:val="000000" w:themeColor="text1"/>
        </w:rPr>
        <w:t xml:space="preserve">-Hill </w:t>
      </w:r>
      <w:proofErr w:type="spellStart"/>
      <w:r w:rsidRPr="00B136B7">
        <w:rPr>
          <w:color w:val="000000" w:themeColor="text1"/>
        </w:rPr>
        <w:t>Education</w:t>
      </w:r>
      <w:proofErr w:type="spellEnd"/>
      <w:r w:rsidRPr="00B136B7">
        <w:rPr>
          <w:color w:val="000000" w:themeColor="text1"/>
        </w:rPr>
        <w:t>.</w:t>
      </w:r>
    </w:p>
    <w:p w14:paraId="5CF5608A"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Ho, S.-J. (2024). </w:t>
      </w:r>
      <w:proofErr w:type="spellStart"/>
      <w:r w:rsidRPr="00B136B7">
        <w:rPr>
          <w:color w:val="000000" w:themeColor="text1"/>
        </w:rPr>
        <w:t>Firm</w:t>
      </w:r>
      <w:proofErr w:type="spellEnd"/>
      <w:r w:rsidRPr="00B136B7">
        <w:rPr>
          <w:color w:val="000000" w:themeColor="text1"/>
        </w:rPr>
        <w:t xml:space="preserve"> </w:t>
      </w:r>
      <w:proofErr w:type="spellStart"/>
      <w:r w:rsidRPr="00B136B7">
        <w:rPr>
          <w:color w:val="000000" w:themeColor="text1"/>
        </w:rPr>
        <w:t>risk</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value</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proofErr w:type="spellStart"/>
      <w:r w:rsidRPr="00B136B7">
        <w:rPr>
          <w:color w:val="000000" w:themeColor="text1"/>
        </w:rPr>
        <w:t>holdings</w:t>
      </w:r>
      <w:proofErr w:type="spellEnd"/>
      <w:r w:rsidRPr="00B136B7">
        <w:rPr>
          <w:color w:val="000000" w:themeColor="text1"/>
        </w:rPr>
        <w:t xml:space="preserve">. </w:t>
      </w:r>
      <w:r w:rsidRPr="00B136B7">
        <w:rPr>
          <w:i/>
          <w:color w:val="000000" w:themeColor="text1"/>
        </w:rPr>
        <w:t>Pacific-</w:t>
      </w:r>
      <w:proofErr w:type="spellStart"/>
      <w:r w:rsidRPr="00B136B7">
        <w:rPr>
          <w:i/>
          <w:color w:val="000000" w:themeColor="text1"/>
        </w:rPr>
        <w:t>Basin</w:t>
      </w:r>
      <w:proofErr w:type="spellEnd"/>
      <w:r w:rsidRPr="00B136B7">
        <w:rPr>
          <w:i/>
          <w:color w:val="000000" w:themeColor="text1"/>
        </w:rPr>
        <w:t xml:space="preserve"> </w:t>
      </w:r>
      <w:proofErr w:type="spellStart"/>
      <w:r w:rsidRPr="00B136B7">
        <w:rPr>
          <w:i/>
          <w:color w:val="000000" w:themeColor="text1"/>
        </w:rPr>
        <w:t>Finance</w:t>
      </w:r>
      <w:proofErr w:type="spellEnd"/>
      <w:r w:rsidRPr="00B136B7">
        <w:rPr>
          <w:i/>
          <w:color w:val="000000" w:themeColor="text1"/>
        </w:rPr>
        <w:t xml:space="preserve"> Journal</w:t>
      </w:r>
      <w:r w:rsidRPr="00B136B7">
        <w:rPr>
          <w:color w:val="000000" w:themeColor="text1"/>
        </w:rPr>
        <w:t xml:space="preserve">, 84, 102234, 6-9. </w:t>
      </w:r>
    </w:p>
    <w:p w14:paraId="368D9AA3" w14:textId="77777777" w:rsidR="00BD1931" w:rsidRPr="00B136B7" w:rsidRDefault="00BD1931" w:rsidP="00BD1931">
      <w:pPr>
        <w:numPr>
          <w:ilvl w:val="0"/>
          <w:numId w:val="2"/>
        </w:numPr>
        <w:spacing w:after="240" w:line="360" w:lineRule="auto"/>
        <w:jc w:val="both"/>
        <w:rPr>
          <w:color w:val="000000" w:themeColor="text1"/>
        </w:rPr>
      </w:pPr>
      <w:r w:rsidRPr="00B136B7">
        <w:rPr>
          <w:color w:val="000000" w:themeColor="text1"/>
        </w:rPr>
        <w:t xml:space="preserve">Hrvatski zavod za zapošljavanje. (2024). </w:t>
      </w:r>
      <w:r w:rsidRPr="00B136B7">
        <w:rPr>
          <w:i/>
          <w:iCs/>
          <w:color w:val="000000" w:themeColor="text1"/>
        </w:rPr>
        <w:t>Analitički bilten, Godina XXVI</w:t>
      </w:r>
      <w:r w:rsidRPr="00B136B7">
        <w:rPr>
          <w:color w:val="000000" w:themeColor="text1"/>
        </w:rPr>
        <w:t>, Broj 2. Zagreb: Hrvatski zavod za zapošljavanje.</w:t>
      </w:r>
    </w:p>
    <w:p w14:paraId="7795FCB2" w14:textId="4F8F32A6" w:rsidR="000B4398" w:rsidRPr="00B136B7" w:rsidRDefault="000B4398" w:rsidP="000B4398">
      <w:pPr>
        <w:numPr>
          <w:ilvl w:val="0"/>
          <w:numId w:val="2"/>
        </w:numPr>
        <w:spacing w:after="240" w:line="360" w:lineRule="auto"/>
        <w:jc w:val="both"/>
        <w:rPr>
          <w:color w:val="000000" w:themeColor="text1"/>
        </w:rPr>
      </w:pPr>
      <w:r w:rsidRPr="00B136B7">
        <w:rPr>
          <w:color w:val="000000" w:themeColor="text1"/>
        </w:rPr>
        <w:t xml:space="preserve">International </w:t>
      </w:r>
      <w:proofErr w:type="spellStart"/>
      <w:r w:rsidRPr="00B136B7">
        <w:rPr>
          <w:color w:val="000000" w:themeColor="text1"/>
        </w:rPr>
        <w:t>Monetary</w:t>
      </w:r>
      <w:proofErr w:type="spellEnd"/>
      <w:r w:rsidRPr="00B136B7">
        <w:rPr>
          <w:color w:val="000000" w:themeColor="text1"/>
        </w:rPr>
        <w:t xml:space="preserve"> </w:t>
      </w:r>
      <w:proofErr w:type="spellStart"/>
      <w:r w:rsidRPr="00B136B7">
        <w:rPr>
          <w:color w:val="000000" w:themeColor="text1"/>
        </w:rPr>
        <w:t>Fund</w:t>
      </w:r>
      <w:proofErr w:type="spellEnd"/>
      <w:r w:rsidRPr="00B136B7">
        <w:rPr>
          <w:color w:val="000000" w:themeColor="text1"/>
        </w:rPr>
        <w:t>. (10.11.2021).</w:t>
      </w:r>
      <w:r w:rsidRPr="00B136B7">
        <w:rPr>
          <w:i/>
          <w:color w:val="000000" w:themeColor="text1"/>
        </w:rPr>
        <w:t xml:space="preserve"> Republic </w:t>
      </w:r>
      <w:proofErr w:type="spellStart"/>
      <w:r w:rsidRPr="00B136B7">
        <w:rPr>
          <w:i/>
          <w:color w:val="000000" w:themeColor="text1"/>
        </w:rPr>
        <w:t>of</w:t>
      </w:r>
      <w:proofErr w:type="spellEnd"/>
      <w:r w:rsidRPr="00B136B7">
        <w:rPr>
          <w:i/>
          <w:color w:val="000000" w:themeColor="text1"/>
        </w:rPr>
        <w:t xml:space="preserve"> Croatia: 2021 </w:t>
      </w:r>
      <w:proofErr w:type="spellStart"/>
      <w:r w:rsidRPr="00B136B7">
        <w:rPr>
          <w:i/>
          <w:color w:val="000000" w:themeColor="text1"/>
        </w:rPr>
        <w:t>Article</w:t>
      </w:r>
      <w:proofErr w:type="spellEnd"/>
      <w:r w:rsidRPr="00B136B7">
        <w:rPr>
          <w:i/>
          <w:color w:val="000000" w:themeColor="text1"/>
        </w:rPr>
        <w:t xml:space="preserve"> IV </w:t>
      </w:r>
      <w:proofErr w:type="spellStart"/>
      <w:r w:rsidRPr="00B136B7">
        <w:rPr>
          <w:i/>
          <w:color w:val="000000" w:themeColor="text1"/>
        </w:rPr>
        <w:t>consultation</w:t>
      </w:r>
      <w:proofErr w:type="spellEnd"/>
      <w:r w:rsidRPr="00B136B7">
        <w:rPr>
          <w:i/>
          <w:color w:val="000000" w:themeColor="text1"/>
        </w:rPr>
        <w:t xml:space="preserve"> Press </w:t>
      </w:r>
      <w:proofErr w:type="spellStart"/>
      <w:r w:rsidRPr="00B136B7">
        <w:rPr>
          <w:i/>
          <w:color w:val="000000" w:themeColor="text1"/>
        </w:rPr>
        <w:t>release</w:t>
      </w:r>
      <w:proofErr w:type="spellEnd"/>
      <w:r w:rsidRPr="00B136B7">
        <w:rPr>
          <w:i/>
          <w:color w:val="000000" w:themeColor="text1"/>
        </w:rPr>
        <w:t xml:space="preserve">, </w:t>
      </w:r>
      <w:proofErr w:type="spellStart"/>
      <w:r w:rsidRPr="00B136B7">
        <w:rPr>
          <w:i/>
          <w:color w:val="000000" w:themeColor="text1"/>
        </w:rPr>
        <w:t>staff</w:t>
      </w:r>
      <w:proofErr w:type="spellEnd"/>
      <w:r w:rsidRPr="00B136B7">
        <w:rPr>
          <w:i/>
          <w:color w:val="000000" w:themeColor="text1"/>
        </w:rPr>
        <w:t xml:space="preserve"> </w:t>
      </w:r>
      <w:proofErr w:type="spellStart"/>
      <w:r w:rsidRPr="00B136B7">
        <w:rPr>
          <w:i/>
          <w:color w:val="000000" w:themeColor="text1"/>
        </w:rPr>
        <w:t>report</w:t>
      </w:r>
      <w:proofErr w:type="spellEnd"/>
      <w:r w:rsidRPr="00B136B7">
        <w:rPr>
          <w:i/>
          <w:color w:val="000000" w:themeColor="text1"/>
        </w:rPr>
        <w:t xml:space="preserve">,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statement</w:t>
      </w:r>
      <w:proofErr w:type="spellEnd"/>
      <w:r w:rsidRPr="00B136B7">
        <w:rPr>
          <w:i/>
          <w:color w:val="000000" w:themeColor="text1"/>
        </w:rPr>
        <w:t xml:space="preserve"> </w:t>
      </w:r>
      <w:proofErr w:type="spellStart"/>
      <w:r w:rsidRPr="00B136B7">
        <w:rPr>
          <w:i/>
          <w:color w:val="000000" w:themeColor="text1"/>
        </w:rPr>
        <w:t>by</w:t>
      </w:r>
      <w:proofErr w:type="spellEnd"/>
      <w:r w:rsidRPr="00B136B7">
        <w:rPr>
          <w:i/>
          <w:color w:val="000000" w:themeColor="text1"/>
        </w:rPr>
        <w:t xml:space="preserve"> </w:t>
      </w:r>
      <w:proofErr w:type="spellStart"/>
      <w:r w:rsidRPr="00B136B7">
        <w:rPr>
          <w:i/>
          <w:color w:val="000000" w:themeColor="text1"/>
        </w:rPr>
        <w:t>the</w:t>
      </w:r>
      <w:proofErr w:type="spellEnd"/>
      <w:r w:rsidRPr="00B136B7">
        <w:rPr>
          <w:i/>
          <w:color w:val="000000" w:themeColor="text1"/>
        </w:rPr>
        <w:t xml:space="preserve"> </w:t>
      </w:r>
      <w:proofErr w:type="spellStart"/>
      <w:r w:rsidRPr="00B136B7">
        <w:rPr>
          <w:i/>
          <w:color w:val="000000" w:themeColor="text1"/>
        </w:rPr>
        <w:t>executive</w:t>
      </w:r>
      <w:proofErr w:type="spellEnd"/>
      <w:r w:rsidRPr="00B136B7">
        <w:rPr>
          <w:i/>
          <w:color w:val="000000" w:themeColor="text1"/>
        </w:rPr>
        <w:t xml:space="preserve"> </w:t>
      </w:r>
      <w:proofErr w:type="spellStart"/>
      <w:r w:rsidRPr="00B136B7">
        <w:rPr>
          <w:i/>
          <w:color w:val="000000" w:themeColor="text1"/>
        </w:rPr>
        <w:t>director</w:t>
      </w:r>
      <w:proofErr w:type="spellEnd"/>
      <w:r w:rsidRPr="00B136B7">
        <w:rPr>
          <w:i/>
          <w:color w:val="000000" w:themeColor="text1"/>
        </w:rPr>
        <w:t xml:space="preserve"> for Croatia</w:t>
      </w:r>
      <w:r w:rsidRPr="00B136B7">
        <w:rPr>
          <w:color w:val="000000" w:themeColor="text1"/>
        </w:rPr>
        <w:t xml:space="preserve">. Preuzeto 20.08.2025. s </w:t>
      </w:r>
      <w:hyperlink r:id="rId26" w:history="1">
        <w:r w:rsidRPr="00B136B7">
          <w:rPr>
            <w:rStyle w:val="Hiperveza"/>
            <w:color w:val="000000" w:themeColor="text1"/>
            <w:u w:val="none"/>
          </w:rPr>
          <w:t>https://www.imf.org/en/Publications/CR/Issues/2021/09/10/Republic-of-Croatia-2021-Article-IV-Consultation-Press-Release-Staff-Report-and-Statement-465424</w:t>
        </w:r>
      </w:hyperlink>
    </w:p>
    <w:p w14:paraId="55612441" w14:textId="136E0173" w:rsidR="000B4398" w:rsidRPr="00B136B7" w:rsidRDefault="000B4398" w:rsidP="000B4398">
      <w:pPr>
        <w:numPr>
          <w:ilvl w:val="0"/>
          <w:numId w:val="2"/>
        </w:numPr>
        <w:spacing w:line="360" w:lineRule="auto"/>
        <w:jc w:val="both"/>
        <w:rPr>
          <w:color w:val="000000" w:themeColor="text1"/>
        </w:rPr>
      </w:pPr>
      <w:proofErr w:type="spellStart"/>
      <w:r w:rsidRPr="00B136B7">
        <w:rPr>
          <w:color w:val="000000" w:themeColor="text1"/>
        </w:rPr>
        <w:t>Investopedia</w:t>
      </w:r>
      <w:proofErr w:type="spellEnd"/>
      <w:r w:rsidRPr="00B136B7">
        <w:rPr>
          <w:color w:val="000000" w:themeColor="text1"/>
        </w:rPr>
        <w:t>. (</w:t>
      </w:r>
      <w:proofErr w:type="spellStart"/>
      <w:r w:rsidRPr="00B136B7">
        <w:rPr>
          <w:color w:val="000000" w:themeColor="text1"/>
        </w:rPr>
        <w:t>n.d</w:t>
      </w:r>
      <w:proofErr w:type="spellEnd"/>
      <w:r w:rsidRPr="00B136B7">
        <w:rPr>
          <w:color w:val="000000" w:themeColor="text1"/>
        </w:rPr>
        <w:t xml:space="preserve">.). </w:t>
      </w:r>
      <w:r w:rsidRPr="00B136B7">
        <w:rPr>
          <w:i/>
          <w:color w:val="000000" w:themeColor="text1"/>
        </w:rPr>
        <w:t xml:space="preserve">Base </w:t>
      </w:r>
      <w:proofErr w:type="spellStart"/>
      <w:r w:rsidRPr="00B136B7">
        <w:rPr>
          <w:i/>
          <w:color w:val="000000" w:themeColor="text1"/>
        </w:rPr>
        <w:t>effect</w:t>
      </w:r>
      <w:proofErr w:type="spellEnd"/>
      <w:r w:rsidRPr="00B136B7">
        <w:rPr>
          <w:color w:val="000000" w:themeColor="text1"/>
        </w:rPr>
        <w:t>. Preuzeto 25.08.2025. s https://www.investopedia.com/terms/b/base-effect.asp.</w:t>
      </w:r>
    </w:p>
    <w:p w14:paraId="43DE9876"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IOSCO. (2022). </w:t>
      </w:r>
      <w:proofErr w:type="spellStart"/>
      <w:r w:rsidRPr="00B136B7">
        <w:rPr>
          <w:i/>
          <w:color w:val="000000" w:themeColor="text1"/>
        </w:rPr>
        <w:t>Corporate</w:t>
      </w:r>
      <w:proofErr w:type="spellEnd"/>
      <w:r w:rsidRPr="00B136B7">
        <w:rPr>
          <w:i/>
          <w:color w:val="000000" w:themeColor="text1"/>
        </w:rPr>
        <w:t xml:space="preserve"> </w:t>
      </w:r>
      <w:proofErr w:type="spellStart"/>
      <w:r w:rsidRPr="00B136B7">
        <w:rPr>
          <w:i/>
          <w:color w:val="000000" w:themeColor="text1"/>
        </w:rPr>
        <w:t>bond</w:t>
      </w:r>
      <w:proofErr w:type="spellEnd"/>
      <w:r w:rsidRPr="00B136B7">
        <w:rPr>
          <w:i/>
          <w:color w:val="000000" w:themeColor="text1"/>
        </w:rPr>
        <w:t xml:space="preserve"> </w:t>
      </w:r>
      <w:proofErr w:type="spellStart"/>
      <w:r w:rsidRPr="00B136B7">
        <w:rPr>
          <w:i/>
          <w:color w:val="000000" w:themeColor="text1"/>
        </w:rPr>
        <w:t>markets</w:t>
      </w:r>
      <w:proofErr w:type="spellEnd"/>
      <w:r w:rsidRPr="00B136B7">
        <w:rPr>
          <w:i/>
          <w:color w:val="000000" w:themeColor="text1"/>
        </w:rPr>
        <w:t xml:space="preserve"> - </w:t>
      </w:r>
      <w:proofErr w:type="spellStart"/>
      <w:r w:rsidRPr="00B136B7">
        <w:rPr>
          <w:i/>
          <w:color w:val="000000" w:themeColor="text1"/>
        </w:rPr>
        <w:t>drivers</w:t>
      </w:r>
      <w:proofErr w:type="spellEnd"/>
      <w:r w:rsidRPr="00B136B7">
        <w:rPr>
          <w:i/>
          <w:color w:val="000000" w:themeColor="text1"/>
        </w:rPr>
        <w:t xml:space="preserve">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liquidity</w:t>
      </w:r>
      <w:proofErr w:type="spellEnd"/>
      <w:r w:rsidRPr="00B136B7">
        <w:rPr>
          <w:i/>
          <w:color w:val="000000" w:themeColor="text1"/>
        </w:rPr>
        <w:t xml:space="preserve"> </w:t>
      </w:r>
      <w:proofErr w:type="spellStart"/>
      <w:r w:rsidRPr="00B136B7">
        <w:rPr>
          <w:i/>
          <w:color w:val="000000" w:themeColor="text1"/>
        </w:rPr>
        <w:t>during</w:t>
      </w:r>
      <w:proofErr w:type="spellEnd"/>
      <w:r w:rsidRPr="00B136B7">
        <w:rPr>
          <w:i/>
          <w:color w:val="000000" w:themeColor="text1"/>
        </w:rPr>
        <w:t xml:space="preserve"> COVID-19 </w:t>
      </w:r>
      <w:proofErr w:type="spellStart"/>
      <w:r w:rsidRPr="00B136B7">
        <w:rPr>
          <w:i/>
          <w:color w:val="000000" w:themeColor="text1"/>
        </w:rPr>
        <w:t>induced</w:t>
      </w:r>
      <w:proofErr w:type="spellEnd"/>
      <w:r w:rsidRPr="00B136B7">
        <w:rPr>
          <w:i/>
          <w:color w:val="000000" w:themeColor="text1"/>
        </w:rPr>
        <w:t xml:space="preserve"> market </w:t>
      </w:r>
      <w:proofErr w:type="spellStart"/>
      <w:r w:rsidRPr="00B136B7">
        <w:rPr>
          <w:i/>
          <w:color w:val="000000" w:themeColor="text1"/>
        </w:rPr>
        <w:t>stresses</w:t>
      </w:r>
      <w:proofErr w:type="spellEnd"/>
      <w:r w:rsidRPr="00B136B7">
        <w:rPr>
          <w:i/>
          <w:color w:val="000000" w:themeColor="text1"/>
        </w:rPr>
        <w:t xml:space="preserve"> (</w:t>
      </w:r>
      <w:proofErr w:type="spellStart"/>
      <w:r w:rsidRPr="00B136B7">
        <w:rPr>
          <w:i/>
          <w:color w:val="000000" w:themeColor="text1"/>
        </w:rPr>
        <w:t>Feedback</w:t>
      </w:r>
      <w:proofErr w:type="spellEnd"/>
      <w:r w:rsidRPr="00B136B7">
        <w:rPr>
          <w:i/>
          <w:color w:val="000000" w:themeColor="text1"/>
        </w:rPr>
        <w:t xml:space="preserve"> </w:t>
      </w:r>
      <w:proofErr w:type="spellStart"/>
      <w:r w:rsidRPr="00B136B7">
        <w:rPr>
          <w:i/>
          <w:color w:val="000000" w:themeColor="text1"/>
        </w:rPr>
        <w:t>statement</w:t>
      </w:r>
      <w:proofErr w:type="spellEnd"/>
      <w:r w:rsidRPr="00B136B7">
        <w:rPr>
          <w:i/>
          <w:color w:val="000000" w:themeColor="text1"/>
        </w:rPr>
        <w:t>).</w:t>
      </w:r>
      <w:r w:rsidRPr="00B136B7">
        <w:rPr>
          <w:color w:val="000000" w:themeColor="text1"/>
        </w:rPr>
        <w:t xml:space="preserve"> Preuzeto 20.08.2025. s www.iosco.org/library/pubdocs/pdf/IOSCOPD722.pdf</w:t>
      </w:r>
    </w:p>
    <w:p w14:paraId="02985205" w14:textId="39DE0A83"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Karanović</w:t>
      </w:r>
      <w:proofErr w:type="spellEnd"/>
      <w:r w:rsidRPr="00B136B7">
        <w:rPr>
          <w:color w:val="000000" w:themeColor="text1"/>
        </w:rPr>
        <w:t xml:space="preserve">, B., Nikolić, G. i </w:t>
      </w:r>
      <w:proofErr w:type="spellStart"/>
      <w:r w:rsidRPr="00B136B7">
        <w:rPr>
          <w:color w:val="000000" w:themeColor="text1"/>
        </w:rPr>
        <w:t>Karanović</w:t>
      </w:r>
      <w:proofErr w:type="spellEnd"/>
      <w:r w:rsidRPr="00B136B7">
        <w:rPr>
          <w:color w:val="000000" w:themeColor="text1"/>
        </w:rPr>
        <w:t xml:space="preserve">, G. (2019). </w:t>
      </w:r>
      <w:proofErr w:type="spellStart"/>
      <w:r w:rsidRPr="00B136B7">
        <w:rPr>
          <w:color w:val="000000" w:themeColor="text1"/>
        </w:rPr>
        <w:t>Analyzing</w:t>
      </w:r>
      <w:proofErr w:type="spellEnd"/>
      <w:r w:rsidRPr="00B136B7">
        <w:rPr>
          <w:color w:val="000000" w:themeColor="text1"/>
        </w:rPr>
        <w:t xml:space="preserve"> </w:t>
      </w:r>
      <w:proofErr w:type="spellStart"/>
      <w:r w:rsidRPr="00B136B7">
        <w:rPr>
          <w:color w:val="000000" w:themeColor="text1"/>
        </w:rPr>
        <w:t>capital</w:t>
      </w:r>
      <w:proofErr w:type="spellEnd"/>
      <w:r w:rsidRPr="00B136B7">
        <w:rPr>
          <w:color w:val="000000" w:themeColor="text1"/>
        </w:rPr>
        <w:t xml:space="preserve"> </w:t>
      </w:r>
      <w:proofErr w:type="spellStart"/>
      <w:r w:rsidRPr="00B136B7">
        <w:rPr>
          <w:color w:val="000000" w:themeColor="text1"/>
        </w:rPr>
        <w:t>structure</w:t>
      </w:r>
      <w:proofErr w:type="spellEnd"/>
      <w:r w:rsidRPr="00B136B7">
        <w:rPr>
          <w:color w:val="000000" w:themeColor="text1"/>
        </w:rPr>
        <w:t xml:space="preserve"> </w:t>
      </w:r>
      <w:proofErr w:type="spellStart"/>
      <w:r w:rsidRPr="00B136B7">
        <w:rPr>
          <w:color w:val="000000" w:themeColor="text1"/>
        </w:rPr>
        <w:t>across</w:t>
      </w:r>
      <w:proofErr w:type="spellEnd"/>
      <w:r w:rsidRPr="00B136B7">
        <w:rPr>
          <w:color w:val="000000" w:themeColor="text1"/>
        </w:rPr>
        <w:t xml:space="preserve"> </w:t>
      </w:r>
      <w:proofErr w:type="spellStart"/>
      <w:r w:rsidRPr="00B136B7">
        <w:rPr>
          <w:color w:val="000000" w:themeColor="text1"/>
        </w:rPr>
        <w:t>industries</w:t>
      </w:r>
      <w:proofErr w:type="spellEnd"/>
      <w:r w:rsidRPr="00B136B7">
        <w:rPr>
          <w:color w:val="000000" w:themeColor="text1"/>
        </w:rPr>
        <w:t xml:space="preserve">: </w:t>
      </w:r>
      <w:proofErr w:type="spellStart"/>
      <w:r w:rsidRPr="00B136B7">
        <w:rPr>
          <w:color w:val="000000" w:themeColor="text1"/>
        </w:rPr>
        <w:t>Evidence</w:t>
      </w:r>
      <w:proofErr w:type="spellEnd"/>
      <w:r w:rsidRPr="00B136B7">
        <w:rPr>
          <w:color w:val="000000" w:themeColor="text1"/>
        </w:rPr>
        <w:t xml:space="preserve"> </w:t>
      </w:r>
      <w:proofErr w:type="spellStart"/>
      <w:r w:rsidRPr="00B136B7">
        <w:rPr>
          <w:color w:val="000000" w:themeColor="text1"/>
        </w:rPr>
        <w:t>from</w:t>
      </w:r>
      <w:proofErr w:type="spellEnd"/>
      <w:r w:rsidRPr="00B136B7">
        <w:rPr>
          <w:color w:val="000000" w:themeColor="text1"/>
        </w:rPr>
        <w:t xml:space="preserve"> Croatia. </w:t>
      </w:r>
      <w:r w:rsidRPr="00B136B7">
        <w:rPr>
          <w:i/>
          <w:color w:val="000000" w:themeColor="text1"/>
        </w:rPr>
        <w:t xml:space="preserve">Zagreb International </w:t>
      </w:r>
      <w:proofErr w:type="spellStart"/>
      <w:r w:rsidRPr="00B136B7">
        <w:rPr>
          <w:i/>
          <w:color w:val="000000" w:themeColor="text1"/>
        </w:rPr>
        <w:t>Review</w:t>
      </w:r>
      <w:proofErr w:type="spellEnd"/>
      <w:r w:rsidRPr="00B136B7">
        <w:rPr>
          <w:i/>
          <w:color w:val="000000" w:themeColor="text1"/>
        </w:rPr>
        <w:t xml:space="preserve">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Economics</w:t>
      </w:r>
      <w:proofErr w:type="spellEnd"/>
      <w:r w:rsidRPr="00B136B7">
        <w:rPr>
          <w:i/>
          <w:color w:val="000000" w:themeColor="text1"/>
        </w:rPr>
        <w:t xml:space="preserve"> &amp; Business</w:t>
      </w:r>
      <w:r w:rsidRPr="00B136B7">
        <w:rPr>
          <w:color w:val="000000" w:themeColor="text1"/>
        </w:rPr>
        <w:t>, 22 (</w:t>
      </w:r>
      <w:proofErr w:type="spellStart"/>
      <w:r w:rsidRPr="00B136B7">
        <w:rPr>
          <w:color w:val="000000" w:themeColor="text1"/>
        </w:rPr>
        <w:t>Special</w:t>
      </w:r>
      <w:proofErr w:type="spellEnd"/>
      <w:r w:rsidRPr="00B136B7">
        <w:rPr>
          <w:color w:val="000000" w:themeColor="text1"/>
        </w:rPr>
        <w:t xml:space="preserve"> </w:t>
      </w:r>
      <w:proofErr w:type="spellStart"/>
      <w:r w:rsidRPr="00B136B7">
        <w:rPr>
          <w:color w:val="000000" w:themeColor="text1"/>
        </w:rPr>
        <w:t>Conference</w:t>
      </w:r>
      <w:proofErr w:type="spellEnd"/>
      <w:r w:rsidRPr="00B136B7">
        <w:rPr>
          <w:color w:val="000000" w:themeColor="text1"/>
        </w:rPr>
        <w:t xml:space="preserve"> </w:t>
      </w:r>
      <w:proofErr w:type="spellStart"/>
      <w:r w:rsidRPr="00B136B7">
        <w:rPr>
          <w:color w:val="000000" w:themeColor="text1"/>
        </w:rPr>
        <w:t>Issue</w:t>
      </w:r>
      <w:proofErr w:type="spellEnd"/>
      <w:r w:rsidRPr="00B136B7">
        <w:rPr>
          <w:color w:val="000000" w:themeColor="text1"/>
        </w:rPr>
        <w:t>), 1</w:t>
      </w:r>
      <w:r w:rsidR="002B203E" w:rsidRPr="00B136B7">
        <w:rPr>
          <w:color w:val="000000" w:themeColor="text1"/>
        </w:rPr>
        <w:t>-</w:t>
      </w:r>
      <w:r w:rsidRPr="00B136B7">
        <w:rPr>
          <w:color w:val="000000" w:themeColor="text1"/>
        </w:rPr>
        <w:t>10. Preuzeto 20.08.2025. s Analyzing-Capital-Structure-across-Industries-Evidence-from-Croatia.pdf</w:t>
      </w:r>
    </w:p>
    <w:p w14:paraId="0CC18B7D" w14:textId="56127A31" w:rsidR="00BD1931" w:rsidRPr="00B136B7" w:rsidRDefault="00BD1931" w:rsidP="00BD1931">
      <w:pPr>
        <w:numPr>
          <w:ilvl w:val="0"/>
          <w:numId w:val="2"/>
        </w:numPr>
        <w:spacing w:line="360" w:lineRule="auto"/>
        <w:jc w:val="both"/>
        <w:rPr>
          <w:color w:val="000000" w:themeColor="text1"/>
        </w:rPr>
      </w:pPr>
      <w:r w:rsidRPr="00B136B7">
        <w:rPr>
          <w:color w:val="000000" w:themeColor="text1"/>
        </w:rPr>
        <w:lastRenderedPageBreak/>
        <w:t xml:space="preserve">Kim, C.-S., </w:t>
      </w:r>
      <w:proofErr w:type="spellStart"/>
      <w:r w:rsidRPr="00B136B7">
        <w:rPr>
          <w:color w:val="000000" w:themeColor="text1"/>
        </w:rPr>
        <w:t>Mauer</w:t>
      </w:r>
      <w:proofErr w:type="spellEnd"/>
      <w:r w:rsidRPr="00B136B7">
        <w:rPr>
          <w:color w:val="000000" w:themeColor="text1"/>
        </w:rPr>
        <w:t xml:space="preserve">, D. C., </w:t>
      </w:r>
      <w:r w:rsidR="0043109A" w:rsidRPr="00B136B7">
        <w:rPr>
          <w:color w:val="000000" w:themeColor="text1"/>
        </w:rPr>
        <w:t>i</w:t>
      </w:r>
      <w:r w:rsidRPr="00B136B7">
        <w:rPr>
          <w:color w:val="000000" w:themeColor="text1"/>
        </w:rPr>
        <w:t xml:space="preserve"> Sherman, A. E. (1998).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determinants</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liquidity</w:t>
      </w:r>
      <w:proofErr w:type="spellEnd"/>
      <w:r w:rsidRPr="00B136B7">
        <w:rPr>
          <w:color w:val="000000" w:themeColor="text1"/>
        </w:rPr>
        <w:t xml:space="preserve">: </w:t>
      </w:r>
      <w:proofErr w:type="spellStart"/>
      <w:r w:rsidRPr="00B136B7">
        <w:rPr>
          <w:color w:val="000000" w:themeColor="text1"/>
        </w:rPr>
        <w:t>Theory</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evidence</w:t>
      </w:r>
      <w:proofErr w:type="spellEnd"/>
      <w:r w:rsidRPr="00B136B7">
        <w:rPr>
          <w:color w:val="000000" w:themeColor="text1"/>
        </w:rPr>
        <w:t xml:space="preserve">. </w:t>
      </w:r>
      <w:r w:rsidRPr="00B136B7">
        <w:rPr>
          <w:i/>
          <w:color w:val="000000" w:themeColor="text1"/>
        </w:rPr>
        <w:t xml:space="preserve">Journal </w:t>
      </w:r>
      <w:proofErr w:type="spellStart"/>
      <w:r w:rsidRPr="00B136B7">
        <w:rPr>
          <w:i/>
          <w:color w:val="000000" w:themeColor="text1"/>
        </w:rPr>
        <w:t>of</w:t>
      </w:r>
      <w:proofErr w:type="spellEnd"/>
      <w:r w:rsidRPr="00B136B7">
        <w:rPr>
          <w:i/>
          <w:color w:val="000000" w:themeColor="text1"/>
        </w:rPr>
        <w:t xml:space="preserve"> Financial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Quantitative</w:t>
      </w:r>
      <w:proofErr w:type="spellEnd"/>
      <w:r w:rsidRPr="00B136B7">
        <w:rPr>
          <w:i/>
          <w:color w:val="000000" w:themeColor="text1"/>
        </w:rPr>
        <w:t xml:space="preserve"> </w:t>
      </w:r>
      <w:proofErr w:type="spellStart"/>
      <w:r w:rsidRPr="00B136B7">
        <w:rPr>
          <w:i/>
          <w:color w:val="000000" w:themeColor="text1"/>
        </w:rPr>
        <w:t>Analysis</w:t>
      </w:r>
      <w:proofErr w:type="spellEnd"/>
      <w:r w:rsidRPr="00B136B7">
        <w:rPr>
          <w:color w:val="000000" w:themeColor="text1"/>
        </w:rPr>
        <w:t>, 33(3), 335-359.</w:t>
      </w:r>
    </w:p>
    <w:p w14:paraId="7810E471"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King, M. R. (2023). Financial </w:t>
      </w:r>
      <w:proofErr w:type="spellStart"/>
      <w:r w:rsidRPr="00B136B7">
        <w:rPr>
          <w:color w:val="000000" w:themeColor="text1"/>
        </w:rPr>
        <w:t>frictions</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liquidity</w:t>
      </w:r>
      <w:proofErr w:type="spellEnd"/>
      <w:r w:rsidRPr="00B136B7">
        <w:rPr>
          <w:color w:val="000000" w:themeColor="text1"/>
        </w:rPr>
        <w:t xml:space="preserve"> </w:t>
      </w:r>
      <w:proofErr w:type="spellStart"/>
      <w:r w:rsidRPr="00B136B7">
        <w:rPr>
          <w:color w:val="000000" w:themeColor="text1"/>
        </w:rPr>
        <w:t>shocks</w:t>
      </w:r>
      <w:proofErr w:type="spellEnd"/>
      <w:r w:rsidRPr="00B136B7">
        <w:rPr>
          <w:color w:val="000000" w:themeColor="text1"/>
        </w:rPr>
        <w:t xml:space="preserve">. </w:t>
      </w:r>
      <w:r w:rsidRPr="00B136B7">
        <w:rPr>
          <w:i/>
          <w:color w:val="000000" w:themeColor="text1"/>
        </w:rPr>
        <w:t xml:space="preserve">International Journal </w:t>
      </w:r>
      <w:proofErr w:type="spellStart"/>
      <w:r w:rsidRPr="00B136B7">
        <w:rPr>
          <w:i/>
          <w:color w:val="000000" w:themeColor="text1"/>
        </w:rPr>
        <w:t>of</w:t>
      </w:r>
      <w:proofErr w:type="spellEnd"/>
      <w:r w:rsidRPr="00B136B7">
        <w:rPr>
          <w:i/>
          <w:color w:val="000000" w:themeColor="text1"/>
        </w:rPr>
        <w:t xml:space="preserve"> Central Banking</w:t>
      </w:r>
      <w:r w:rsidRPr="00B136B7">
        <w:rPr>
          <w:color w:val="000000" w:themeColor="text1"/>
        </w:rPr>
        <w:t xml:space="preserve">, 19(6), 1-44. </w:t>
      </w:r>
    </w:p>
    <w:p w14:paraId="3F74CCE2" w14:textId="30B0CC9A" w:rsidR="00BD1931" w:rsidRPr="00B136B7" w:rsidRDefault="00BD1931" w:rsidP="00BD1931">
      <w:pPr>
        <w:numPr>
          <w:ilvl w:val="0"/>
          <w:numId w:val="2"/>
        </w:numPr>
        <w:spacing w:after="240" w:line="360" w:lineRule="auto"/>
        <w:jc w:val="both"/>
        <w:rPr>
          <w:color w:val="000000" w:themeColor="text1"/>
        </w:rPr>
      </w:pPr>
      <w:proofErr w:type="spellStart"/>
      <w:r w:rsidRPr="00B136B7">
        <w:rPr>
          <w:color w:val="000000" w:themeColor="text1"/>
        </w:rPr>
        <w:t>Labra</w:t>
      </w:r>
      <w:proofErr w:type="spellEnd"/>
      <w:r w:rsidRPr="00B136B7">
        <w:rPr>
          <w:color w:val="000000" w:themeColor="text1"/>
        </w:rPr>
        <w:t xml:space="preserve">, R., </w:t>
      </w:r>
      <w:r w:rsidR="0043109A" w:rsidRPr="00B136B7">
        <w:rPr>
          <w:color w:val="000000" w:themeColor="text1"/>
        </w:rPr>
        <w:t>i</w:t>
      </w:r>
      <w:r w:rsidRPr="00B136B7">
        <w:rPr>
          <w:color w:val="000000" w:themeColor="text1"/>
        </w:rPr>
        <w:t xml:space="preserve"> </w:t>
      </w:r>
      <w:proofErr w:type="spellStart"/>
      <w:r w:rsidRPr="00B136B7">
        <w:rPr>
          <w:color w:val="000000" w:themeColor="text1"/>
        </w:rPr>
        <w:t>Torrecillas</w:t>
      </w:r>
      <w:proofErr w:type="spellEnd"/>
      <w:r w:rsidRPr="00B136B7">
        <w:rPr>
          <w:color w:val="000000" w:themeColor="text1"/>
        </w:rPr>
        <w:t xml:space="preserve">, C. (2018). </w:t>
      </w:r>
      <w:proofErr w:type="spellStart"/>
      <w:r w:rsidRPr="00B136B7">
        <w:rPr>
          <w:color w:val="000000" w:themeColor="text1"/>
        </w:rPr>
        <w:t>Estimating</w:t>
      </w:r>
      <w:proofErr w:type="spellEnd"/>
      <w:r w:rsidRPr="00B136B7">
        <w:rPr>
          <w:color w:val="000000" w:themeColor="text1"/>
        </w:rPr>
        <w:t xml:space="preserve"> </w:t>
      </w:r>
      <w:proofErr w:type="spellStart"/>
      <w:r w:rsidRPr="00B136B7">
        <w:rPr>
          <w:color w:val="000000" w:themeColor="text1"/>
        </w:rPr>
        <w:t>dynamic</w:t>
      </w:r>
      <w:proofErr w:type="spellEnd"/>
      <w:r w:rsidRPr="00B136B7">
        <w:rPr>
          <w:color w:val="000000" w:themeColor="text1"/>
        </w:rPr>
        <w:t xml:space="preserve"> panel data </w:t>
      </w:r>
      <w:proofErr w:type="spellStart"/>
      <w:r w:rsidRPr="00B136B7">
        <w:rPr>
          <w:color w:val="000000" w:themeColor="text1"/>
        </w:rPr>
        <w:t>models</w:t>
      </w:r>
      <w:proofErr w:type="spellEnd"/>
      <w:r w:rsidRPr="00B136B7">
        <w:rPr>
          <w:color w:val="000000" w:themeColor="text1"/>
        </w:rPr>
        <w:t xml:space="preserve">: A </w:t>
      </w:r>
      <w:proofErr w:type="spellStart"/>
      <w:r w:rsidRPr="00B136B7">
        <w:rPr>
          <w:color w:val="000000" w:themeColor="text1"/>
        </w:rPr>
        <w:t>guide</w:t>
      </w:r>
      <w:proofErr w:type="spellEnd"/>
      <w:r w:rsidRPr="00B136B7">
        <w:rPr>
          <w:color w:val="000000" w:themeColor="text1"/>
        </w:rPr>
        <w:t xml:space="preserve"> for </w:t>
      </w:r>
      <w:proofErr w:type="spellStart"/>
      <w:r w:rsidRPr="00B136B7">
        <w:rPr>
          <w:color w:val="000000" w:themeColor="text1"/>
        </w:rPr>
        <w:t>macroeconomists</w:t>
      </w:r>
      <w:proofErr w:type="spellEnd"/>
      <w:r w:rsidRPr="00B136B7">
        <w:rPr>
          <w:color w:val="000000" w:themeColor="text1"/>
        </w:rPr>
        <w:t xml:space="preserve">. </w:t>
      </w:r>
      <w:proofErr w:type="spellStart"/>
      <w:r w:rsidRPr="00B136B7">
        <w:rPr>
          <w:i/>
          <w:iCs/>
          <w:color w:val="000000" w:themeColor="text1"/>
        </w:rPr>
        <w:t>Revista</w:t>
      </w:r>
      <w:proofErr w:type="spellEnd"/>
      <w:r w:rsidRPr="00B136B7">
        <w:rPr>
          <w:i/>
          <w:iCs/>
          <w:color w:val="000000" w:themeColor="text1"/>
        </w:rPr>
        <w:t xml:space="preserve"> </w:t>
      </w:r>
      <w:proofErr w:type="spellStart"/>
      <w:r w:rsidRPr="00B136B7">
        <w:rPr>
          <w:i/>
          <w:iCs/>
          <w:color w:val="000000" w:themeColor="text1"/>
        </w:rPr>
        <w:t>Colombiana</w:t>
      </w:r>
      <w:proofErr w:type="spellEnd"/>
      <w:r w:rsidRPr="00B136B7">
        <w:rPr>
          <w:i/>
          <w:iCs/>
          <w:color w:val="000000" w:themeColor="text1"/>
        </w:rPr>
        <w:t xml:space="preserve"> de </w:t>
      </w:r>
      <w:proofErr w:type="spellStart"/>
      <w:r w:rsidRPr="00B136B7">
        <w:rPr>
          <w:i/>
          <w:iCs/>
          <w:color w:val="000000" w:themeColor="text1"/>
        </w:rPr>
        <w:t>Estadística</w:t>
      </w:r>
      <w:proofErr w:type="spellEnd"/>
      <w:r w:rsidRPr="00B136B7">
        <w:rPr>
          <w:color w:val="000000" w:themeColor="text1"/>
        </w:rPr>
        <w:t>, 41(1), 51.</w:t>
      </w:r>
    </w:p>
    <w:p w14:paraId="2892D988" w14:textId="41C3D65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Liu, F., </w:t>
      </w:r>
      <w:proofErr w:type="spellStart"/>
      <w:r w:rsidRPr="00B136B7">
        <w:rPr>
          <w:color w:val="000000" w:themeColor="text1"/>
        </w:rPr>
        <w:t>Tian</w:t>
      </w:r>
      <w:proofErr w:type="spellEnd"/>
      <w:r w:rsidRPr="00B136B7">
        <w:rPr>
          <w:color w:val="000000" w:themeColor="text1"/>
        </w:rPr>
        <w:t xml:space="preserve">, G., </w:t>
      </w:r>
      <w:proofErr w:type="spellStart"/>
      <w:r w:rsidRPr="00B136B7">
        <w:rPr>
          <w:color w:val="000000" w:themeColor="text1"/>
        </w:rPr>
        <w:t>Xu</w:t>
      </w:r>
      <w:proofErr w:type="spellEnd"/>
      <w:r w:rsidRPr="00B136B7">
        <w:rPr>
          <w:color w:val="000000" w:themeColor="text1"/>
        </w:rPr>
        <w:t xml:space="preserve">, J., </w:t>
      </w:r>
      <w:r w:rsidR="0043109A" w:rsidRPr="00B136B7">
        <w:rPr>
          <w:color w:val="000000" w:themeColor="text1"/>
        </w:rPr>
        <w:t>i</w:t>
      </w:r>
      <w:r w:rsidRPr="00B136B7">
        <w:rPr>
          <w:color w:val="000000" w:themeColor="text1"/>
        </w:rPr>
        <w:t xml:space="preserve"> Zhang, X. (2024). </w:t>
      </w:r>
      <w:proofErr w:type="spellStart"/>
      <w:r w:rsidRPr="00B136B7">
        <w:rPr>
          <w:color w:val="000000" w:themeColor="text1"/>
        </w:rPr>
        <w:t>Litigation</w:t>
      </w:r>
      <w:proofErr w:type="spellEnd"/>
      <w:r w:rsidRPr="00B136B7">
        <w:rPr>
          <w:color w:val="000000" w:themeColor="text1"/>
        </w:rPr>
        <w:t xml:space="preserve"> </w:t>
      </w:r>
      <w:proofErr w:type="spellStart"/>
      <w:r w:rsidRPr="00B136B7">
        <w:rPr>
          <w:color w:val="000000" w:themeColor="text1"/>
        </w:rPr>
        <w:t>risk</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proofErr w:type="spellStart"/>
      <w:r w:rsidRPr="00B136B7">
        <w:rPr>
          <w:color w:val="000000" w:themeColor="text1"/>
        </w:rPr>
        <w:t>holdings</w:t>
      </w:r>
      <w:proofErr w:type="spellEnd"/>
      <w:r w:rsidRPr="00B136B7">
        <w:rPr>
          <w:color w:val="000000" w:themeColor="text1"/>
        </w:rPr>
        <w:t xml:space="preserve">. </w:t>
      </w:r>
      <w:r w:rsidRPr="00B136B7">
        <w:rPr>
          <w:i/>
          <w:color w:val="000000" w:themeColor="text1"/>
        </w:rPr>
        <w:t xml:space="preserve">Applied </w:t>
      </w:r>
      <w:proofErr w:type="spellStart"/>
      <w:r w:rsidRPr="00B136B7">
        <w:rPr>
          <w:i/>
          <w:color w:val="000000" w:themeColor="text1"/>
        </w:rPr>
        <w:t>Economics</w:t>
      </w:r>
      <w:proofErr w:type="spellEnd"/>
      <w:r w:rsidRPr="00B136B7">
        <w:rPr>
          <w:color w:val="000000" w:themeColor="text1"/>
        </w:rPr>
        <w:t xml:space="preserve">, 56(xx), 1-18. </w:t>
      </w:r>
    </w:p>
    <w:p w14:paraId="02E23280" w14:textId="48316DAA" w:rsidR="000B4398" w:rsidRPr="00B136B7" w:rsidRDefault="000B4398" w:rsidP="000B4398">
      <w:pPr>
        <w:numPr>
          <w:ilvl w:val="0"/>
          <w:numId w:val="2"/>
        </w:numPr>
        <w:spacing w:line="360" w:lineRule="auto"/>
        <w:jc w:val="both"/>
        <w:rPr>
          <w:color w:val="000000" w:themeColor="text1"/>
        </w:rPr>
      </w:pPr>
      <w:r w:rsidRPr="00B136B7">
        <w:rPr>
          <w:color w:val="000000" w:themeColor="text1"/>
        </w:rPr>
        <w:t>Međunarodni računovodstveni standardi. (</w:t>
      </w:r>
      <w:proofErr w:type="spellStart"/>
      <w:r w:rsidRPr="00B136B7">
        <w:rPr>
          <w:color w:val="000000" w:themeColor="text1"/>
        </w:rPr>
        <w:t>n.d</w:t>
      </w:r>
      <w:proofErr w:type="spellEnd"/>
      <w:r w:rsidRPr="00B136B7">
        <w:rPr>
          <w:color w:val="000000" w:themeColor="text1"/>
        </w:rPr>
        <w:t xml:space="preserve">.). </w:t>
      </w:r>
      <w:r w:rsidRPr="00B136B7">
        <w:rPr>
          <w:i/>
          <w:color w:val="000000" w:themeColor="text1"/>
        </w:rPr>
        <w:t>MRS 16</w:t>
      </w:r>
      <w:r w:rsidRPr="00B136B7">
        <w:rPr>
          <w:color w:val="000000" w:themeColor="text1"/>
        </w:rPr>
        <w:t xml:space="preserve">. Preuzeto 25.08.2025. s </w:t>
      </w:r>
      <w:hyperlink r:id="rId27">
        <w:r w:rsidRPr="00B136B7">
          <w:rPr>
            <w:color w:val="000000" w:themeColor="text1"/>
          </w:rPr>
          <w:t>https://www.rrif.hr/standardi/</w:t>
        </w:r>
      </w:hyperlink>
      <w:r w:rsidRPr="00B136B7">
        <w:rPr>
          <w:color w:val="000000" w:themeColor="text1"/>
        </w:rPr>
        <w:t>.</w:t>
      </w:r>
    </w:p>
    <w:p w14:paraId="0D7DFFD3" w14:textId="1D58E9A4" w:rsidR="00BD1931" w:rsidRPr="00B136B7" w:rsidRDefault="00BD1931" w:rsidP="00BD1931">
      <w:pPr>
        <w:numPr>
          <w:ilvl w:val="0"/>
          <w:numId w:val="2"/>
        </w:numPr>
        <w:spacing w:after="240" w:line="360" w:lineRule="auto"/>
        <w:jc w:val="both"/>
        <w:rPr>
          <w:color w:val="000000" w:themeColor="text1"/>
        </w:rPr>
      </w:pPr>
      <w:r w:rsidRPr="00B136B7">
        <w:rPr>
          <w:color w:val="000000" w:themeColor="text1"/>
        </w:rPr>
        <w:t xml:space="preserve">Myers, S. C. (2001). Capital </w:t>
      </w:r>
      <w:proofErr w:type="spellStart"/>
      <w:r w:rsidRPr="00B136B7">
        <w:rPr>
          <w:color w:val="000000" w:themeColor="text1"/>
        </w:rPr>
        <w:t>structure</w:t>
      </w:r>
      <w:proofErr w:type="spellEnd"/>
      <w:r w:rsidRPr="00B136B7">
        <w:rPr>
          <w:color w:val="000000" w:themeColor="text1"/>
        </w:rPr>
        <w:t xml:space="preserve">. </w:t>
      </w:r>
      <w:r w:rsidRPr="00B136B7">
        <w:rPr>
          <w:i/>
          <w:iCs/>
          <w:color w:val="000000" w:themeColor="text1"/>
        </w:rPr>
        <w:t xml:space="preserve">Journal </w:t>
      </w:r>
      <w:proofErr w:type="spellStart"/>
      <w:r w:rsidRPr="00B136B7">
        <w:rPr>
          <w:i/>
          <w:iCs/>
          <w:color w:val="000000" w:themeColor="text1"/>
        </w:rPr>
        <w:t>of</w:t>
      </w:r>
      <w:proofErr w:type="spellEnd"/>
      <w:r w:rsidRPr="00B136B7">
        <w:rPr>
          <w:i/>
          <w:iCs/>
          <w:color w:val="000000" w:themeColor="text1"/>
        </w:rPr>
        <w:t xml:space="preserve"> </w:t>
      </w:r>
      <w:proofErr w:type="spellStart"/>
      <w:r w:rsidRPr="00B136B7">
        <w:rPr>
          <w:i/>
          <w:iCs/>
          <w:color w:val="000000" w:themeColor="text1"/>
        </w:rPr>
        <w:t>Economic</w:t>
      </w:r>
      <w:proofErr w:type="spellEnd"/>
      <w:r w:rsidRPr="00B136B7">
        <w:rPr>
          <w:i/>
          <w:iCs/>
          <w:color w:val="000000" w:themeColor="text1"/>
        </w:rPr>
        <w:t xml:space="preserve"> </w:t>
      </w:r>
      <w:proofErr w:type="spellStart"/>
      <w:r w:rsidRPr="00B136B7">
        <w:rPr>
          <w:i/>
          <w:iCs/>
          <w:color w:val="000000" w:themeColor="text1"/>
        </w:rPr>
        <w:t>Perspectives</w:t>
      </w:r>
      <w:proofErr w:type="spellEnd"/>
      <w:r w:rsidRPr="00B136B7">
        <w:rPr>
          <w:color w:val="000000" w:themeColor="text1"/>
        </w:rPr>
        <w:t>, 15(2), 81102.</w:t>
      </w:r>
    </w:p>
    <w:p w14:paraId="6FE61DDC" w14:textId="2A3DE384"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Opler</w:t>
      </w:r>
      <w:proofErr w:type="spellEnd"/>
      <w:r w:rsidRPr="00B136B7">
        <w:rPr>
          <w:color w:val="000000" w:themeColor="text1"/>
        </w:rPr>
        <w:t xml:space="preserve">, T., </w:t>
      </w:r>
      <w:proofErr w:type="spellStart"/>
      <w:r w:rsidRPr="00B136B7">
        <w:rPr>
          <w:color w:val="000000" w:themeColor="text1"/>
        </w:rPr>
        <w:t>Pinkowitz</w:t>
      </w:r>
      <w:proofErr w:type="spellEnd"/>
      <w:r w:rsidRPr="00B136B7">
        <w:rPr>
          <w:color w:val="000000" w:themeColor="text1"/>
        </w:rPr>
        <w:t xml:space="preserve">, L., </w:t>
      </w:r>
      <w:proofErr w:type="spellStart"/>
      <w:r w:rsidRPr="00B136B7">
        <w:rPr>
          <w:color w:val="000000" w:themeColor="text1"/>
        </w:rPr>
        <w:t>Stulz</w:t>
      </w:r>
      <w:proofErr w:type="spellEnd"/>
      <w:r w:rsidRPr="00B136B7">
        <w:rPr>
          <w:color w:val="000000" w:themeColor="text1"/>
        </w:rPr>
        <w:t xml:space="preserve">, R., </w:t>
      </w:r>
      <w:r w:rsidR="0043109A" w:rsidRPr="00B136B7">
        <w:rPr>
          <w:color w:val="000000" w:themeColor="text1"/>
        </w:rPr>
        <w:t>i</w:t>
      </w:r>
      <w:r w:rsidRPr="00B136B7">
        <w:rPr>
          <w:color w:val="000000" w:themeColor="text1"/>
        </w:rPr>
        <w:t xml:space="preserve"> Williamson, R. (1999).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determinants</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implications</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proofErr w:type="spellStart"/>
      <w:r w:rsidRPr="00B136B7">
        <w:rPr>
          <w:color w:val="000000" w:themeColor="text1"/>
        </w:rPr>
        <w:t>holdings</w:t>
      </w:r>
      <w:proofErr w:type="spellEnd"/>
      <w:r w:rsidRPr="00B136B7">
        <w:rPr>
          <w:color w:val="000000" w:themeColor="text1"/>
        </w:rPr>
        <w:t>.</w:t>
      </w:r>
      <w:r w:rsidRPr="00B136B7">
        <w:rPr>
          <w:i/>
          <w:color w:val="000000" w:themeColor="text1"/>
        </w:rPr>
        <w:t xml:space="preserve"> Journal </w:t>
      </w:r>
      <w:proofErr w:type="spellStart"/>
      <w:r w:rsidRPr="00B136B7">
        <w:rPr>
          <w:i/>
          <w:color w:val="000000" w:themeColor="text1"/>
        </w:rPr>
        <w:t>of</w:t>
      </w:r>
      <w:proofErr w:type="spellEnd"/>
      <w:r w:rsidRPr="00B136B7">
        <w:rPr>
          <w:i/>
          <w:color w:val="000000" w:themeColor="text1"/>
        </w:rPr>
        <w:t xml:space="preserve"> Financial </w:t>
      </w:r>
      <w:proofErr w:type="spellStart"/>
      <w:r w:rsidRPr="00B136B7">
        <w:rPr>
          <w:i/>
          <w:color w:val="000000" w:themeColor="text1"/>
        </w:rPr>
        <w:t>Economics</w:t>
      </w:r>
      <w:proofErr w:type="spellEnd"/>
      <w:r w:rsidRPr="00B136B7">
        <w:rPr>
          <w:color w:val="000000" w:themeColor="text1"/>
        </w:rPr>
        <w:t xml:space="preserve">, 52(1), 3-46. </w:t>
      </w:r>
    </w:p>
    <w:p w14:paraId="2E4BCA27" w14:textId="77777777" w:rsidR="00BD1931" w:rsidRPr="00B136B7" w:rsidRDefault="00BD1931" w:rsidP="00BD1931">
      <w:pPr>
        <w:numPr>
          <w:ilvl w:val="0"/>
          <w:numId w:val="2"/>
        </w:numPr>
        <w:spacing w:line="360" w:lineRule="auto"/>
        <w:jc w:val="both"/>
        <w:rPr>
          <w:color w:val="000000" w:themeColor="text1"/>
        </w:rPr>
      </w:pPr>
      <w:r w:rsidRPr="00B136B7">
        <w:rPr>
          <w:color w:val="000000" w:themeColor="text1"/>
        </w:rPr>
        <w:t xml:space="preserve">OECD. (2024). </w:t>
      </w:r>
      <w:r w:rsidRPr="00B136B7">
        <w:rPr>
          <w:i/>
          <w:color w:val="000000" w:themeColor="text1"/>
        </w:rPr>
        <w:t xml:space="preserve">Global </w:t>
      </w:r>
      <w:proofErr w:type="spellStart"/>
      <w:r w:rsidRPr="00B136B7">
        <w:rPr>
          <w:i/>
          <w:color w:val="000000" w:themeColor="text1"/>
        </w:rPr>
        <w:t>Debt</w:t>
      </w:r>
      <w:proofErr w:type="spellEnd"/>
      <w:r w:rsidRPr="00B136B7">
        <w:rPr>
          <w:i/>
          <w:color w:val="000000" w:themeColor="text1"/>
        </w:rPr>
        <w:t xml:space="preserve"> </w:t>
      </w:r>
      <w:proofErr w:type="spellStart"/>
      <w:r w:rsidRPr="00B136B7">
        <w:rPr>
          <w:i/>
          <w:color w:val="000000" w:themeColor="text1"/>
        </w:rPr>
        <w:t>Report</w:t>
      </w:r>
      <w:proofErr w:type="spellEnd"/>
      <w:r w:rsidRPr="00B136B7">
        <w:rPr>
          <w:i/>
          <w:color w:val="000000" w:themeColor="text1"/>
        </w:rPr>
        <w:t xml:space="preserve"> 2024: Bond </w:t>
      </w:r>
      <w:proofErr w:type="spellStart"/>
      <w:r w:rsidRPr="00B136B7">
        <w:rPr>
          <w:i/>
          <w:color w:val="000000" w:themeColor="text1"/>
        </w:rPr>
        <w:t>Markets</w:t>
      </w:r>
      <w:proofErr w:type="spellEnd"/>
      <w:r w:rsidRPr="00B136B7">
        <w:rPr>
          <w:i/>
          <w:color w:val="000000" w:themeColor="text1"/>
        </w:rPr>
        <w:t xml:space="preserve"> </w:t>
      </w:r>
      <w:proofErr w:type="spellStart"/>
      <w:r w:rsidRPr="00B136B7">
        <w:rPr>
          <w:i/>
          <w:color w:val="000000" w:themeColor="text1"/>
        </w:rPr>
        <w:t>in</w:t>
      </w:r>
      <w:proofErr w:type="spellEnd"/>
      <w:r w:rsidRPr="00B136B7">
        <w:rPr>
          <w:i/>
          <w:color w:val="000000" w:themeColor="text1"/>
        </w:rPr>
        <w:t xml:space="preserve"> a </w:t>
      </w:r>
      <w:proofErr w:type="spellStart"/>
      <w:r w:rsidRPr="00B136B7">
        <w:rPr>
          <w:i/>
          <w:color w:val="000000" w:themeColor="text1"/>
        </w:rPr>
        <w:t>High-Debt</w:t>
      </w:r>
      <w:proofErr w:type="spellEnd"/>
      <w:r w:rsidRPr="00B136B7">
        <w:rPr>
          <w:i/>
          <w:color w:val="000000" w:themeColor="text1"/>
        </w:rPr>
        <w:t xml:space="preserve"> </w:t>
      </w:r>
      <w:proofErr w:type="spellStart"/>
      <w:r w:rsidRPr="00B136B7">
        <w:rPr>
          <w:i/>
          <w:color w:val="000000" w:themeColor="text1"/>
        </w:rPr>
        <w:t>Environment</w:t>
      </w:r>
      <w:proofErr w:type="spellEnd"/>
      <w:r w:rsidRPr="00B136B7">
        <w:rPr>
          <w:i/>
          <w:color w:val="000000" w:themeColor="text1"/>
        </w:rPr>
        <w:t>.</w:t>
      </w:r>
      <w:r w:rsidRPr="00B136B7">
        <w:rPr>
          <w:color w:val="000000" w:themeColor="text1"/>
        </w:rPr>
        <w:t xml:space="preserve"> Preuzeto 20.08.2025. s www.oecd.org/content/dam/oecd/en/publications/reports/2024/03/global-debt-report-2024_84b4c408/91844ea2-en.pdf.</w:t>
      </w:r>
    </w:p>
    <w:p w14:paraId="110166F0" w14:textId="56D72515" w:rsidR="00BD1931" w:rsidRPr="00B136B7" w:rsidRDefault="00BD1931" w:rsidP="00BD1931">
      <w:pPr>
        <w:numPr>
          <w:ilvl w:val="0"/>
          <w:numId w:val="2"/>
        </w:numPr>
        <w:spacing w:line="360" w:lineRule="auto"/>
        <w:jc w:val="both"/>
        <w:rPr>
          <w:color w:val="000000" w:themeColor="text1"/>
        </w:rPr>
      </w:pPr>
      <w:proofErr w:type="spellStart"/>
      <w:r w:rsidRPr="00B136B7">
        <w:rPr>
          <w:color w:val="000000" w:themeColor="text1"/>
        </w:rPr>
        <w:t>Ozkan</w:t>
      </w:r>
      <w:proofErr w:type="spellEnd"/>
      <w:r w:rsidRPr="00B136B7">
        <w:rPr>
          <w:color w:val="000000" w:themeColor="text1"/>
        </w:rPr>
        <w:t xml:space="preserve">, A. i </w:t>
      </w:r>
      <w:proofErr w:type="spellStart"/>
      <w:r w:rsidRPr="00B136B7">
        <w:rPr>
          <w:color w:val="000000" w:themeColor="text1"/>
        </w:rPr>
        <w:t>Ozkan</w:t>
      </w:r>
      <w:proofErr w:type="spellEnd"/>
      <w:r w:rsidRPr="00B136B7">
        <w:rPr>
          <w:color w:val="000000" w:themeColor="text1"/>
        </w:rPr>
        <w:t xml:space="preserve">, N. (2004).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cash</w:t>
      </w:r>
      <w:proofErr w:type="spellEnd"/>
      <w:r w:rsidRPr="00B136B7">
        <w:rPr>
          <w:color w:val="000000" w:themeColor="text1"/>
        </w:rPr>
        <w:t xml:space="preserve"> </w:t>
      </w:r>
      <w:proofErr w:type="spellStart"/>
      <w:r w:rsidRPr="00B136B7">
        <w:rPr>
          <w:color w:val="000000" w:themeColor="text1"/>
        </w:rPr>
        <w:t>holdings</w:t>
      </w:r>
      <w:proofErr w:type="spellEnd"/>
      <w:r w:rsidRPr="00B136B7">
        <w:rPr>
          <w:color w:val="000000" w:themeColor="text1"/>
        </w:rPr>
        <w:t xml:space="preserve">: An </w:t>
      </w:r>
      <w:proofErr w:type="spellStart"/>
      <w:r w:rsidRPr="00B136B7">
        <w:rPr>
          <w:color w:val="000000" w:themeColor="text1"/>
        </w:rPr>
        <w:t>empirical</w:t>
      </w:r>
      <w:proofErr w:type="spellEnd"/>
      <w:r w:rsidRPr="00B136B7">
        <w:rPr>
          <w:color w:val="000000" w:themeColor="text1"/>
        </w:rPr>
        <w:t xml:space="preserve"> </w:t>
      </w:r>
      <w:proofErr w:type="spellStart"/>
      <w:r w:rsidRPr="00B136B7">
        <w:rPr>
          <w:color w:val="000000" w:themeColor="text1"/>
        </w:rPr>
        <w:t>investigation</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UK </w:t>
      </w:r>
      <w:proofErr w:type="spellStart"/>
      <w:r w:rsidRPr="00B136B7">
        <w:rPr>
          <w:color w:val="000000" w:themeColor="text1"/>
        </w:rPr>
        <w:t>companies</w:t>
      </w:r>
      <w:proofErr w:type="spellEnd"/>
      <w:r w:rsidRPr="00B136B7">
        <w:rPr>
          <w:color w:val="000000" w:themeColor="text1"/>
        </w:rPr>
        <w:t xml:space="preserve">. </w:t>
      </w:r>
      <w:r w:rsidRPr="00B136B7">
        <w:rPr>
          <w:i/>
          <w:color w:val="000000" w:themeColor="text1"/>
        </w:rPr>
        <w:t xml:space="preserve">Journal </w:t>
      </w:r>
      <w:proofErr w:type="spellStart"/>
      <w:r w:rsidRPr="00B136B7">
        <w:rPr>
          <w:i/>
          <w:color w:val="000000" w:themeColor="text1"/>
        </w:rPr>
        <w:t>of</w:t>
      </w:r>
      <w:proofErr w:type="spellEnd"/>
      <w:r w:rsidRPr="00B136B7">
        <w:rPr>
          <w:i/>
          <w:color w:val="000000" w:themeColor="text1"/>
        </w:rPr>
        <w:t xml:space="preserve"> Banking &amp; </w:t>
      </w:r>
      <w:proofErr w:type="spellStart"/>
      <w:r w:rsidRPr="00B136B7">
        <w:rPr>
          <w:i/>
          <w:color w:val="000000" w:themeColor="text1"/>
        </w:rPr>
        <w:t>Finance</w:t>
      </w:r>
      <w:proofErr w:type="spellEnd"/>
      <w:r w:rsidRPr="00B136B7">
        <w:rPr>
          <w:color w:val="000000" w:themeColor="text1"/>
        </w:rPr>
        <w:t>, 28(9), 2103-2134.</w:t>
      </w:r>
    </w:p>
    <w:p w14:paraId="717E0C52" w14:textId="66DE1F89" w:rsidR="00BD1931" w:rsidRPr="00B136B7" w:rsidRDefault="008A09CC" w:rsidP="00BD1931">
      <w:pPr>
        <w:numPr>
          <w:ilvl w:val="0"/>
          <w:numId w:val="2"/>
        </w:numPr>
        <w:spacing w:line="360" w:lineRule="auto"/>
        <w:jc w:val="both"/>
        <w:rPr>
          <w:color w:val="000000" w:themeColor="text1"/>
        </w:rPr>
      </w:pPr>
      <w:r w:rsidRPr="00B136B7">
        <w:rPr>
          <w:color w:val="000000" w:themeColor="text1"/>
        </w:rPr>
        <w:t xml:space="preserve">Orsag, S. (2015). </w:t>
      </w:r>
      <w:r w:rsidRPr="00B136B7">
        <w:rPr>
          <w:i/>
          <w:color w:val="000000" w:themeColor="text1"/>
        </w:rPr>
        <w:t>Poslovne financije</w:t>
      </w:r>
      <w:r w:rsidRPr="00B136B7">
        <w:rPr>
          <w:color w:val="000000" w:themeColor="text1"/>
        </w:rPr>
        <w:t xml:space="preserve">. Zagreb: </w:t>
      </w:r>
      <w:proofErr w:type="spellStart"/>
      <w:r w:rsidRPr="00B136B7">
        <w:rPr>
          <w:color w:val="000000" w:themeColor="text1"/>
        </w:rPr>
        <w:t>Avantis</w:t>
      </w:r>
      <w:proofErr w:type="spellEnd"/>
      <w:r w:rsidRPr="00B136B7">
        <w:rPr>
          <w:color w:val="000000" w:themeColor="text1"/>
        </w:rPr>
        <w:t>.</w:t>
      </w:r>
    </w:p>
    <w:p w14:paraId="191523A7" w14:textId="77777777" w:rsidR="00BD1931" w:rsidRPr="00B136B7" w:rsidRDefault="00BD1931" w:rsidP="00BD1931">
      <w:pPr>
        <w:numPr>
          <w:ilvl w:val="0"/>
          <w:numId w:val="2"/>
        </w:numPr>
        <w:spacing w:after="240" w:line="360" w:lineRule="auto"/>
        <w:jc w:val="both"/>
        <w:rPr>
          <w:color w:val="000000" w:themeColor="text1"/>
        </w:rPr>
      </w:pPr>
      <w:r w:rsidRPr="00B136B7">
        <w:rPr>
          <w:color w:val="000000" w:themeColor="text1"/>
        </w:rPr>
        <w:t xml:space="preserve">Palić, P. (2023, prosinac). </w:t>
      </w:r>
      <w:r w:rsidRPr="00B136B7">
        <w:rPr>
          <w:i/>
          <w:iCs/>
          <w:color w:val="000000" w:themeColor="text1"/>
        </w:rPr>
        <w:t>Analiza odabranih sektora Republike Hrvatske</w:t>
      </w:r>
      <w:r w:rsidRPr="00B136B7">
        <w:rPr>
          <w:color w:val="000000" w:themeColor="text1"/>
        </w:rPr>
        <w:t xml:space="preserve"> (Sektorske analize, br. 109, god. 12), 6-9.</w:t>
      </w:r>
    </w:p>
    <w:p w14:paraId="5B056D9F" w14:textId="77777777" w:rsidR="00BD1931" w:rsidRPr="00B136B7" w:rsidRDefault="00BD1931" w:rsidP="00BD1931">
      <w:pPr>
        <w:numPr>
          <w:ilvl w:val="0"/>
          <w:numId w:val="2"/>
        </w:numPr>
        <w:spacing w:after="240" w:line="360" w:lineRule="auto"/>
        <w:jc w:val="both"/>
        <w:rPr>
          <w:color w:val="000000" w:themeColor="text1"/>
        </w:rPr>
      </w:pPr>
      <w:r w:rsidRPr="00B136B7">
        <w:rPr>
          <w:color w:val="000000" w:themeColor="text1"/>
        </w:rPr>
        <w:t xml:space="preserve">Palić, P. (2025, travanj). </w:t>
      </w:r>
      <w:r w:rsidRPr="00B136B7">
        <w:rPr>
          <w:i/>
          <w:iCs/>
          <w:color w:val="000000" w:themeColor="text1"/>
        </w:rPr>
        <w:t>Analiza odabranih sektora Republike Hrvatske</w:t>
      </w:r>
      <w:r w:rsidRPr="00B136B7">
        <w:rPr>
          <w:color w:val="000000" w:themeColor="text1"/>
        </w:rPr>
        <w:t xml:space="preserve"> (Sektorske analize, br. 121, god. 14), 3-9.</w:t>
      </w:r>
    </w:p>
    <w:p w14:paraId="37C4172C" w14:textId="77777777" w:rsidR="001A60EE" w:rsidRPr="00B136B7" w:rsidRDefault="001A60EE" w:rsidP="001A60EE">
      <w:pPr>
        <w:numPr>
          <w:ilvl w:val="0"/>
          <w:numId w:val="2"/>
        </w:numPr>
        <w:spacing w:line="360" w:lineRule="auto"/>
        <w:jc w:val="both"/>
        <w:rPr>
          <w:color w:val="000000" w:themeColor="text1"/>
        </w:rPr>
      </w:pPr>
      <w:proofErr w:type="spellStart"/>
      <w:r w:rsidRPr="00B136B7">
        <w:rPr>
          <w:color w:val="000000" w:themeColor="text1"/>
        </w:rPr>
        <w:t>Pellets</w:t>
      </w:r>
      <w:proofErr w:type="spellEnd"/>
      <w:r w:rsidRPr="00B136B7">
        <w:rPr>
          <w:color w:val="000000" w:themeColor="text1"/>
        </w:rPr>
        <w:t>. (</w:t>
      </w:r>
      <w:proofErr w:type="spellStart"/>
      <w:r w:rsidRPr="00B136B7">
        <w:rPr>
          <w:color w:val="000000" w:themeColor="text1"/>
        </w:rPr>
        <w:t>n.d</w:t>
      </w:r>
      <w:proofErr w:type="spellEnd"/>
      <w:r w:rsidRPr="00B136B7">
        <w:rPr>
          <w:color w:val="000000" w:themeColor="text1"/>
        </w:rPr>
        <w:t xml:space="preserve">.). </w:t>
      </w:r>
      <w:r w:rsidRPr="00B136B7">
        <w:rPr>
          <w:i/>
          <w:color w:val="000000" w:themeColor="text1"/>
        </w:rPr>
        <w:t>O nama</w:t>
      </w:r>
      <w:r w:rsidRPr="00B136B7">
        <w:rPr>
          <w:color w:val="000000" w:themeColor="text1"/>
        </w:rPr>
        <w:t xml:space="preserve">. Preuzeto 25.08.2025. s </w:t>
      </w:r>
      <w:hyperlink r:id="rId28">
        <w:r w:rsidRPr="00B136B7">
          <w:rPr>
            <w:color w:val="000000" w:themeColor="text1"/>
          </w:rPr>
          <w:t>https://pellets.hr/hr/o-nama/</w:t>
        </w:r>
      </w:hyperlink>
      <w:r w:rsidRPr="00B136B7">
        <w:rPr>
          <w:color w:val="000000" w:themeColor="text1"/>
        </w:rPr>
        <w:t>.</w:t>
      </w:r>
    </w:p>
    <w:p w14:paraId="07B1F1D5" w14:textId="77777777" w:rsidR="001A60EE" w:rsidRPr="00B136B7" w:rsidRDefault="001A60EE" w:rsidP="001A60EE">
      <w:pPr>
        <w:numPr>
          <w:ilvl w:val="0"/>
          <w:numId w:val="2"/>
        </w:numPr>
        <w:spacing w:line="360" w:lineRule="auto"/>
        <w:jc w:val="both"/>
        <w:rPr>
          <w:color w:val="000000" w:themeColor="text1"/>
        </w:rPr>
      </w:pPr>
      <w:proofErr w:type="spellStart"/>
      <w:r w:rsidRPr="00B136B7">
        <w:rPr>
          <w:color w:val="000000" w:themeColor="text1"/>
        </w:rPr>
        <w:t>Pepur</w:t>
      </w:r>
      <w:proofErr w:type="spellEnd"/>
      <w:r w:rsidRPr="00B136B7">
        <w:rPr>
          <w:color w:val="000000" w:themeColor="text1"/>
        </w:rPr>
        <w:t xml:space="preserve">,  S.,  Ćurak,  M. i  </w:t>
      </w:r>
      <w:proofErr w:type="spellStart"/>
      <w:r w:rsidRPr="00B136B7">
        <w:rPr>
          <w:color w:val="000000" w:themeColor="text1"/>
        </w:rPr>
        <w:t>Poposki</w:t>
      </w:r>
      <w:proofErr w:type="spellEnd"/>
      <w:r w:rsidRPr="00B136B7">
        <w:rPr>
          <w:color w:val="000000" w:themeColor="text1"/>
        </w:rPr>
        <w:t xml:space="preserve">,  K.  (2016).  </w:t>
      </w:r>
      <w:proofErr w:type="spellStart"/>
      <w:r w:rsidRPr="00B136B7">
        <w:rPr>
          <w:color w:val="000000" w:themeColor="text1"/>
        </w:rPr>
        <w:t>Corporate</w:t>
      </w:r>
      <w:proofErr w:type="spellEnd"/>
      <w:r w:rsidRPr="00B136B7">
        <w:rPr>
          <w:color w:val="000000" w:themeColor="text1"/>
        </w:rPr>
        <w:t xml:space="preserve">  </w:t>
      </w:r>
      <w:proofErr w:type="spellStart"/>
      <w:r w:rsidRPr="00B136B7">
        <w:rPr>
          <w:color w:val="000000" w:themeColor="text1"/>
        </w:rPr>
        <w:t>capital</w:t>
      </w:r>
      <w:proofErr w:type="spellEnd"/>
      <w:r w:rsidRPr="00B136B7">
        <w:rPr>
          <w:color w:val="000000" w:themeColor="text1"/>
        </w:rPr>
        <w:t xml:space="preserve"> </w:t>
      </w:r>
      <w:proofErr w:type="spellStart"/>
      <w:r w:rsidRPr="00B136B7">
        <w:rPr>
          <w:color w:val="000000" w:themeColor="text1"/>
        </w:rPr>
        <w:t>structure</w:t>
      </w:r>
      <w:proofErr w:type="spellEnd"/>
      <w:r w:rsidRPr="00B136B7">
        <w:rPr>
          <w:color w:val="000000" w:themeColor="text1"/>
        </w:rPr>
        <w:t xml:space="preserve">: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case</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large</w:t>
      </w:r>
      <w:proofErr w:type="spellEnd"/>
      <w:r w:rsidRPr="00B136B7">
        <w:rPr>
          <w:color w:val="000000" w:themeColor="text1"/>
        </w:rPr>
        <w:t xml:space="preserve">  Croatian  </w:t>
      </w:r>
      <w:proofErr w:type="spellStart"/>
      <w:r w:rsidRPr="00B136B7">
        <w:rPr>
          <w:color w:val="000000" w:themeColor="text1"/>
        </w:rPr>
        <w:t>companies</w:t>
      </w:r>
      <w:proofErr w:type="spellEnd"/>
      <w:r w:rsidRPr="00B136B7">
        <w:rPr>
          <w:color w:val="000000" w:themeColor="text1"/>
        </w:rPr>
        <w:t xml:space="preserve">.  </w:t>
      </w:r>
      <w:proofErr w:type="spellStart"/>
      <w:r w:rsidRPr="00B136B7">
        <w:rPr>
          <w:i/>
          <w:color w:val="000000" w:themeColor="text1"/>
        </w:rPr>
        <w:t>Economic</w:t>
      </w:r>
      <w:proofErr w:type="spellEnd"/>
      <w:r w:rsidRPr="00B136B7">
        <w:rPr>
          <w:i/>
          <w:color w:val="000000" w:themeColor="text1"/>
        </w:rPr>
        <w:t xml:space="preserve"> Research-Ekonomska Istraživanja</w:t>
      </w:r>
      <w:r w:rsidRPr="00B136B7">
        <w:rPr>
          <w:color w:val="000000" w:themeColor="text1"/>
        </w:rPr>
        <w:t>, 29(1), 498-514.  Preuzeto 21.08.2025. s https://www.researchgate.net/publication/303091469_Corporate_capital_structure_The_case_of_large_Croatian_companies</w:t>
      </w:r>
    </w:p>
    <w:p w14:paraId="534938EB" w14:textId="77777777" w:rsidR="001A60EE" w:rsidRPr="00B136B7" w:rsidRDefault="001A60EE" w:rsidP="001A60EE">
      <w:pPr>
        <w:numPr>
          <w:ilvl w:val="0"/>
          <w:numId w:val="2"/>
        </w:numPr>
        <w:spacing w:line="360" w:lineRule="auto"/>
        <w:jc w:val="both"/>
        <w:rPr>
          <w:color w:val="000000" w:themeColor="text1"/>
        </w:rPr>
      </w:pPr>
      <w:proofErr w:type="spellStart"/>
      <w:r w:rsidRPr="00B136B7">
        <w:rPr>
          <w:color w:val="000000" w:themeColor="text1"/>
        </w:rPr>
        <w:t>Pindyck</w:t>
      </w:r>
      <w:proofErr w:type="spellEnd"/>
      <w:r w:rsidRPr="00B136B7">
        <w:rPr>
          <w:color w:val="000000" w:themeColor="text1"/>
        </w:rPr>
        <w:t xml:space="preserve">, R. S., </w:t>
      </w:r>
      <w:proofErr w:type="spellStart"/>
      <w:r w:rsidRPr="00B136B7">
        <w:rPr>
          <w:color w:val="000000" w:themeColor="text1"/>
        </w:rPr>
        <w:t>Rubinfeld</w:t>
      </w:r>
      <w:proofErr w:type="spellEnd"/>
      <w:r w:rsidRPr="00B136B7">
        <w:rPr>
          <w:color w:val="000000" w:themeColor="text1"/>
        </w:rPr>
        <w:t xml:space="preserve">, D. L. (2013). </w:t>
      </w:r>
      <w:r w:rsidRPr="00B136B7">
        <w:rPr>
          <w:i/>
          <w:color w:val="000000" w:themeColor="text1"/>
        </w:rPr>
        <w:t xml:space="preserve">Mikroekonomija </w:t>
      </w:r>
      <w:r w:rsidRPr="00B136B7">
        <w:rPr>
          <w:color w:val="000000" w:themeColor="text1"/>
        </w:rPr>
        <w:t xml:space="preserve">(7. </w:t>
      </w:r>
      <w:proofErr w:type="spellStart"/>
      <w:r w:rsidRPr="00B136B7">
        <w:rPr>
          <w:color w:val="000000" w:themeColor="text1"/>
        </w:rPr>
        <w:t>izd</w:t>
      </w:r>
      <w:proofErr w:type="spellEnd"/>
      <w:r w:rsidRPr="00B136B7">
        <w:rPr>
          <w:color w:val="000000" w:themeColor="text1"/>
        </w:rPr>
        <w:t>.). Zagreb: Mate.</w:t>
      </w:r>
    </w:p>
    <w:p w14:paraId="5A5BBD7A" w14:textId="77777777" w:rsidR="001A60EE" w:rsidRPr="00B136B7" w:rsidRDefault="001A60EE" w:rsidP="001A60EE">
      <w:pPr>
        <w:numPr>
          <w:ilvl w:val="0"/>
          <w:numId w:val="2"/>
        </w:numPr>
        <w:spacing w:line="360" w:lineRule="auto"/>
        <w:jc w:val="both"/>
        <w:rPr>
          <w:color w:val="000000" w:themeColor="text1"/>
        </w:rPr>
      </w:pPr>
      <w:proofErr w:type="spellStart"/>
      <w:r w:rsidRPr="00B136B7">
        <w:rPr>
          <w:color w:val="000000" w:themeColor="text1"/>
        </w:rPr>
        <w:lastRenderedPageBreak/>
        <w:t>Roodman</w:t>
      </w:r>
      <w:proofErr w:type="spellEnd"/>
      <w:r w:rsidRPr="00B136B7">
        <w:rPr>
          <w:color w:val="000000" w:themeColor="text1"/>
        </w:rPr>
        <w:t xml:space="preserve">, D. (2009). How to do xtabond2: An </w:t>
      </w:r>
      <w:proofErr w:type="spellStart"/>
      <w:r w:rsidRPr="00B136B7">
        <w:rPr>
          <w:color w:val="000000" w:themeColor="text1"/>
        </w:rPr>
        <w:t>introduction</w:t>
      </w:r>
      <w:proofErr w:type="spellEnd"/>
      <w:r w:rsidRPr="00B136B7">
        <w:rPr>
          <w:color w:val="000000" w:themeColor="text1"/>
        </w:rPr>
        <w:t xml:space="preserve"> to </w:t>
      </w:r>
      <w:proofErr w:type="spellStart"/>
      <w:r w:rsidRPr="00B136B7">
        <w:rPr>
          <w:color w:val="000000" w:themeColor="text1"/>
        </w:rPr>
        <w:t>difference</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system GMM </w:t>
      </w:r>
      <w:proofErr w:type="spellStart"/>
      <w:r w:rsidRPr="00B136B7">
        <w:rPr>
          <w:color w:val="000000" w:themeColor="text1"/>
        </w:rPr>
        <w:t>in</w:t>
      </w:r>
      <w:proofErr w:type="spellEnd"/>
      <w:r w:rsidRPr="00B136B7">
        <w:rPr>
          <w:color w:val="000000" w:themeColor="text1"/>
        </w:rPr>
        <w:t xml:space="preserve"> </w:t>
      </w:r>
      <w:proofErr w:type="spellStart"/>
      <w:r w:rsidRPr="00B136B7">
        <w:rPr>
          <w:color w:val="000000" w:themeColor="text1"/>
        </w:rPr>
        <w:t>Stata</w:t>
      </w:r>
      <w:proofErr w:type="spellEnd"/>
      <w:r w:rsidRPr="00B136B7">
        <w:rPr>
          <w:color w:val="000000" w:themeColor="text1"/>
        </w:rPr>
        <w:t xml:space="preserve">. </w:t>
      </w:r>
      <w:proofErr w:type="spellStart"/>
      <w:r w:rsidRPr="00B136B7">
        <w:rPr>
          <w:i/>
          <w:color w:val="000000" w:themeColor="text1"/>
        </w:rPr>
        <w:t>The</w:t>
      </w:r>
      <w:proofErr w:type="spellEnd"/>
      <w:r w:rsidRPr="00B136B7">
        <w:rPr>
          <w:i/>
          <w:color w:val="000000" w:themeColor="text1"/>
        </w:rPr>
        <w:t xml:space="preserve"> </w:t>
      </w:r>
      <w:proofErr w:type="spellStart"/>
      <w:r w:rsidRPr="00B136B7">
        <w:rPr>
          <w:i/>
          <w:color w:val="000000" w:themeColor="text1"/>
        </w:rPr>
        <w:t>Stata</w:t>
      </w:r>
      <w:proofErr w:type="spellEnd"/>
      <w:r w:rsidRPr="00B136B7">
        <w:rPr>
          <w:i/>
          <w:color w:val="000000" w:themeColor="text1"/>
        </w:rPr>
        <w:t xml:space="preserve"> Journal</w:t>
      </w:r>
      <w:r w:rsidRPr="00B136B7">
        <w:rPr>
          <w:color w:val="000000" w:themeColor="text1"/>
        </w:rPr>
        <w:t>, 9(1), 86-95.</w:t>
      </w:r>
    </w:p>
    <w:p w14:paraId="48D54BC1" w14:textId="77777777" w:rsidR="001A60EE" w:rsidRPr="00B136B7" w:rsidRDefault="001A60EE" w:rsidP="001A60EE">
      <w:pPr>
        <w:numPr>
          <w:ilvl w:val="0"/>
          <w:numId w:val="2"/>
        </w:numPr>
        <w:spacing w:line="360" w:lineRule="auto"/>
        <w:jc w:val="both"/>
        <w:rPr>
          <w:color w:val="000000" w:themeColor="text1"/>
        </w:rPr>
      </w:pPr>
      <w:proofErr w:type="spellStart"/>
      <w:r w:rsidRPr="00B136B7">
        <w:rPr>
          <w:color w:val="000000" w:themeColor="text1"/>
        </w:rPr>
        <w:t>Schrimpf</w:t>
      </w:r>
      <w:proofErr w:type="spellEnd"/>
      <w:r w:rsidRPr="00B136B7">
        <w:rPr>
          <w:color w:val="000000" w:themeColor="text1"/>
        </w:rPr>
        <w:t xml:space="preserve">, A., </w:t>
      </w:r>
      <w:proofErr w:type="spellStart"/>
      <w:r w:rsidRPr="00B136B7">
        <w:rPr>
          <w:color w:val="000000" w:themeColor="text1"/>
        </w:rPr>
        <w:t>Shin</w:t>
      </w:r>
      <w:proofErr w:type="spellEnd"/>
      <w:r w:rsidRPr="00B136B7">
        <w:rPr>
          <w:color w:val="000000" w:themeColor="text1"/>
        </w:rPr>
        <w:t xml:space="preserve">, H. S. i </w:t>
      </w:r>
      <w:proofErr w:type="spellStart"/>
      <w:r w:rsidRPr="00B136B7">
        <w:rPr>
          <w:color w:val="000000" w:themeColor="text1"/>
        </w:rPr>
        <w:t>Sushko</w:t>
      </w:r>
      <w:proofErr w:type="spellEnd"/>
      <w:r w:rsidRPr="00B136B7">
        <w:rPr>
          <w:color w:val="000000" w:themeColor="text1"/>
        </w:rPr>
        <w:t xml:space="preserve">, V. (2020). </w:t>
      </w:r>
      <w:proofErr w:type="spellStart"/>
      <w:r w:rsidRPr="00B136B7">
        <w:rPr>
          <w:i/>
          <w:color w:val="000000" w:themeColor="text1"/>
        </w:rPr>
        <w:t>Leverage</w:t>
      </w:r>
      <w:proofErr w:type="spellEnd"/>
      <w:r w:rsidRPr="00B136B7">
        <w:rPr>
          <w:i/>
          <w:color w:val="000000" w:themeColor="text1"/>
        </w:rPr>
        <w:t xml:space="preserve"> </w:t>
      </w:r>
      <w:proofErr w:type="spellStart"/>
      <w:r w:rsidRPr="00B136B7">
        <w:rPr>
          <w:i/>
          <w:color w:val="000000" w:themeColor="text1"/>
        </w:rPr>
        <w:t>and</w:t>
      </w:r>
      <w:proofErr w:type="spellEnd"/>
      <w:r w:rsidRPr="00B136B7">
        <w:rPr>
          <w:i/>
          <w:color w:val="000000" w:themeColor="text1"/>
        </w:rPr>
        <w:t xml:space="preserve"> </w:t>
      </w:r>
      <w:proofErr w:type="spellStart"/>
      <w:r w:rsidRPr="00B136B7">
        <w:rPr>
          <w:i/>
          <w:color w:val="000000" w:themeColor="text1"/>
        </w:rPr>
        <w:t>margin</w:t>
      </w:r>
      <w:proofErr w:type="spellEnd"/>
      <w:r w:rsidRPr="00B136B7">
        <w:rPr>
          <w:i/>
          <w:color w:val="000000" w:themeColor="text1"/>
        </w:rPr>
        <w:t xml:space="preserve"> </w:t>
      </w:r>
      <w:proofErr w:type="spellStart"/>
      <w:r w:rsidRPr="00B136B7">
        <w:rPr>
          <w:i/>
          <w:color w:val="000000" w:themeColor="text1"/>
        </w:rPr>
        <w:t>spirals</w:t>
      </w:r>
      <w:proofErr w:type="spellEnd"/>
      <w:r w:rsidRPr="00B136B7">
        <w:rPr>
          <w:i/>
          <w:color w:val="000000" w:themeColor="text1"/>
        </w:rPr>
        <w:t xml:space="preserve"> </w:t>
      </w:r>
      <w:proofErr w:type="spellStart"/>
      <w:r w:rsidRPr="00B136B7">
        <w:rPr>
          <w:i/>
          <w:color w:val="000000" w:themeColor="text1"/>
        </w:rPr>
        <w:t>in</w:t>
      </w:r>
      <w:proofErr w:type="spellEnd"/>
      <w:r w:rsidRPr="00B136B7">
        <w:rPr>
          <w:i/>
          <w:color w:val="000000" w:themeColor="text1"/>
        </w:rPr>
        <w:t xml:space="preserve"> </w:t>
      </w:r>
      <w:proofErr w:type="spellStart"/>
      <w:r w:rsidRPr="00B136B7">
        <w:rPr>
          <w:i/>
          <w:color w:val="000000" w:themeColor="text1"/>
        </w:rPr>
        <w:t>fixed</w:t>
      </w:r>
      <w:proofErr w:type="spellEnd"/>
      <w:r w:rsidRPr="00B136B7">
        <w:rPr>
          <w:i/>
          <w:color w:val="000000" w:themeColor="text1"/>
        </w:rPr>
        <w:t xml:space="preserve"> </w:t>
      </w:r>
      <w:proofErr w:type="spellStart"/>
      <w:r w:rsidRPr="00B136B7">
        <w:rPr>
          <w:i/>
          <w:color w:val="000000" w:themeColor="text1"/>
        </w:rPr>
        <w:t>income</w:t>
      </w:r>
      <w:proofErr w:type="spellEnd"/>
      <w:r w:rsidRPr="00B136B7">
        <w:rPr>
          <w:i/>
          <w:color w:val="000000" w:themeColor="text1"/>
        </w:rPr>
        <w:t xml:space="preserve"> </w:t>
      </w:r>
      <w:proofErr w:type="spellStart"/>
      <w:r w:rsidRPr="00B136B7">
        <w:rPr>
          <w:i/>
          <w:color w:val="000000" w:themeColor="text1"/>
        </w:rPr>
        <w:t>markets</w:t>
      </w:r>
      <w:proofErr w:type="spellEnd"/>
      <w:r w:rsidRPr="00B136B7">
        <w:rPr>
          <w:i/>
          <w:color w:val="000000" w:themeColor="text1"/>
        </w:rPr>
        <w:t xml:space="preserve"> </w:t>
      </w:r>
      <w:proofErr w:type="spellStart"/>
      <w:r w:rsidRPr="00B136B7">
        <w:rPr>
          <w:i/>
          <w:color w:val="000000" w:themeColor="text1"/>
        </w:rPr>
        <w:t>during</w:t>
      </w:r>
      <w:proofErr w:type="spellEnd"/>
      <w:r w:rsidRPr="00B136B7">
        <w:rPr>
          <w:i/>
          <w:color w:val="000000" w:themeColor="text1"/>
        </w:rPr>
        <w:t xml:space="preserve"> </w:t>
      </w:r>
      <w:proofErr w:type="spellStart"/>
      <w:r w:rsidRPr="00B136B7">
        <w:rPr>
          <w:i/>
          <w:color w:val="000000" w:themeColor="text1"/>
        </w:rPr>
        <w:t>the</w:t>
      </w:r>
      <w:proofErr w:type="spellEnd"/>
      <w:r w:rsidRPr="00B136B7">
        <w:rPr>
          <w:i/>
          <w:color w:val="000000" w:themeColor="text1"/>
        </w:rPr>
        <w:t xml:space="preserve"> COVID-19 </w:t>
      </w:r>
      <w:proofErr w:type="spellStart"/>
      <w:r w:rsidRPr="00B136B7">
        <w:rPr>
          <w:i/>
          <w:color w:val="000000" w:themeColor="text1"/>
        </w:rPr>
        <w:t>crisis</w:t>
      </w:r>
      <w:proofErr w:type="spellEnd"/>
      <w:r w:rsidRPr="00B136B7">
        <w:rPr>
          <w:color w:val="000000" w:themeColor="text1"/>
        </w:rPr>
        <w:t xml:space="preserve">, 1-5. Preuzeto 20.08.2025. s </w:t>
      </w:r>
      <w:hyperlink r:id="rId29">
        <w:r w:rsidRPr="00B136B7">
          <w:rPr>
            <w:color w:val="000000" w:themeColor="text1"/>
          </w:rPr>
          <w:t>www.bis.org/publ/bisbull02.pdf</w:t>
        </w:r>
      </w:hyperlink>
      <w:r w:rsidRPr="00B136B7">
        <w:rPr>
          <w:color w:val="000000" w:themeColor="text1"/>
        </w:rPr>
        <w:t>.</w:t>
      </w:r>
    </w:p>
    <w:p w14:paraId="39C7FDD6" w14:textId="77777777" w:rsidR="001A60EE" w:rsidRPr="00B136B7" w:rsidRDefault="001A60EE" w:rsidP="001A60EE">
      <w:pPr>
        <w:numPr>
          <w:ilvl w:val="0"/>
          <w:numId w:val="2"/>
        </w:numPr>
        <w:spacing w:line="360" w:lineRule="auto"/>
        <w:jc w:val="both"/>
        <w:rPr>
          <w:color w:val="000000" w:themeColor="text1"/>
        </w:rPr>
      </w:pPr>
      <w:r w:rsidRPr="00B136B7">
        <w:rPr>
          <w:color w:val="000000" w:themeColor="text1"/>
        </w:rPr>
        <w:t xml:space="preserve">Šarlija, N. i </w:t>
      </w:r>
      <w:proofErr w:type="spellStart"/>
      <w:r w:rsidRPr="00B136B7">
        <w:rPr>
          <w:color w:val="000000" w:themeColor="text1"/>
        </w:rPr>
        <w:t>Harc</w:t>
      </w:r>
      <w:proofErr w:type="spellEnd"/>
      <w:r w:rsidRPr="00B136B7">
        <w:rPr>
          <w:color w:val="000000" w:themeColor="text1"/>
        </w:rPr>
        <w:t xml:space="preserve">, M. (2012).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impact</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liquidity</w:t>
      </w:r>
      <w:proofErr w:type="spellEnd"/>
      <w:r w:rsidRPr="00B136B7">
        <w:rPr>
          <w:color w:val="000000" w:themeColor="text1"/>
        </w:rPr>
        <w:t xml:space="preserve"> on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capital</w:t>
      </w:r>
      <w:proofErr w:type="spellEnd"/>
      <w:r w:rsidRPr="00B136B7">
        <w:rPr>
          <w:color w:val="000000" w:themeColor="text1"/>
        </w:rPr>
        <w:t xml:space="preserve"> </w:t>
      </w:r>
      <w:proofErr w:type="spellStart"/>
      <w:r w:rsidRPr="00B136B7">
        <w:rPr>
          <w:color w:val="000000" w:themeColor="text1"/>
        </w:rPr>
        <w:t>structure</w:t>
      </w:r>
      <w:proofErr w:type="spellEnd"/>
      <w:r w:rsidRPr="00B136B7">
        <w:rPr>
          <w:color w:val="000000" w:themeColor="text1"/>
        </w:rPr>
        <w:t xml:space="preserve">: A </w:t>
      </w:r>
      <w:proofErr w:type="spellStart"/>
      <w:r w:rsidRPr="00B136B7">
        <w:rPr>
          <w:color w:val="000000" w:themeColor="text1"/>
        </w:rPr>
        <w:t>case</w:t>
      </w:r>
      <w:proofErr w:type="spellEnd"/>
      <w:r w:rsidRPr="00B136B7">
        <w:rPr>
          <w:color w:val="000000" w:themeColor="text1"/>
        </w:rPr>
        <w:t xml:space="preserve"> </w:t>
      </w:r>
      <w:proofErr w:type="spellStart"/>
      <w:r w:rsidRPr="00B136B7">
        <w:rPr>
          <w:color w:val="000000" w:themeColor="text1"/>
        </w:rPr>
        <w:t>study</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Croatian </w:t>
      </w:r>
      <w:proofErr w:type="spellStart"/>
      <w:r w:rsidRPr="00B136B7">
        <w:rPr>
          <w:color w:val="000000" w:themeColor="text1"/>
        </w:rPr>
        <w:t>firms</w:t>
      </w:r>
      <w:proofErr w:type="spellEnd"/>
      <w:r w:rsidRPr="00B136B7">
        <w:rPr>
          <w:color w:val="000000" w:themeColor="text1"/>
        </w:rPr>
        <w:t xml:space="preserve">. </w:t>
      </w:r>
      <w:r w:rsidRPr="00B136B7">
        <w:rPr>
          <w:i/>
          <w:color w:val="000000" w:themeColor="text1"/>
        </w:rPr>
        <w:t xml:space="preserve">UTMS Journal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Economics</w:t>
      </w:r>
      <w:proofErr w:type="spellEnd"/>
      <w:r w:rsidRPr="00B136B7">
        <w:rPr>
          <w:color w:val="000000" w:themeColor="text1"/>
        </w:rPr>
        <w:t xml:space="preserve">, 3(3), 34-36. Preuzeto 20.08.2025. s </w:t>
      </w:r>
      <w:hyperlink r:id="rId30">
        <w:r w:rsidRPr="00B136B7">
          <w:rPr>
            <w:color w:val="000000" w:themeColor="text1"/>
          </w:rPr>
          <w:t>https://sciendo.com/article/10.2478/v10305-012-0005-1</w:t>
        </w:r>
      </w:hyperlink>
    </w:p>
    <w:p w14:paraId="697348D6" w14:textId="77777777" w:rsidR="001A60EE" w:rsidRPr="00B136B7" w:rsidRDefault="001A60EE" w:rsidP="001A60EE">
      <w:pPr>
        <w:numPr>
          <w:ilvl w:val="0"/>
          <w:numId w:val="2"/>
        </w:numPr>
        <w:spacing w:line="360" w:lineRule="auto"/>
        <w:jc w:val="both"/>
        <w:rPr>
          <w:color w:val="000000" w:themeColor="text1"/>
        </w:rPr>
      </w:pPr>
      <w:proofErr w:type="spellStart"/>
      <w:r w:rsidRPr="00B136B7">
        <w:rPr>
          <w:color w:val="000000" w:themeColor="text1"/>
        </w:rPr>
        <w:t>Shim</w:t>
      </w:r>
      <w:proofErr w:type="spellEnd"/>
      <w:r w:rsidRPr="00B136B7">
        <w:rPr>
          <w:color w:val="000000" w:themeColor="text1"/>
        </w:rPr>
        <w:t xml:space="preserve">, J. K., </w:t>
      </w:r>
      <w:proofErr w:type="spellStart"/>
      <w:r w:rsidRPr="00B136B7">
        <w:rPr>
          <w:color w:val="000000" w:themeColor="text1"/>
        </w:rPr>
        <w:t>Siegel</w:t>
      </w:r>
      <w:proofErr w:type="spellEnd"/>
      <w:r w:rsidRPr="00B136B7">
        <w:rPr>
          <w:color w:val="000000" w:themeColor="text1"/>
        </w:rPr>
        <w:t xml:space="preserve">, J. G. (2007). </w:t>
      </w:r>
      <w:r w:rsidRPr="00B136B7">
        <w:rPr>
          <w:i/>
          <w:color w:val="000000" w:themeColor="text1"/>
        </w:rPr>
        <w:t>Upravljačke financije</w:t>
      </w:r>
      <w:r w:rsidRPr="00B136B7">
        <w:rPr>
          <w:color w:val="000000" w:themeColor="text1"/>
        </w:rPr>
        <w:t xml:space="preserve">. Zagreb: </w:t>
      </w:r>
      <w:proofErr w:type="spellStart"/>
      <w:r w:rsidRPr="00B136B7">
        <w:rPr>
          <w:color w:val="000000" w:themeColor="text1"/>
        </w:rPr>
        <w:t>Zgombić</w:t>
      </w:r>
      <w:proofErr w:type="spellEnd"/>
      <w:r w:rsidRPr="00B136B7">
        <w:rPr>
          <w:color w:val="000000" w:themeColor="text1"/>
        </w:rPr>
        <w:t xml:space="preserve"> i partneri.</w:t>
      </w:r>
    </w:p>
    <w:p w14:paraId="496E99D9" w14:textId="45F62DD4" w:rsidR="001A60EE" w:rsidRPr="00B136B7" w:rsidRDefault="001A60EE" w:rsidP="002B203E">
      <w:pPr>
        <w:numPr>
          <w:ilvl w:val="0"/>
          <w:numId w:val="2"/>
        </w:numPr>
        <w:spacing w:line="360" w:lineRule="auto"/>
        <w:jc w:val="both"/>
        <w:rPr>
          <w:color w:val="000000" w:themeColor="text1"/>
        </w:rPr>
      </w:pPr>
      <w:r w:rsidRPr="00B136B7">
        <w:rPr>
          <w:color w:val="000000" w:themeColor="text1"/>
        </w:rPr>
        <w:t xml:space="preserve">Mostarac, E. i Petrović, S. (2013). </w:t>
      </w:r>
      <w:proofErr w:type="spellStart"/>
      <w:r w:rsidRPr="00B136B7">
        <w:rPr>
          <w:color w:val="000000" w:themeColor="text1"/>
        </w:rPr>
        <w:t>Determinants</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w:t>
      </w:r>
      <w:proofErr w:type="spellStart"/>
      <w:r w:rsidRPr="00B136B7">
        <w:rPr>
          <w:color w:val="000000" w:themeColor="text1"/>
        </w:rPr>
        <w:t>capital</w:t>
      </w:r>
      <w:proofErr w:type="spellEnd"/>
      <w:r w:rsidRPr="00B136B7">
        <w:rPr>
          <w:color w:val="000000" w:themeColor="text1"/>
        </w:rPr>
        <w:t xml:space="preserve"> </w:t>
      </w:r>
      <w:proofErr w:type="spellStart"/>
      <w:r w:rsidRPr="00B136B7">
        <w:rPr>
          <w:color w:val="000000" w:themeColor="text1"/>
        </w:rPr>
        <w:t>structure</w:t>
      </w:r>
      <w:proofErr w:type="spellEnd"/>
      <w:r w:rsidRPr="00B136B7">
        <w:rPr>
          <w:color w:val="000000" w:themeColor="text1"/>
        </w:rPr>
        <w:t xml:space="preserve"> </w:t>
      </w:r>
      <w:proofErr w:type="spellStart"/>
      <w:r w:rsidRPr="00B136B7">
        <w:rPr>
          <w:color w:val="000000" w:themeColor="text1"/>
        </w:rPr>
        <w:t>of</w:t>
      </w:r>
      <w:proofErr w:type="spellEnd"/>
      <w:r w:rsidRPr="00B136B7">
        <w:rPr>
          <w:color w:val="000000" w:themeColor="text1"/>
        </w:rPr>
        <w:t xml:space="preserve"> Croatian </w:t>
      </w:r>
      <w:proofErr w:type="spellStart"/>
      <w:r w:rsidRPr="00B136B7">
        <w:rPr>
          <w:color w:val="000000" w:themeColor="text1"/>
        </w:rPr>
        <w:t>enterprises</w:t>
      </w:r>
      <w:proofErr w:type="spellEnd"/>
      <w:r w:rsidRPr="00B136B7">
        <w:rPr>
          <w:color w:val="000000" w:themeColor="text1"/>
        </w:rPr>
        <w:t xml:space="preserve"> </w:t>
      </w:r>
      <w:proofErr w:type="spellStart"/>
      <w:r w:rsidRPr="00B136B7">
        <w:rPr>
          <w:color w:val="000000" w:themeColor="text1"/>
        </w:rPr>
        <w:t>before</w:t>
      </w:r>
      <w:proofErr w:type="spellEnd"/>
      <w:r w:rsidRPr="00B136B7">
        <w:rPr>
          <w:color w:val="000000" w:themeColor="text1"/>
        </w:rPr>
        <w:t xml:space="preserve"> </w:t>
      </w:r>
      <w:proofErr w:type="spellStart"/>
      <w:r w:rsidRPr="00B136B7">
        <w:rPr>
          <w:color w:val="000000" w:themeColor="text1"/>
        </w:rPr>
        <w:t>and</w:t>
      </w:r>
      <w:proofErr w:type="spellEnd"/>
      <w:r w:rsidRPr="00B136B7">
        <w:rPr>
          <w:color w:val="000000" w:themeColor="text1"/>
        </w:rPr>
        <w:t xml:space="preserve"> </w:t>
      </w:r>
      <w:proofErr w:type="spellStart"/>
      <w:r w:rsidRPr="00B136B7">
        <w:rPr>
          <w:color w:val="000000" w:themeColor="text1"/>
        </w:rPr>
        <w:t>during</w:t>
      </w:r>
      <w:proofErr w:type="spellEnd"/>
      <w:r w:rsidRPr="00B136B7">
        <w:rPr>
          <w:color w:val="000000" w:themeColor="text1"/>
        </w:rPr>
        <w:t xml:space="preserve"> </w:t>
      </w:r>
      <w:proofErr w:type="spellStart"/>
      <w:r w:rsidRPr="00B136B7">
        <w:rPr>
          <w:color w:val="000000" w:themeColor="text1"/>
        </w:rPr>
        <w:t>the</w:t>
      </w:r>
      <w:proofErr w:type="spellEnd"/>
      <w:r w:rsidRPr="00B136B7">
        <w:rPr>
          <w:color w:val="000000" w:themeColor="text1"/>
        </w:rPr>
        <w:t xml:space="preserve"> </w:t>
      </w:r>
      <w:proofErr w:type="spellStart"/>
      <w:r w:rsidRPr="00B136B7">
        <w:rPr>
          <w:color w:val="000000" w:themeColor="text1"/>
        </w:rPr>
        <w:t>financial</w:t>
      </w:r>
      <w:proofErr w:type="spellEnd"/>
      <w:r w:rsidRPr="00B136B7">
        <w:rPr>
          <w:color w:val="000000" w:themeColor="text1"/>
        </w:rPr>
        <w:t xml:space="preserve"> </w:t>
      </w:r>
      <w:proofErr w:type="spellStart"/>
      <w:r w:rsidRPr="00B136B7">
        <w:rPr>
          <w:color w:val="000000" w:themeColor="text1"/>
        </w:rPr>
        <w:t>crisis</w:t>
      </w:r>
      <w:proofErr w:type="spellEnd"/>
      <w:r w:rsidRPr="00B136B7">
        <w:rPr>
          <w:color w:val="000000" w:themeColor="text1"/>
        </w:rPr>
        <w:t>.</w:t>
      </w:r>
      <w:r w:rsidRPr="00B136B7">
        <w:rPr>
          <w:i/>
          <w:color w:val="000000" w:themeColor="text1"/>
        </w:rPr>
        <w:t xml:space="preserve"> UTMS Journal </w:t>
      </w:r>
      <w:proofErr w:type="spellStart"/>
      <w:r w:rsidRPr="00B136B7">
        <w:rPr>
          <w:i/>
          <w:color w:val="000000" w:themeColor="text1"/>
        </w:rPr>
        <w:t>of</w:t>
      </w:r>
      <w:proofErr w:type="spellEnd"/>
      <w:r w:rsidRPr="00B136B7">
        <w:rPr>
          <w:i/>
          <w:color w:val="000000" w:themeColor="text1"/>
        </w:rPr>
        <w:t xml:space="preserve"> </w:t>
      </w:r>
      <w:proofErr w:type="spellStart"/>
      <w:r w:rsidRPr="00B136B7">
        <w:rPr>
          <w:i/>
          <w:color w:val="000000" w:themeColor="text1"/>
        </w:rPr>
        <w:t>Economics</w:t>
      </w:r>
      <w:proofErr w:type="spellEnd"/>
      <w:r w:rsidRPr="00B136B7">
        <w:rPr>
          <w:color w:val="000000" w:themeColor="text1"/>
        </w:rPr>
        <w:t>, 4(2), 153</w:t>
      </w:r>
      <w:r w:rsidR="002B203E" w:rsidRPr="00B136B7">
        <w:rPr>
          <w:color w:val="000000" w:themeColor="text1"/>
        </w:rPr>
        <w:t>-</w:t>
      </w:r>
      <w:r w:rsidRPr="00B136B7">
        <w:rPr>
          <w:color w:val="000000" w:themeColor="text1"/>
        </w:rPr>
        <w:t xml:space="preserve">162. Preuzeto 20.08.2025. s </w:t>
      </w:r>
      <w:hyperlink r:id="rId31">
        <w:r w:rsidRPr="00B136B7">
          <w:rPr>
            <w:color w:val="000000" w:themeColor="text1"/>
          </w:rPr>
          <w:t>https://www.econstor.eu/bitstream/10419/105313/1/766688496.pdf</w:t>
        </w:r>
      </w:hyperlink>
      <w:r w:rsidRPr="00B136B7">
        <w:rPr>
          <w:color w:val="000000" w:themeColor="text1"/>
        </w:rPr>
        <w:t>.</w:t>
      </w:r>
    </w:p>
    <w:p w14:paraId="6CEF0B4C" w14:textId="457995AB" w:rsidR="00613CD0" w:rsidRPr="00B136B7" w:rsidRDefault="001A60EE" w:rsidP="000B4398">
      <w:pPr>
        <w:numPr>
          <w:ilvl w:val="0"/>
          <w:numId w:val="2"/>
        </w:numPr>
        <w:spacing w:line="360" w:lineRule="auto"/>
        <w:jc w:val="both"/>
        <w:rPr>
          <w:color w:val="000000" w:themeColor="text1"/>
        </w:rPr>
      </w:pPr>
      <w:proofErr w:type="spellStart"/>
      <w:r w:rsidRPr="00B136B7">
        <w:rPr>
          <w:color w:val="000000" w:themeColor="text1"/>
        </w:rPr>
        <w:t>Učkar</w:t>
      </w:r>
      <w:proofErr w:type="spellEnd"/>
      <w:r w:rsidRPr="00B136B7">
        <w:rPr>
          <w:color w:val="000000" w:themeColor="text1"/>
        </w:rPr>
        <w:t xml:space="preserve">, D. i </w:t>
      </w:r>
      <w:proofErr w:type="spellStart"/>
      <w:r w:rsidRPr="00B136B7">
        <w:rPr>
          <w:color w:val="000000" w:themeColor="text1"/>
        </w:rPr>
        <w:t>Urti</w:t>
      </w:r>
      <w:proofErr w:type="spellEnd"/>
      <w:r w:rsidRPr="00B136B7">
        <w:rPr>
          <w:color w:val="000000" w:themeColor="text1"/>
        </w:rPr>
        <w:t xml:space="preserve">, J. (2015). Utjecaj financijske strukture na profitabilnost hrvatskih poduzeća. </w:t>
      </w:r>
      <w:r w:rsidRPr="00B136B7">
        <w:rPr>
          <w:i/>
          <w:color w:val="000000" w:themeColor="text1"/>
        </w:rPr>
        <w:t>Fakultet ekonomije i turizma „Dr. Mijo Mirković“, Sveučilište Jurja Dobrile u Puli</w:t>
      </w:r>
      <w:r w:rsidRPr="00B136B7">
        <w:rPr>
          <w:color w:val="000000" w:themeColor="text1"/>
        </w:rPr>
        <w:t xml:space="preserve">, 17-20. Preuzeto 20.08.2025. s </w:t>
      </w:r>
      <w:hyperlink r:id="rId32" w:history="1">
        <w:r w:rsidR="00613CD0" w:rsidRPr="00B136B7">
          <w:rPr>
            <w:rStyle w:val="Hiperveza"/>
            <w:color w:val="000000" w:themeColor="text1"/>
            <w:u w:val="none"/>
          </w:rPr>
          <w:t>https://hrcak.srce.hr/file/225882</w:t>
        </w:r>
      </w:hyperlink>
    </w:p>
    <w:p w14:paraId="371F73DB" w14:textId="77777777" w:rsidR="00613CD0" w:rsidRDefault="00613CD0">
      <w:r>
        <w:br w:type="page"/>
      </w:r>
    </w:p>
    <w:p w14:paraId="16B566D7" w14:textId="77777777" w:rsidR="006350D4" w:rsidRDefault="00FC27BD" w:rsidP="006350D4">
      <w:pPr>
        <w:pStyle w:val="Naslov2"/>
        <w:numPr>
          <w:ilvl w:val="0"/>
          <w:numId w:val="7"/>
        </w:numPr>
        <w:spacing w:after="0"/>
      </w:pPr>
      <w:bookmarkStart w:id="86" w:name="_d7tnvzuw68fi" w:colFirst="0" w:colLast="0"/>
      <w:bookmarkEnd w:id="86"/>
      <w:r>
        <w:lastRenderedPageBreak/>
        <w:t xml:space="preserve"> </w:t>
      </w:r>
      <w:bookmarkStart w:id="87" w:name="_Toc207275902"/>
      <w:r w:rsidR="008A09CC">
        <w:t>Sažetak</w:t>
      </w:r>
      <w:bookmarkStart w:id="88" w:name="_3x9wq49nz4u9" w:colFirst="0" w:colLast="0"/>
      <w:bookmarkEnd w:id="87"/>
      <w:bookmarkEnd w:id="88"/>
    </w:p>
    <w:p w14:paraId="0573471A" w14:textId="77777777" w:rsidR="006350D4" w:rsidRDefault="006350D4" w:rsidP="006350D4"/>
    <w:p w14:paraId="2EB39D92" w14:textId="77777777" w:rsidR="006350D4" w:rsidRDefault="006350D4" w:rsidP="006350D4">
      <w:pPr>
        <w:spacing w:line="360" w:lineRule="auto"/>
        <w:jc w:val="both"/>
        <w:rPr>
          <w:lang w:val="hr-HR"/>
        </w:rPr>
      </w:pPr>
      <w:r w:rsidRPr="006350D4">
        <w:rPr>
          <w:lang w:val="hr-HR"/>
        </w:rPr>
        <w:t xml:space="preserve">Ovim radom analizira se odnos između financijske poluge i likvidnosti poduzeća u Hrvatskoj, s naglaskom na sektorske razlike i promjene kroz vrijeme. Istraživanje obuhvaća 784 poduzeća iz četiri sektora: prerađivačke industrije (C), prijevoza i skladištenja (H), pružanja smještaja te pripreme i usluživanja hrane (I) te administrativnih i pomoćnih usluga (N), u razdoblju od 2008. do 2023. godine. Korišten je dinamički panel model (GMM </w:t>
      </w:r>
      <w:proofErr w:type="spellStart"/>
      <w:r w:rsidRPr="006350D4">
        <w:rPr>
          <w:lang w:val="hr-HR"/>
        </w:rPr>
        <w:t>Arellano</w:t>
      </w:r>
      <w:proofErr w:type="spellEnd"/>
      <w:r w:rsidRPr="006350D4">
        <w:rPr>
          <w:lang w:val="hr-HR"/>
        </w:rPr>
        <w:t>–Bond) kako bi se uvažila inercija zavisne varijable i smanjila pristranost uzrokovana endogenošću.</w:t>
      </w:r>
    </w:p>
    <w:p w14:paraId="34045F52" w14:textId="77777777" w:rsidR="006350D4" w:rsidRPr="006350D4" w:rsidRDefault="006350D4" w:rsidP="006350D4">
      <w:pPr>
        <w:spacing w:line="360" w:lineRule="auto"/>
        <w:jc w:val="both"/>
        <w:rPr>
          <w:lang w:val="hr-HR"/>
        </w:rPr>
      </w:pPr>
    </w:p>
    <w:p w14:paraId="3BB0A469" w14:textId="4FD3103A" w:rsidR="006350D4" w:rsidRDefault="006350D4" w:rsidP="006350D4">
      <w:pPr>
        <w:spacing w:line="360" w:lineRule="auto"/>
        <w:jc w:val="both"/>
        <w:rPr>
          <w:lang w:val="hr-HR"/>
        </w:rPr>
      </w:pPr>
      <w:r w:rsidRPr="006350D4">
        <w:rPr>
          <w:lang w:val="hr-HR"/>
        </w:rPr>
        <w:t xml:space="preserve">Rezultati pokazuju da likvidnost pokazuje stabilnost u sektorima C, I </w:t>
      </w:r>
      <w:proofErr w:type="spellStart"/>
      <w:r w:rsidRPr="006350D4">
        <w:rPr>
          <w:lang w:val="hr-HR"/>
        </w:rPr>
        <w:t>i</w:t>
      </w:r>
      <w:proofErr w:type="spellEnd"/>
      <w:r w:rsidRPr="006350D4">
        <w:rPr>
          <w:lang w:val="hr-HR"/>
        </w:rPr>
        <w:t xml:space="preserve"> N, dok u sektoru H nije potvrđena postojanost likvidnosti kroz vrijeme. Utjecaj financijske poluge varira među sektorima: u prerađivačkoj industriji i logistici povezana je s višom likvidnošću, dok je u sektorima turizma i administrativnih djelatnosti taj odnos nestabilniji zbog </w:t>
      </w:r>
      <w:proofErr w:type="spellStart"/>
      <w:r w:rsidRPr="006350D4">
        <w:rPr>
          <w:lang w:val="hr-HR"/>
        </w:rPr>
        <w:t>sezonalnosti</w:t>
      </w:r>
      <w:proofErr w:type="spellEnd"/>
      <w:r w:rsidRPr="006350D4">
        <w:rPr>
          <w:lang w:val="hr-HR"/>
        </w:rPr>
        <w:t xml:space="preserve"> i dinamike</w:t>
      </w:r>
      <w:r w:rsidR="005F5D01">
        <w:rPr>
          <w:lang w:val="hr-HR"/>
        </w:rPr>
        <w:t xml:space="preserve"> poslovanja</w:t>
      </w:r>
      <w:r w:rsidRPr="006350D4">
        <w:rPr>
          <w:lang w:val="hr-HR"/>
        </w:rPr>
        <w:t xml:space="preserve">. Kontrolne varijable potvrđuju važnost profitabilnosti i kapitalne intenzivnosti u oblikovanju </w:t>
      </w:r>
      <w:proofErr w:type="spellStart"/>
      <w:r w:rsidRPr="006350D4">
        <w:rPr>
          <w:lang w:val="hr-HR"/>
        </w:rPr>
        <w:t>likvidnosnih</w:t>
      </w:r>
      <w:proofErr w:type="spellEnd"/>
      <w:r w:rsidRPr="006350D4">
        <w:rPr>
          <w:lang w:val="hr-HR"/>
        </w:rPr>
        <w:t xml:space="preserve"> politika poduzeća.</w:t>
      </w:r>
    </w:p>
    <w:p w14:paraId="1EDC9940" w14:textId="77777777" w:rsidR="006350D4" w:rsidRPr="006350D4" w:rsidRDefault="006350D4" w:rsidP="006350D4">
      <w:pPr>
        <w:spacing w:line="360" w:lineRule="auto"/>
        <w:jc w:val="both"/>
        <w:rPr>
          <w:lang w:val="hr-HR"/>
        </w:rPr>
      </w:pPr>
    </w:p>
    <w:p w14:paraId="02A016BB" w14:textId="4093E534" w:rsidR="006350D4" w:rsidRDefault="006350D4" w:rsidP="006350D4">
      <w:pPr>
        <w:spacing w:line="360" w:lineRule="auto"/>
        <w:jc w:val="both"/>
        <w:rPr>
          <w:lang w:val="hr-HR"/>
        </w:rPr>
      </w:pPr>
      <w:r w:rsidRPr="006350D4">
        <w:rPr>
          <w:lang w:val="hr-HR"/>
        </w:rPr>
        <w:t xml:space="preserve">Ovi </w:t>
      </w:r>
      <w:r w:rsidR="00C108F2">
        <w:rPr>
          <w:lang w:val="hr-HR"/>
        </w:rPr>
        <w:t>rezultati</w:t>
      </w:r>
      <w:r w:rsidRPr="006350D4">
        <w:rPr>
          <w:lang w:val="hr-HR"/>
        </w:rPr>
        <w:t xml:space="preserve"> potvrđuju većinu globalnih teorijskih pretpostavki, ali ističu specifičnosti hrvatskog tržišta te upućuju na važnost sektorskog pristupa u financijskom odlučivanju.</w:t>
      </w:r>
    </w:p>
    <w:p w14:paraId="02528226" w14:textId="77777777" w:rsidR="007651C1" w:rsidRDefault="007651C1" w:rsidP="006350D4">
      <w:pPr>
        <w:spacing w:line="360" w:lineRule="auto"/>
        <w:jc w:val="both"/>
        <w:rPr>
          <w:lang w:val="hr-HR"/>
        </w:rPr>
      </w:pPr>
    </w:p>
    <w:p w14:paraId="6718F83C" w14:textId="627EF70B" w:rsidR="007651C1" w:rsidRPr="006350D4" w:rsidRDefault="007651C1" w:rsidP="006350D4">
      <w:pPr>
        <w:spacing w:line="360" w:lineRule="auto"/>
        <w:jc w:val="both"/>
        <w:rPr>
          <w:lang w:val="hr-HR"/>
        </w:rPr>
      </w:pPr>
      <w:r w:rsidRPr="00063CAD">
        <w:rPr>
          <w:b/>
          <w:bCs/>
          <w:lang w:val="hr-HR"/>
        </w:rPr>
        <w:t>Ključne riječi:</w:t>
      </w:r>
      <w:r>
        <w:rPr>
          <w:lang w:val="hr-HR"/>
        </w:rPr>
        <w:t xml:space="preserve"> </w:t>
      </w:r>
      <w:r w:rsidRPr="007651C1">
        <w:t>financijska poluga, likvidnost, dinamički panel model, sektorska analiza, struktura kapitala</w:t>
      </w:r>
    </w:p>
    <w:p w14:paraId="4B47FC9F" w14:textId="4F122070" w:rsidR="00613CD0" w:rsidRPr="006350D4" w:rsidRDefault="00613CD0" w:rsidP="006350D4">
      <w:pPr>
        <w:rPr>
          <w:sz w:val="32"/>
          <w:szCs w:val="32"/>
        </w:rPr>
      </w:pPr>
      <w:r>
        <w:br w:type="page"/>
      </w:r>
    </w:p>
    <w:p w14:paraId="495D792D" w14:textId="32F52942" w:rsidR="00613CD0" w:rsidRDefault="008A09CC" w:rsidP="007A371C">
      <w:pPr>
        <w:pStyle w:val="Naslov2"/>
        <w:numPr>
          <w:ilvl w:val="0"/>
          <w:numId w:val="7"/>
        </w:numPr>
        <w:spacing w:after="0"/>
      </w:pPr>
      <w:bookmarkStart w:id="89" w:name="_Toc207275903"/>
      <w:r>
        <w:lastRenderedPageBreak/>
        <w:t>Summary</w:t>
      </w:r>
      <w:bookmarkEnd w:id="89"/>
    </w:p>
    <w:p w14:paraId="658A3C59" w14:textId="77777777" w:rsidR="00353EC0" w:rsidRDefault="00353EC0"/>
    <w:p w14:paraId="24CD369E" w14:textId="5ACBC0B9" w:rsidR="00353EC0" w:rsidRDefault="00353EC0" w:rsidP="00353EC0">
      <w:pPr>
        <w:spacing w:line="360" w:lineRule="auto"/>
        <w:jc w:val="both"/>
        <w:rPr>
          <w:lang w:val="hr-HR"/>
        </w:rPr>
      </w:pPr>
      <w:proofErr w:type="spellStart"/>
      <w:r w:rsidRPr="00353EC0">
        <w:rPr>
          <w:lang w:val="hr-HR"/>
        </w:rPr>
        <w:t>This</w:t>
      </w:r>
      <w:proofErr w:type="spellEnd"/>
      <w:r w:rsidRPr="00353EC0">
        <w:rPr>
          <w:lang w:val="hr-HR"/>
        </w:rPr>
        <w:t xml:space="preserve"> </w:t>
      </w:r>
      <w:proofErr w:type="spellStart"/>
      <w:r w:rsidRPr="00353EC0">
        <w:rPr>
          <w:lang w:val="hr-HR"/>
        </w:rPr>
        <w:t>paper</w:t>
      </w:r>
      <w:proofErr w:type="spellEnd"/>
      <w:r w:rsidRPr="00353EC0">
        <w:rPr>
          <w:lang w:val="hr-HR"/>
        </w:rPr>
        <w:t xml:space="preserve"> </w:t>
      </w:r>
      <w:proofErr w:type="spellStart"/>
      <w:r w:rsidRPr="00353EC0">
        <w:rPr>
          <w:lang w:val="hr-HR"/>
        </w:rPr>
        <w:t>analyzes</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relationship</w:t>
      </w:r>
      <w:proofErr w:type="spellEnd"/>
      <w:r w:rsidRPr="00353EC0">
        <w:rPr>
          <w:lang w:val="hr-HR"/>
        </w:rPr>
        <w:t xml:space="preserve"> </w:t>
      </w:r>
      <w:proofErr w:type="spellStart"/>
      <w:r w:rsidRPr="00353EC0">
        <w:rPr>
          <w:lang w:val="hr-HR"/>
        </w:rPr>
        <w:t>between</w:t>
      </w:r>
      <w:proofErr w:type="spellEnd"/>
      <w:r w:rsidRPr="00353EC0">
        <w:rPr>
          <w:lang w:val="hr-HR"/>
        </w:rPr>
        <w:t xml:space="preserve"> </w:t>
      </w:r>
      <w:proofErr w:type="spellStart"/>
      <w:r w:rsidRPr="00353EC0">
        <w:rPr>
          <w:lang w:val="hr-HR"/>
        </w:rPr>
        <w:t>financial</w:t>
      </w:r>
      <w:proofErr w:type="spellEnd"/>
      <w:r w:rsidRPr="00353EC0">
        <w:rPr>
          <w:lang w:val="hr-HR"/>
        </w:rPr>
        <w:t xml:space="preserve"> </w:t>
      </w:r>
      <w:proofErr w:type="spellStart"/>
      <w:r w:rsidRPr="00353EC0">
        <w:rPr>
          <w:lang w:val="hr-HR"/>
        </w:rPr>
        <w:t>leverage</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corporate</w:t>
      </w:r>
      <w:proofErr w:type="spellEnd"/>
      <w:r w:rsidRPr="00353EC0">
        <w:rPr>
          <w:lang w:val="hr-HR"/>
        </w:rPr>
        <w:t xml:space="preserve"> </w:t>
      </w:r>
      <w:proofErr w:type="spellStart"/>
      <w:r w:rsidRPr="00353EC0">
        <w:rPr>
          <w:lang w:val="hr-HR"/>
        </w:rPr>
        <w:t>liquidity</w:t>
      </w:r>
      <w:proofErr w:type="spellEnd"/>
      <w:r w:rsidRPr="00353EC0">
        <w:rPr>
          <w:lang w:val="hr-HR"/>
        </w:rPr>
        <w:t xml:space="preserve"> </w:t>
      </w:r>
      <w:proofErr w:type="spellStart"/>
      <w:r w:rsidRPr="00353EC0">
        <w:rPr>
          <w:lang w:val="hr-HR"/>
        </w:rPr>
        <w:t>in</w:t>
      </w:r>
      <w:proofErr w:type="spellEnd"/>
      <w:r w:rsidRPr="00353EC0">
        <w:rPr>
          <w:lang w:val="hr-HR"/>
        </w:rPr>
        <w:t xml:space="preserve"> Croatia, </w:t>
      </w:r>
      <w:proofErr w:type="spellStart"/>
      <w:r w:rsidRPr="00353EC0">
        <w:rPr>
          <w:lang w:val="hr-HR"/>
        </w:rPr>
        <w:t>with</w:t>
      </w:r>
      <w:proofErr w:type="spellEnd"/>
      <w:r w:rsidRPr="00353EC0">
        <w:rPr>
          <w:lang w:val="hr-HR"/>
        </w:rPr>
        <w:t xml:space="preserve"> a </w:t>
      </w:r>
      <w:proofErr w:type="spellStart"/>
      <w:r w:rsidRPr="00353EC0">
        <w:rPr>
          <w:lang w:val="hr-HR"/>
        </w:rPr>
        <w:t>focus</w:t>
      </w:r>
      <w:proofErr w:type="spellEnd"/>
      <w:r w:rsidRPr="00353EC0">
        <w:rPr>
          <w:lang w:val="hr-HR"/>
        </w:rPr>
        <w:t xml:space="preserve"> on </w:t>
      </w:r>
      <w:proofErr w:type="spellStart"/>
      <w:r w:rsidRPr="00353EC0">
        <w:rPr>
          <w:lang w:val="hr-HR"/>
        </w:rPr>
        <w:t>sectoral</w:t>
      </w:r>
      <w:proofErr w:type="spellEnd"/>
      <w:r w:rsidRPr="00353EC0">
        <w:rPr>
          <w:lang w:val="hr-HR"/>
        </w:rPr>
        <w:t xml:space="preserve"> </w:t>
      </w:r>
      <w:proofErr w:type="spellStart"/>
      <w:r w:rsidRPr="00353EC0">
        <w:rPr>
          <w:lang w:val="hr-HR"/>
        </w:rPr>
        <w:t>differences</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changes</w:t>
      </w:r>
      <w:proofErr w:type="spellEnd"/>
      <w:r w:rsidRPr="00353EC0">
        <w:rPr>
          <w:lang w:val="hr-HR"/>
        </w:rPr>
        <w:t xml:space="preserve"> </w:t>
      </w:r>
      <w:proofErr w:type="spellStart"/>
      <w:r w:rsidRPr="00353EC0">
        <w:rPr>
          <w:lang w:val="hr-HR"/>
        </w:rPr>
        <w:t>over</w:t>
      </w:r>
      <w:proofErr w:type="spellEnd"/>
      <w:r w:rsidRPr="00353EC0">
        <w:rPr>
          <w:lang w:val="hr-HR"/>
        </w:rPr>
        <w:t xml:space="preserve"> time. </w:t>
      </w:r>
      <w:proofErr w:type="spellStart"/>
      <w:r w:rsidRPr="00353EC0">
        <w:rPr>
          <w:lang w:val="hr-HR"/>
        </w:rPr>
        <w:t>The</w:t>
      </w:r>
      <w:proofErr w:type="spellEnd"/>
      <w:r w:rsidRPr="00353EC0">
        <w:rPr>
          <w:lang w:val="hr-HR"/>
        </w:rPr>
        <w:t xml:space="preserve"> </w:t>
      </w:r>
      <w:proofErr w:type="spellStart"/>
      <w:r w:rsidRPr="00353EC0">
        <w:rPr>
          <w:lang w:val="hr-HR"/>
        </w:rPr>
        <w:t>research</w:t>
      </w:r>
      <w:proofErr w:type="spellEnd"/>
      <w:r w:rsidRPr="00353EC0">
        <w:rPr>
          <w:lang w:val="hr-HR"/>
        </w:rPr>
        <w:t xml:space="preserve"> </w:t>
      </w:r>
      <w:proofErr w:type="spellStart"/>
      <w:r w:rsidRPr="00353EC0">
        <w:rPr>
          <w:lang w:val="hr-HR"/>
        </w:rPr>
        <w:t>covers</w:t>
      </w:r>
      <w:proofErr w:type="spellEnd"/>
      <w:r w:rsidRPr="00353EC0">
        <w:rPr>
          <w:lang w:val="hr-HR"/>
        </w:rPr>
        <w:t xml:space="preserve"> a </w:t>
      </w:r>
      <w:proofErr w:type="spellStart"/>
      <w:r w:rsidRPr="00353EC0">
        <w:rPr>
          <w:lang w:val="hr-HR"/>
        </w:rPr>
        <w:t>sample</w:t>
      </w:r>
      <w:proofErr w:type="spellEnd"/>
      <w:r w:rsidRPr="00353EC0">
        <w:rPr>
          <w:lang w:val="hr-HR"/>
        </w:rPr>
        <w:t xml:space="preserve"> </w:t>
      </w:r>
      <w:proofErr w:type="spellStart"/>
      <w:r w:rsidRPr="00353EC0">
        <w:rPr>
          <w:lang w:val="hr-HR"/>
        </w:rPr>
        <w:t>of</w:t>
      </w:r>
      <w:proofErr w:type="spellEnd"/>
      <w:r w:rsidRPr="00353EC0">
        <w:rPr>
          <w:lang w:val="hr-HR"/>
        </w:rPr>
        <w:t xml:space="preserve"> 784 </w:t>
      </w:r>
      <w:proofErr w:type="spellStart"/>
      <w:r w:rsidRPr="00353EC0">
        <w:rPr>
          <w:lang w:val="hr-HR"/>
        </w:rPr>
        <w:t>companies</w:t>
      </w:r>
      <w:proofErr w:type="spellEnd"/>
      <w:r w:rsidRPr="00353EC0">
        <w:rPr>
          <w:lang w:val="hr-HR"/>
        </w:rPr>
        <w:t xml:space="preserve"> </w:t>
      </w:r>
      <w:proofErr w:type="spellStart"/>
      <w:r w:rsidRPr="00353EC0">
        <w:rPr>
          <w:lang w:val="hr-HR"/>
        </w:rPr>
        <w:t>from</w:t>
      </w:r>
      <w:proofErr w:type="spellEnd"/>
      <w:r w:rsidRPr="00353EC0">
        <w:rPr>
          <w:lang w:val="hr-HR"/>
        </w:rPr>
        <w:t xml:space="preserve"> </w:t>
      </w:r>
      <w:proofErr w:type="spellStart"/>
      <w:r w:rsidRPr="00353EC0">
        <w:rPr>
          <w:lang w:val="hr-HR"/>
        </w:rPr>
        <w:t>four</w:t>
      </w:r>
      <w:proofErr w:type="spellEnd"/>
      <w:r w:rsidRPr="00353EC0">
        <w:rPr>
          <w:lang w:val="hr-HR"/>
        </w:rPr>
        <w:t xml:space="preserve"> </w:t>
      </w:r>
      <w:proofErr w:type="spellStart"/>
      <w:r w:rsidRPr="00353EC0">
        <w:rPr>
          <w:lang w:val="hr-HR"/>
        </w:rPr>
        <w:t>sectors</w:t>
      </w:r>
      <w:proofErr w:type="spellEnd"/>
      <w:r w:rsidRPr="00353EC0">
        <w:rPr>
          <w:lang w:val="hr-HR"/>
        </w:rPr>
        <w:t xml:space="preserve">: </w:t>
      </w:r>
      <w:proofErr w:type="spellStart"/>
      <w:r w:rsidRPr="00353EC0">
        <w:rPr>
          <w:lang w:val="hr-HR"/>
        </w:rPr>
        <w:t>manufacturing</w:t>
      </w:r>
      <w:proofErr w:type="spellEnd"/>
      <w:r w:rsidRPr="00353EC0">
        <w:rPr>
          <w:lang w:val="hr-HR"/>
        </w:rPr>
        <w:t xml:space="preserve"> (C), </w:t>
      </w:r>
      <w:proofErr w:type="spellStart"/>
      <w:r w:rsidRPr="00353EC0">
        <w:rPr>
          <w:lang w:val="hr-HR"/>
        </w:rPr>
        <w:t>transportation</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storage</w:t>
      </w:r>
      <w:proofErr w:type="spellEnd"/>
      <w:r w:rsidRPr="00353EC0">
        <w:rPr>
          <w:lang w:val="hr-HR"/>
        </w:rPr>
        <w:t xml:space="preserve"> (H), </w:t>
      </w:r>
      <w:proofErr w:type="spellStart"/>
      <w:r w:rsidRPr="00353EC0">
        <w:rPr>
          <w:lang w:val="hr-HR"/>
        </w:rPr>
        <w:t>accommodation</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food</w:t>
      </w:r>
      <w:proofErr w:type="spellEnd"/>
      <w:r w:rsidRPr="00353EC0">
        <w:rPr>
          <w:lang w:val="hr-HR"/>
        </w:rPr>
        <w:t xml:space="preserve"> </w:t>
      </w:r>
      <w:proofErr w:type="spellStart"/>
      <w:r w:rsidRPr="00353EC0">
        <w:rPr>
          <w:lang w:val="hr-HR"/>
        </w:rPr>
        <w:t>service</w:t>
      </w:r>
      <w:proofErr w:type="spellEnd"/>
      <w:r w:rsidRPr="00353EC0">
        <w:rPr>
          <w:lang w:val="hr-HR"/>
        </w:rPr>
        <w:t xml:space="preserve"> </w:t>
      </w:r>
      <w:proofErr w:type="spellStart"/>
      <w:r w:rsidRPr="00353EC0">
        <w:rPr>
          <w:lang w:val="hr-HR"/>
        </w:rPr>
        <w:t>activities</w:t>
      </w:r>
      <w:proofErr w:type="spellEnd"/>
      <w:r w:rsidRPr="00353EC0">
        <w:rPr>
          <w:lang w:val="hr-HR"/>
        </w:rPr>
        <w:t xml:space="preserve"> (I) </w:t>
      </w:r>
      <w:proofErr w:type="spellStart"/>
      <w:r w:rsidRPr="00353EC0">
        <w:rPr>
          <w:lang w:val="hr-HR"/>
        </w:rPr>
        <w:t>and</w:t>
      </w:r>
      <w:proofErr w:type="spellEnd"/>
      <w:r w:rsidRPr="00353EC0">
        <w:rPr>
          <w:lang w:val="hr-HR"/>
        </w:rPr>
        <w:t xml:space="preserve"> </w:t>
      </w:r>
      <w:proofErr w:type="spellStart"/>
      <w:r w:rsidRPr="00353EC0">
        <w:rPr>
          <w:lang w:val="hr-HR"/>
        </w:rPr>
        <w:t>administrative</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support</w:t>
      </w:r>
      <w:proofErr w:type="spellEnd"/>
      <w:r w:rsidRPr="00353EC0">
        <w:rPr>
          <w:lang w:val="hr-HR"/>
        </w:rPr>
        <w:t xml:space="preserve"> </w:t>
      </w:r>
      <w:proofErr w:type="spellStart"/>
      <w:r w:rsidRPr="00353EC0">
        <w:rPr>
          <w:lang w:val="hr-HR"/>
        </w:rPr>
        <w:t>service</w:t>
      </w:r>
      <w:proofErr w:type="spellEnd"/>
      <w:r w:rsidRPr="00353EC0">
        <w:rPr>
          <w:lang w:val="hr-HR"/>
        </w:rPr>
        <w:t xml:space="preserve"> </w:t>
      </w:r>
      <w:proofErr w:type="spellStart"/>
      <w:r w:rsidRPr="00353EC0">
        <w:rPr>
          <w:lang w:val="hr-HR"/>
        </w:rPr>
        <w:t>activities</w:t>
      </w:r>
      <w:proofErr w:type="spellEnd"/>
      <w:r w:rsidRPr="00353EC0">
        <w:rPr>
          <w:lang w:val="hr-HR"/>
        </w:rPr>
        <w:t xml:space="preserve"> (N), </w:t>
      </w:r>
      <w:proofErr w:type="spellStart"/>
      <w:r w:rsidRPr="00353EC0">
        <w:rPr>
          <w:lang w:val="hr-HR"/>
        </w:rPr>
        <w:t>over</w:t>
      </w:r>
      <w:proofErr w:type="spellEnd"/>
      <w:r w:rsidRPr="00353EC0">
        <w:rPr>
          <w:lang w:val="hr-HR"/>
        </w:rPr>
        <w:t xml:space="preserve"> </w:t>
      </w:r>
      <w:proofErr w:type="spellStart"/>
      <w:r w:rsidRPr="00353EC0">
        <w:rPr>
          <w:lang w:val="hr-HR"/>
        </w:rPr>
        <w:t>the</w:t>
      </w:r>
      <w:proofErr w:type="spellEnd"/>
      <w:r w:rsidRPr="00353EC0">
        <w:rPr>
          <w:lang w:val="hr-HR"/>
        </w:rPr>
        <w:t xml:space="preserve"> period </w:t>
      </w:r>
      <w:proofErr w:type="spellStart"/>
      <w:r w:rsidRPr="00353EC0">
        <w:rPr>
          <w:lang w:val="hr-HR"/>
        </w:rPr>
        <w:t>from</w:t>
      </w:r>
      <w:proofErr w:type="spellEnd"/>
      <w:r w:rsidRPr="00353EC0">
        <w:rPr>
          <w:lang w:val="hr-HR"/>
        </w:rPr>
        <w:t xml:space="preserve"> 2008 to 2023. A </w:t>
      </w:r>
      <w:proofErr w:type="spellStart"/>
      <w:r w:rsidRPr="00353EC0">
        <w:rPr>
          <w:lang w:val="hr-HR"/>
        </w:rPr>
        <w:t>dynamic</w:t>
      </w:r>
      <w:proofErr w:type="spellEnd"/>
      <w:r w:rsidRPr="00353EC0">
        <w:rPr>
          <w:lang w:val="hr-HR"/>
        </w:rPr>
        <w:t xml:space="preserve"> panel model (GMM </w:t>
      </w:r>
      <w:proofErr w:type="spellStart"/>
      <w:r w:rsidRPr="00353EC0">
        <w:rPr>
          <w:lang w:val="hr-HR"/>
        </w:rPr>
        <w:t>Arellano</w:t>
      </w:r>
      <w:proofErr w:type="spellEnd"/>
      <w:r w:rsidRPr="00353EC0">
        <w:rPr>
          <w:lang w:val="hr-HR"/>
        </w:rPr>
        <w:t xml:space="preserve">–Bond) </w:t>
      </w:r>
      <w:proofErr w:type="spellStart"/>
      <w:r w:rsidRPr="00353EC0">
        <w:rPr>
          <w:lang w:val="hr-HR"/>
        </w:rPr>
        <w:t>is</w:t>
      </w:r>
      <w:proofErr w:type="spellEnd"/>
      <w:r w:rsidRPr="00353EC0">
        <w:rPr>
          <w:lang w:val="hr-HR"/>
        </w:rPr>
        <w:t xml:space="preserve"> </w:t>
      </w:r>
      <w:proofErr w:type="spellStart"/>
      <w:r w:rsidRPr="00353EC0">
        <w:rPr>
          <w:lang w:val="hr-HR"/>
        </w:rPr>
        <w:t>applied</w:t>
      </w:r>
      <w:proofErr w:type="spellEnd"/>
      <w:r w:rsidRPr="00353EC0">
        <w:rPr>
          <w:lang w:val="hr-HR"/>
        </w:rPr>
        <w:t xml:space="preserve"> to </w:t>
      </w:r>
      <w:proofErr w:type="spellStart"/>
      <w:r w:rsidRPr="00353EC0">
        <w:rPr>
          <w:lang w:val="hr-HR"/>
        </w:rPr>
        <w:t>account</w:t>
      </w:r>
      <w:proofErr w:type="spellEnd"/>
      <w:r w:rsidRPr="00353EC0">
        <w:rPr>
          <w:lang w:val="hr-HR"/>
        </w:rPr>
        <w:t xml:space="preserve"> for </w:t>
      </w:r>
      <w:proofErr w:type="spellStart"/>
      <w:r w:rsidRPr="00353EC0">
        <w:rPr>
          <w:lang w:val="hr-HR"/>
        </w:rPr>
        <w:t>the</w:t>
      </w:r>
      <w:proofErr w:type="spellEnd"/>
      <w:r w:rsidRPr="00353EC0">
        <w:rPr>
          <w:lang w:val="hr-HR"/>
        </w:rPr>
        <w:t xml:space="preserve"> </w:t>
      </w:r>
      <w:proofErr w:type="spellStart"/>
      <w:r w:rsidRPr="00353EC0">
        <w:rPr>
          <w:lang w:val="hr-HR"/>
        </w:rPr>
        <w:t>inertia</w:t>
      </w:r>
      <w:proofErr w:type="spellEnd"/>
      <w:r w:rsidRPr="00353EC0">
        <w:rPr>
          <w:lang w:val="hr-HR"/>
        </w:rPr>
        <w:t xml:space="preserve"> </w:t>
      </w:r>
      <w:proofErr w:type="spellStart"/>
      <w:r w:rsidRPr="00353EC0">
        <w:rPr>
          <w:lang w:val="hr-HR"/>
        </w:rPr>
        <w:t>of</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dependent</w:t>
      </w:r>
      <w:proofErr w:type="spellEnd"/>
      <w:r w:rsidRPr="00353EC0">
        <w:rPr>
          <w:lang w:val="hr-HR"/>
        </w:rPr>
        <w:t xml:space="preserve"> </w:t>
      </w:r>
      <w:proofErr w:type="spellStart"/>
      <w:r w:rsidRPr="00353EC0">
        <w:rPr>
          <w:lang w:val="hr-HR"/>
        </w:rPr>
        <w:t>variable</w:t>
      </w:r>
      <w:proofErr w:type="spellEnd"/>
      <w:r w:rsidRPr="00353EC0">
        <w:rPr>
          <w:lang w:val="hr-HR"/>
        </w:rPr>
        <w:t xml:space="preserve"> </w:t>
      </w:r>
      <w:proofErr w:type="spellStart"/>
      <w:r w:rsidRPr="00353EC0">
        <w:rPr>
          <w:lang w:val="hr-HR"/>
        </w:rPr>
        <w:t>and</w:t>
      </w:r>
      <w:proofErr w:type="spellEnd"/>
      <w:r w:rsidRPr="00353EC0">
        <w:rPr>
          <w:lang w:val="hr-HR"/>
        </w:rPr>
        <w:t xml:space="preserve"> to </w:t>
      </w:r>
      <w:proofErr w:type="spellStart"/>
      <w:r w:rsidRPr="00353EC0">
        <w:rPr>
          <w:lang w:val="hr-HR"/>
        </w:rPr>
        <w:t>reduce</w:t>
      </w:r>
      <w:proofErr w:type="spellEnd"/>
      <w:r w:rsidRPr="00353EC0">
        <w:rPr>
          <w:lang w:val="hr-HR"/>
        </w:rPr>
        <w:t xml:space="preserve"> </w:t>
      </w:r>
      <w:proofErr w:type="spellStart"/>
      <w:r w:rsidRPr="00353EC0">
        <w:rPr>
          <w:lang w:val="hr-HR"/>
        </w:rPr>
        <w:t>bias</w:t>
      </w:r>
      <w:proofErr w:type="spellEnd"/>
      <w:r w:rsidRPr="00353EC0">
        <w:rPr>
          <w:lang w:val="hr-HR"/>
        </w:rPr>
        <w:t xml:space="preserve"> </w:t>
      </w:r>
      <w:proofErr w:type="spellStart"/>
      <w:r w:rsidRPr="00353EC0">
        <w:rPr>
          <w:lang w:val="hr-HR"/>
        </w:rPr>
        <w:t>caused</w:t>
      </w:r>
      <w:proofErr w:type="spellEnd"/>
      <w:r w:rsidRPr="00353EC0">
        <w:rPr>
          <w:lang w:val="hr-HR"/>
        </w:rPr>
        <w:t xml:space="preserve"> </w:t>
      </w:r>
      <w:proofErr w:type="spellStart"/>
      <w:r w:rsidRPr="00353EC0">
        <w:rPr>
          <w:lang w:val="hr-HR"/>
        </w:rPr>
        <w:t>by</w:t>
      </w:r>
      <w:proofErr w:type="spellEnd"/>
      <w:r w:rsidRPr="00353EC0">
        <w:rPr>
          <w:lang w:val="hr-HR"/>
        </w:rPr>
        <w:t xml:space="preserve"> </w:t>
      </w:r>
      <w:proofErr w:type="spellStart"/>
      <w:r w:rsidRPr="00353EC0">
        <w:rPr>
          <w:lang w:val="hr-HR"/>
        </w:rPr>
        <w:t>endogeneity</w:t>
      </w:r>
      <w:proofErr w:type="spellEnd"/>
      <w:r w:rsidRPr="00353EC0">
        <w:rPr>
          <w:lang w:val="hr-HR"/>
        </w:rPr>
        <w:t>.</w:t>
      </w:r>
    </w:p>
    <w:p w14:paraId="01B9EED3" w14:textId="77777777" w:rsidR="00353EC0" w:rsidRPr="00353EC0" w:rsidRDefault="00353EC0" w:rsidP="00353EC0">
      <w:pPr>
        <w:spacing w:line="360" w:lineRule="auto"/>
        <w:jc w:val="both"/>
        <w:rPr>
          <w:lang w:val="hr-HR"/>
        </w:rPr>
      </w:pPr>
    </w:p>
    <w:p w14:paraId="6FB50564" w14:textId="16D58BA2" w:rsidR="00353EC0" w:rsidRDefault="00353EC0" w:rsidP="00353EC0">
      <w:pPr>
        <w:spacing w:line="360" w:lineRule="auto"/>
        <w:jc w:val="both"/>
        <w:rPr>
          <w:lang w:val="hr-HR"/>
        </w:rPr>
      </w:pPr>
      <w:proofErr w:type="spellStart"/>
      <w:r w:rsidRPr="00353EC0">
        <w:rPr>
          <w:lang w:val="hr-HR"/>
        </w:rPr>
        <w:t>The</w:t>
      </w:r>
      <w:proofErr w:type="spellEnd"/>
      <w:r w:rsidRPr="00353EC0">
        <w:rPr>
          <w:lang w:val="hr-HR"/>
        </w:rPr>
        <w:t xml:space="preserve"> </w:t>
      </w:r>
      <w:proofErr w:type="spellStart"/>
      <w:r w:rsidRPr="00353EC0">
        <w:rPr>
          <w:lang w:val="hr-HR"/>
        </w:rPr>
        <w:t>results</w:t>
      </w:r>
      <w:proofErr w:type="spellEnd"/>
      <w:r w:rsidRPr="00353EC0">
        <w:rPr>
          <w:lang w:val="hr-HR"/>
        </w:rPr>
        <w:t xml:space="preserve"> </w:t>
      </w:r>
      <w:proofErr w:type="spellStart"/>
      <w:r w:rsidRPr="00353EC0">
        <w:rPr>
          <w:lang w:val="hr-HR"/>
        </w:rPr>
        <w:t>indicate</w:t>
      </w:r>
      <w:proofErr w:type="spellEnd"/>
      <w:r w:rsidRPr="00353EC0">
        <w:rPr>
          <w:lang w:val="hr-HR"/>
        </w:rPr>
        <w:t xml:space="preserve"> </w:t>
      </w:r>
      <w:proofErr w:type="spellStart"/>
      <w:r w:rsidRPr="00353EC0">
        <w:rPr>
          <w:lang w:val="hr-HR"/>
        </w:rPr>
        <w:t>that</w:t>
      </w:r>
      <w:proofErr w:type="spellEnd"/>
      <w:r w:rsidRPr="00353EC0">
        <w:rPr>
          <w:lang w:val="hr-HR"/>
        </w:rPr>
        <w:t xml:space="preserve"> </w:t>
      </w:r>
      <w:proofErr w:type="spellStart"/>
      <w:r w:rsidRPr="00353EC0">
        <w:rPr>
          <w:lang w:val="hr-HR"/>
        </w:rPr>
        <w:t>liquidity</w:t>
      </w:r>
      <w:proofErr w:type="spellEnd"/>
      <w:r w:rsidRPr="00353EC0">
        <w:rPr>
          <w:lang w:val="hr-HR"/>
        </w:rPr>
        <w:t xml:space="preserve"> </w:t>
      </w:r>
      <w:proofErr w:type="spellStart"/>
      <w:r w:rsidRPr="00353EC0">
        <w:rPr>
          <w:lang w:val="hr-HR"/>
        </w:rPr>
        <w:t>demonstrates</w:t>
      </w:r>
      <w:proofErr w:type="spellEnd"/>
      <w:r w:rsidRPr="00353EC0">
        <w:rPr>
          <w:lang w:val="hr-HR"/>
        </w:rPr>
        <w:t xml:space="preserve"> </w:t>
      </w:r>
      <w:proofErr w:type="spellStart"/>
      <w:r w:rsidRPr="00353EC0">
        <w:rPr>
          <w:lang w:val="hr-HR"/>
        </w:rPr>
        <w:t>stability</w:t>
      </w:r>
      <w:proofErr w:type="spellEnd"/>
      <w:r w:rsidRPr="00353EC0">
        <w:rPr>
          <w:lang w:val="hr-HR"/>
        </w:rPr>
        <w:t xml:space="preserve"> </w:t>
      </w:r>
      <w:proofErr w:type="spellStart"/>
      <w:r w:rsidRPr="00353EC0">
        <w:rPr>
          <w:lang w:val="hr-HR"/>
        </w:rPr>
        <w:t>in</w:t>
      </w:r>
      <w:proofErr w:type="spellEnd"/>
      <w:r w:rsidRPr="00353EC0">
        <w:rPr>
          <w:lang w:val="hr-HR"/>
        </w:rPr>
        <w:t xml:space="preserve"> </w:t>
      </w:r>
      <w:proofErr w:type="spellStart"/>
      <w:r w:rsidRPr="00353EC0">
        <w:rPr>
          <w:lang w:val="hr-HR"/>
        </w:rPr>
        <w:t>sectors</w:t>
      </w:r>
      <w:proofErr w:type="spellEnd"/>
      <w:r w:rsidRPr="00353EC0">
        <w:rPr>
          <w:lang w:val="hr-HR"/>
        </w:rPr>
        <w:t xml:space="preserve"> C, I </w:t>
      </w:r>
      <w:proofErr w:type="spellStart"/>
      <w:r w:rsidRPr="00353EC0">
        <w:rPr>
          <w:lang w:val="hr-HR"/>
        </w:rPr>
        <w:t>and</w:t>
      </w:r>
      <w:proofErr w:type="spellEnd"/>
      <w:r w:rsidRPr="00353EC0">
        <w:rPr>
          <w:lang w:val="hr-HR"/>
        </w:rPr>
        <w:t xml:space="preserve"> N, </w:t>
      </w:r>
      <w:proofErr w:type="spellStart"/>
      <w:r w:rsidRPr="00353EC0">
        <w:rPr>
          <w:lang w:val="hr-HR"/>
        </w:rPr>
        <w:t>while</w:t>
      </w:r>
      <w:proofErr w:type="spellEnd"/>
      <w:r w:rsidRPr="00353EC0">
        <w:rPr>
          <w:lang w:val="hr-HR"/>
        </w:rPr>
        <w:t xml:space="preserve"> </w:t>
      </w:r>
      <w:proofErr w:type="spellStart"/>
      <w:r w:rsidRPr="00353EC0">
        <w:rPr>
          <w:lang w:val="hr-HR"/>
        </w:rPr>
        <w:t>in</w:t>
      </w:r>
      <w:proofErr w:type="spellEnd"/>
      <w:r w:rsidRPr="00353EC0">
        <w:rPr>
          <w:lang w:val="hr-HR"/>
        </w:rPr>
        <w:t xml:space="preserve"> </w:t>
      </w:r>
      <w:proofErr w:type="spellStart"/>
      <w:r w:rsidRPr="00353EC0">
        <w:rPr>
          <w:lang w:val="hr-HR"/>
        </w:rPr>
        <w:t>sector</w:t>
      </w:r>
      <w:proofErr w:type="spellEnd"/>
      <w:r w:rsidRPr="00353EC0">
        <w:rPr>
          <w:lang w:val="hr-HR"/>
        </w:rPr>
        <w:t xml:space="preserve"> H, </w:t>
      </w:r>
      <w:proofErr w:type="spellStart"/>
      <w:r w:rsidRPr="00353EC0">
        <w:rPr>
          <w:lang w:val="hr-HR"/>
        </w:rPr>
        <w:t>such</w:t>
      </w:r>
      <w:proofErr w:type="spellEnd"/>
      <w:r w:rsidRPr="00353EC0">
        <w:rPr>
          <w:lang w:val="hr-HR"/>
        </w:rPr>
        <w:t xml:space="preserve"> </w:t>
      </w:r>
      <w:proofErr w:type="spellStart"/>
      <w:r w:rsidRPr="00353EC0">
        <w:rPr>
          <w:lang w:val="hr-HR"/>
        </w:rPr>
        <w:t>persistence</w:t>
      </w:r>
      <w:proofErr w:type="spellEnd"/>
      <w:r w:rsidRPr="00353EC0">
        <w:rPr>
          <w:lang w:val="hr-HR"/>
        </w:rPr>
        <w:t xml:space="preserve"> </w:t>
      </w:r>
      <w:proofErr w:type="spellStart"/>
      <w:r w:rsidRPr="00353EC0">
        <w:rPr>
          <w:lang w:val="hr-HR"/>
        </w:rPr>
        <w:t>over</w:t>
      </w:r>
      <w:proofErr w:type="spellEnd"/>
      <w:r w:rsidRPr="00353EC0">
        <w:rPr>
          <w:lang w:val="hr-HR"/>
        </w:rPr>
        <w:t xml:space="preserve"> time </w:t>
      </w:r>
      <w:proofErr w:type="spellStart"/>
      <w:r w:rsidRPr="00353EC0">
        <w:rPr>
          <w:lang w:val="hr-HR"/>
        </w:rPr>
        <w:t>is</w:t>
      </w:r>
      <w:proofErr w:type="spellEnd"/>
      <w:r w:rsidRPr="00353EC0">
        <w:rPr>
          <w:lang w:val="hr-HR"/>
        </w:rPr>
        <w:t xml:space="preserve"> </w:t>
      </w:r>
      <w:proofErr w:type="spellStart"/>
      <w:r w:rsidRPr="00353EC0">
        <w:rPr>
          <w:lang w:val="hr-HR"/>
        </w:rPr>
        <w:t>not</w:t>
      </w:r>
      <w:proofErr w:type="spellEnd"/>
      <w:r w:rsidRPr="00353EC0">
        <w:rPr>
          <w:lang w:val="hr-HR"/>
        </w:rPr>
        <w:t xml:space="preserve"> </w:t>
      </w:r>
      <w:proofErr w:type="spellStart"/>
      <w:r w:rsidRPr="00353EC0">
        <w:rPr>
          <w:lang w:val="hr-HR"/>
        </w:rPr>
        <w:t>confirmed</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impact</w:t>
      </w:r>
      <w:proofErr w:type="spellEnd"/>
      <w:r w:rsidRPr="00353EC0">
        <w:rPr>
          <w:lang w:val="hr-HR"/>
        </w:rPr>
        <w:t xml:space="preserve"> </w:t>
      </w:r>
      <w:proofErr w:type="spellStart"/>
      <w:r w:rsidRPr="00353EC0">
        <w:rPr>
          <w:lang w:val="hr-HR"/>
        </w:rPr>
        <w:t>of</w:t>
      </w:r>
      <w:proofErr w:type="spellEnd"/>
      <w:r w:rsidRPr="00353EC0">
        <w:rPr>
          <w:lang w:val="hr-HR"/>
        </w:rPr>
        <w:t xml:space="preserve"> </w:t>
      </w:r>
      <w:proofErr w:type="spellStart"/>
      <w:r w:rsidRPr="00353EC0">
        <w:rPr>
          <w:lang w:val="hr-HR"/>
        </w:rPr>
        <w:t>financial</w:t>
      </w:r>
      <w:proofErr w:type="spellEnd"/>
      <w:r w:rsidRPr="00353EC0">
        <w:rPr>
          <w:lang w:val="hr-HR"/>
        </w:rPr>
        <w:t xml:space="preserve"> </w:t>
      </w:r>
      <w:proofErr w:type="spellStart"/>
      <w:r w:rsidRPr="00353EC0">
        <w:rPr>
          <w:lang w:val="hr-HR"/>
        </w:rPr>
        <w:t>leverage</w:t>
      </w:r>
      <w:proofErr w:type="spellEnd"/>
      <w:r w:rsidRPr="00353EC0">
        <w:rPr>
          <w:lang w:val="hr-HR"/>
        </w:rPr>
        <w:t xml:space="preserve"> </w:t>
      </w:r>
      <w:proofErr w:type="spellStart"/>
      <w:r w:rsidRPr="00353EC0">
        <w:rPr>
          <w:lang w:val="hr-HR"/>
        </w:rPr>
        <w:t>varies</w:t>
      </w:r>
      <w:proofErr w:type="spellEnd"/>
      <w:r w:rsidRPr="00353EC0">
        <w:rPr>
          <w:lang w:val="hr-HR"/>
        </w:rPr>
        <w:t xml:space="preserve"> </w:t>
      </w:r>
      <w:proofErr w:type="spellStart"/>
      <w:r w:rsidRPr="00353EC0">
        <w:rPr>
          <w:lang w:val="hr-HR"/>
        </w:rPr>
        <w:t>across</w:t>
      </w:r>
      <w:proofErr w:type="spellEnd"/>
      <w:r w:rsidRPr="00353EC0">
        <w:rPr>
          <w:lang w:val="hr-HR"/>
        </w:rPr>
        <w:t xml:space="preserve"> </w:t>
      </w:r>
      <w:proofErr w:type="spellStart"/>
      <w:r w:rsidRPr="00353EC0">
        <w:rPr>
          <w:lang w:val="hr-HR"/>
        </w:rPr>
        <w:t>sectors</w:t>
      </w:r>
      <w:proofErr w:type="spellEnd"/>
      <w:r w:rsidRPr="00353EC0">
        <w:rPr>
          <w:lang w:val="hr-HR"/>
        </w:rPr>
        <w:t xml:space="preserve">: </w:t>
      </w:r>
      <w:proofErr w:type="spellStart"/>
      <w:r w:rsidRPr="00353EC0">
        <w:rPr>
          <w:lang w:val="hr-HR"/>
        </w:rPr>
        <w:t>in</w:t>
      </w:r>
      <w:proofErr w:type="spellEnd"/>
      <w:r w:rsidRPr="00353EC0">
        <w:rPr>
          <w:lang w:val="hr-HR"/>
        </w:rPr>
        <w:t xml:space="preserve"> </w:t>
      </w:r>
      <w:proofErr w:type="spellStart"/>
      <w:r w:rsidRPr="00353EC0">
        <w:rPr>
          <w:lang w:val="hr-HR"/>
        </w:rPr>
        <w:t>manufacturing</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logistics</w:t>
      </w:r>
      <w:proofErr w:type="spellEnd"/>
      <w:r w:rsidRPr="00353EC0">
        <w:rPr>
          <w:lang w:val="hr-HR"/>
        </w:rPr>
        <w:t xml:space="preserve">, </w:t>
      </w:r>
      <w:proofErr w:type="spellStart"/>
      <w:r w:rsidRPr="00353EC0">
        <w:rPr>
          <w:lang w:val="hr-HR"/>
        </w:rPr>
        <w:t>leverage</w:t>
      </w:r>
      <w:proofErr w:type="spellEnd"/>
      <w:r w:rsidRPr="00353EC0">
        <w:rPr>
          <w:lang w:val="hr-HR"/>
        </w:rPr>
        <w:t xml:space="preserve"> </w:t>
      </w:r>
      <w:proofErr w:type="spellStart"/>
      <w:r w:rsidRPr="00353EC0">
        <w:rPr>
          <w:lang w:val="hr-HR"/>
        </w:rPr>
        <w:t>is</w:t>
      </w:r>
      <w:proofErr w:type="spellEnd"/>
      <w:r w:rsidRPr="00353EC0">
        <w:rPr>
          <w:lang w:val="hr-HR"/>
        </w:rPr>
        <w:t xml:space="preserve"> </w:t>
      </w:r>
      <w:proofErr w:type="spellStart"/>
      <w:r w:rsidRPr="00353EC0">
        <w:rPr>
          <w:lang w:val="hr-HR"/>
        </w:rPr>
        <w:t>associated</w:t>
      </w:r>
      <w:proofErr w:type="spellEnd"/>
      <w:r w:rsidRPr="00353EC0">
        <w:rPr>
          <w:lang w:val="hr-HR"/>
        </w:rPr>
        <w:t xml:space="preserve"> </w:t>
      </w:r>
      <w:proofErr w:type="spellStart"/>
      <w:r w:rsidRPr="00353EC0">
        <w:rPr>
          <w:lang w:val="hr-HR"/>
        </w:rPr>
        <w:t>with</w:t>
      </w:r>
      <w:proofErr w:type="spellEnd"/>
      <w:r w:rsidRPr="00353EC0">
        <w:rPr>
          <w:lang w:val="hr-HR"/>
        </w:rPr>
        <w:t xml:space="preserve"> </w:t>
      </w:r>
      <w:proofErr w:type="spellStart"/>
      <w:r w:rsidRPr="00353EC0">
        <w:rPr>
          <w:lang w:val="hr-HR"/>
        </w:rPr>
        <w:t>higher</w:t>
      </w:r>
      <w:proofErr w:type="spellEnd"/>
      <w:r w:rsidRPr="00353EC0">
        <w:rPr>
          <w:lang w:val="hr-HR"/>
        </w:rPr>
        <w:t xml:space="preserve"> </w:t>
      </w:r>
      <w:proofErr w:type="spellStart"/>
      <w:r w:rsidRPr="00353EC0">
        <w:rPr>
          <w:lang w:val="hr-HR"/>
        </w:rPr>
        <w:t>levels</w:t>
      </w:r>
      <w:proofErr w:type="spellEnd"/>
      <w:r w:rsidRPr="00353EC0">
        <w:rPr>
          <w:lang w:val="hr-HR"/>
        </w:rPr>
        <w:t xml:space="preserve"> </w:t>
      </w:r>
      <w:proofErr w:type="spellStart"/>
      <w:r w:rsidRPr="00353EC0">
        <w:rPr>
          <w:lang w:val="hr-HR"/>
        </w:rPr>
        <w:t>of</w:t>
      </w:r>
      <w:proofErr w:type="spellEnd"/>
      <w:r w:rsidRPr="00353EC0">
        <w:rPr>
          <w:lang w:val="hr-HR"/>
        </w:rPr>
        <w:t xml:space="preserve"> </w:t>
      </w:r>
      <w:proofErr w:type="spellStart"/>
      <w:r w:rsidRPr="00353EC0">
        <w:rPr>
          <w:lang w:val="hr-HR"/>
        </w:rPr>
        <w:t>liquidity</w:t>
      </w:r>
      <w:proofErr w:type="spellEnd"/>
      <w:r w:rsidRPr="00353EC0">
        <w:rPr>
          <w:lang w:val="hr-HR"/>
        </w:rPr>
        <w:t xml:space="preserve">, </w:t>
      </w:r>
      <w:proofErr w:type="spellStart"/>
      <w:r w:rsidRPr="00353EC0">
        <w:rPr>
          <w:lang w:val="hr-HR"/>
        </w:rPr>
        <w:t>whereas</w:t>
      </w:r>
      <w:proofErr w:type="spellEnd"/>
      <w:r w:rsidRPr="00353EC0">
        <w:rPr>
          <w:lang w:val="hr-HR"/>
        </w:rPr>
        <w:t xml:space="preserve"> </w:t>
      </w:r>
      <w:proofErr w:type="spellStart"/>
      <w:r w:rsidRPr="00353EC0">
        <w:rPr>
          <w:lang w:val="hr-HR"/>
        </w:rPr>
        <w:t>in</w:t>
      </w:r>
      <w:proofErr w:type="spellEnd"/>
      <w:r w:rsidRPr="00353EC0">
        <w:rPr>
          <w:lang w:val="hr-HR"/>
        </w:rPr>
        <w:t xml:space="preserve"> </w:t>
      </w:r>
      <w:proofErr w:type="spellStart"/>
      <w:r w:rsidRPr="00353EC0">
        <w:rPr>
          <w:lang w:val="hr-HR"/>
        </w:rPr>
        <w:t>tourism</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administrative</w:t>
      </w:r>
      <w:proofErr w:type="spellEnd"/>
      <w:r w:rsidRPr="00353EC0">
        <w:rPr>
          <w:lang w:val="hr-HR"/>
        </w:rPr>
        <w:t xml:space="preserve"> </w:t>
      </w:r>
      <w:proofErr w:type="spellStart"/>
      <w:r w:rsidRPr="00353EC0">
        <w:rPr>
          <w:lang w:val="hr-HR"/>
        </w:rPr>
        <w:t>services</w:t>
      </w:r>
      <w:proofErr w:type="spellEnd"/>
      <w:r w:rsidRPr="00353EC0">
        <w:rPr>
          <w:lang w:val="hr-HR"/>
        </w:rPr>
        <w:t xml:space="preserve">, </w:t>
      </w:r>
      <w:proofErr w:type="spellStart"/>
      <w:r w:rsidRPr="00353EC0">
        <w:rPr>
          <w:lang w:val="hr-HR"/>
        </w:rPr>
        <w:t>this</w:t>
      </w:r>
      <w:proofErr w:type="spellEnd"/>
      <w:r w:rsidRPr="00353EC0">
        <w:rPr>
          <w:lang w:val="hr-HR"/>
        </w:rPr>
        <w:t xml:space="preserve"> </w:t>
      </w:r>
      <w:proofErr w:type="spellStart"/>
      <w:r w:rsidRPr="00353EC0">
        <w:rPr>
          <w:lang w:val="hr-HR"/>
        </w:rPr>
        <w:t>relationship</w:t>
      </w:r>
      <w:proofErr w:type="spellEnd"/>
      <w:r w:rsidRPr="00353EC0">
        <w:rPr>
          <w:lang w:val="hr-HR"/>
        </w:rPr>
        <w:t xml:space="preserve"> </w:t>
      </w:r>
      <w:proofErr w:type="spellStart"/>
      <w:r w:rsidRPr="00353EC0">
        <w:rPr>
          <w:lang w:val="hr-HR"/>
        </w:rPr>
        <w:t>is</w:t>
      </w:r>
      <w:proofErr w:type="spellEnd"/>
      <w:r w:rsidRPr="00353EC0">
        <w:rPr>
          <w:lang w:val="hr-HR"/>
        </w:rPr>
        <w:t xml:space="preserve"> more </w:t>
      </w:r>
      <w:proofErr w:type="spellStart"/>
      <w:r w:rsidRPr="00353EC0">
        <w:rPr>
          <w:lang w:val="hr-HR"/>
        </w:rPr>
        <w:t>volatile</w:t>
      </w:r>
      <w:proofErr w:type="spellEnd"/>
      <w:r w:rsidRPr="00353EC0">
        <w:rPr>
          <w:lang w:val="hr-HR"/>
        </w:rPr>
        <w:t xml:space="preserve"> </w:t>
      </w:r>
      <w:proofErr w:type="spellStart"/>
      <w:r w:rsidRPr="00353EC0">
        <w:rPr>
          <w:lang w:val="hr-HR"/>
        </w:rPr>
        <w:t>due</w:t>
      </w:r>
      <w:proofErr w:type="spellEnd"/>
      <w:r w:rsidRPr="00353EC0">
        <w:rPr>
          <w:lang w:val="hr-HR"/>
        </w:rPr>
        <w:t xml:space="preserve"> to </w:t>
      </w:r>
      <w:proofErr w:type="spellStart"/>
      <w:r w:rsidRPr="00353EC0">
        <w:rPr>
          <w:lang w:val="hr-HR"/>
        </w:rPr>
        <w:t>seasonality</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project-based</w:t>
      </w:r>
      <w:proofErr w:type="spellEnd"/>
      <w:r w:rsidRPr="00353EC0">
        <w:rPr>
          <w:lang w:val="hr-HR"/>
        </w:rPr>
        <w:t xml:space="preserve"> </w:t>
      </w:r>
      <w:proofErr w:type="spellStart"/>
      <w:r w:rsidRPr="00353EC0">
        <w:rPr>
          <w:lang w:val="hr-HR"/>
        </w:rPr>
        <w:t>business</w:t>
      </w:r>
      <w:proofErr w:type="spellEnd"/>
      <w:r w:rsidRPr="00353EC0">
        <w:rPr>
          <w:lang w:val="hr-HR"/>
        </w:rPr>
        <w:t xml:space="preserve"> </w:t>
      </w:r>
      <w:proofErr w:type="spellStart"/>
      <w:r w:rsidRPr="00353EC0">
        <w:rPr>
          <w:lang w:val="hr-HR"/>
        </w:rPr>
        <w:t>dynamics</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control</w:t>
      </w:r>
      <w:proofErr w:type="spellEnd"/>
      <w:r w:rsidRPr="00353EC0">
        <w:rPr>
          <w:lang w:val="hr-HR"/>
        </w:rPr>
        <w:t xml:space="preserve"> </w:t>
      </w:r>
      <w:proofErr w:type="spellStart"/>
      <w:r w:rsidRPr="00353EC0">
        <w:rPr>
          <w:lang w:val="hr-HR"/>
        </w:rPr>
        <w:t>variables</w:t>
      </w:r>
      <w:proofErr w:type="spellEnd"/>
      <w:r w:rsidRPr="00353EC0">
        <w:rPr>
          <w:lang w:val="hr-HR"/>
        </w:rPr>
        <w:t xml:space="preserve"> </w:t>
      </w:r>
      <w:proofErr w:type="spellStart"/>
      <w:r w:rsidRPr="00353EC0">
        <w:rPr>
          <w:lang w:val="hr-HR"/>
        </w:rPr>
        <w:t>highlight</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importance</w:t>
      </w:r>
      <w:proofErr w:type="spellEnd"/>
      <w:r w:rsidRPr="00353EC0">
        <w:rPr>
          <w:lang w:val="hr-HR"/>
        </w:rPr>
        <w:t xml:space="preserve"> </w:t>
      </w:r>
      <w:proofErr w:type="spellStart"/>
      <w:r w:rsidRPr="00353EC0">
        <w:rPr>
          <w:lang w:val="hr-HR"/>
        </w:rPr>
        <w:t>of</w:t>
      </w:r>
      <w:proofErr w:type="spellEnd"/>
      <w:r w:rsidRPr="00353EC0">
        <w:rPr>
          <w:lang w:val="hr-HR"/>
        </w:rPr>
        <w:t xml:space="preserve"> </w:t>
      </w:r>
      <w:proofErr w:type="spellStart"/>
      <w:r w:rsidRPr="00353EC0">
        <w:rPr>
          <w:lang w:val="hr-HR"/>
        </w:rPr>
        <w:t>profitability</w:t>
      </w:r>
      <w:proofErr w:type="spellEnd"/>
      <w:r w:rsidRPr="00353EC0">
        <w:rPr>
          <w:lang w:val="hr-HR"/>
        </w:rPr>
        <w:t xml:space="preserve"> </w:t>
      </w:r>
      <w:proofErr w:type="spellStart"/>
      <w:r w:rsidRPr="00353EC0">
        <w:rPr>
          <w:lang w:val="hr-HR"/>
        </w:rPr>
        <w:t>and</w:t>
      </w:r>
      <w:proofErr w:type="spellEnd"/>
      <w:r w:rsidRPr="00353EC0">
        <w:rPr>
          <w:lang w:val="hr-HR"/>
        </w:rPr>
        <w:t xml:space="preserve"> </w:t>
      </w:r>
      <w:proofErr w:type="spellStart"/>
      <w:r w:rsidRPr="00353EC0">
        <w:rPr>
          <w:lang w:val="hr-HR"/>
        </w:rPr>
        <w:t>capital</w:t>
      </w:r>
      <w:proofErr w:type="spellEnd"/>
      <w:r w:rsidRPr="00353EC0">
        <w:rPr>
          <w:lang w:val="hr-HR"/>
        </w:rPr>
        <w:t xml:space="preserve"> </w:t>
      </w:r>
      <w:proofErr w:type="spellStart"/>
      <w:r w:rsidRPr="00353EC0">
        <w:rPr>
          <w:lang w:val="hr-HR"/>
        </w:rPr>
        <w:t>intensity</w:t>
      </w:r>
      <w:proofErr w:type="spellEnd"/>
      <w:r w:rsidRPr="00353EC0">
        <w:rPr>
          <w:lang w:val="hr-HR"/>
        </w:rPr>
        <w:t xml:space="preserve"> </w:t>
      </w:r>
      <w:proofErr w:type="spellStart"/>
      <w:r w:rsidRPr="00353EC0">
        <w:rPr>
          <w:lang w:val="hr-HR"/>
        </w:rPr>
        <w:t>in</w:t>
      </w:r>
      <w:proofErr w:type="spellEnd"/>
      <w:r w:rsidRPr="00353EC0">
        <w:rPr>
          <w:lang w:val="hr-HR"/>
        </w:rPr>
        <w:t xml:space="preserve"> </w:t>
      </w:r>
      <w:proofErr w:type="spellStart"/>
      <w:r w:rsidRPr="00353EC0">
        <w:rPr>
          <w:lang w:val="hr-HR"/>
        </w:rPr>
        <w:t>shaping</w:t>
      </w:r>
      <w:proofErr w:type="spellEnd"/>
      <w:r w:rsidRPr="00353EC0">
        <w:rPr>
          <w:lang w:val="hr-HR"/>
        </w:rPr>
        <w:t xml:space="preserve"> </w:t>
      </w:r>
      <w:proofErr w:type="spellStart"/>
      <w:r w:rsidRPr="00353EC0">
        <w:rPr>
          <w:lang w:val="hr-HR"/>
        </w:rPr>
        <w:t>firms</w:t>
      </w:r>
      <w:proofErr w:type="spellEnd"/>
      <w:r w:rsidRPr="00353EC0">
        <w:rPr>
          <w:lang w:val="hr-HR"/>
        </w:rPr>
        <w:t xml:space="preserve">’ </w:t>
      </w:r>
      <w:proofErr w:type="spellStart"/>
      <w:r w:rsidRPr="00353EC0">
        <w:rPr>
          <w:lang w:val="hr-HR"/>
        </w:rPr>
        <w:t>liquidity</w:t>
      </w:r>
      <w:proofErr w:type="spellEnd"/>
      <w:r w:rsidRPr="00353EC0">
        <w:rPr>
          <w:lang w:val="hr-HR"/>
        </w:rPr>
        <w:t xml:space="preserve"> management </w:t>
      </w:r>
      <w:proofErr w:type="spellStart"/>
      <w:r w:rsidRPr="00353EC0">
        <w:rPr>
          <w:lang w:val="hr-HR"/>
        </w:rPr>
        <w:t>policies</w:t>
      </w:r>
      <w:proofErr w:type="spellEnd"/>
      <w:r w:rsidRPr="00353EC0">
        <w:rPr>
          <w:lang w:val="hr-HR"/>
        </w:rPr>
        <w:t>.</w:t>
      </w:r>
    </w:p>
    <w:p w14:paraId="40A1C4CF" w14:textId="77777777" w:rsidR="00353EC0" w:rsidRPr="00353EC0" w:rsidRDefault="00353EC0" w:rsidP="00353EC0">
      <w:pPr>
        <w:spacing w:line="360" w:lineRule="auto"/>
        <w:jc w:val="both"/>
        <w:rPr>
          <w:lang w:val="hr-HR"/>
        </w:rPr>
      </w:pPr>
    </w:p>
    <w:p w14:paraId="0E9CBDCD" w14:textId="77777777" w:rsidR="00353EC0" w:rsidRDefault="00353EC0" w:rsidP="00353EC0">
      <w:pPr>
        <w:spacing w:line="360" w:lineRule="auto"/>
        <w:jc w:val="both"/>
        <w:rPr>
          <w:lang w:val="hr-HR"/>
        </w:rPr>
      </w:pPr>
      <w:proofErr w:type="spellStart"/>
      <w:r w:rsidRPr="00353EC0">
        <w:rPr>
          <w:lang w:val="hr-HR"/>
        </w:rPr>
        <w:t>These</w:t>
      </w:r>
      <w:proofErr w:type="spellEnd"/>
      <w:r w:rsidRPr="00353EC0">
        <w:rPr>
          <w:lang w:val="hr-HR"/>
        </w:rPr>
        <w:t xml:space="preserve"> </w:t>
      </w:r>
      <w:proofErr w:type="spellStart"/>
      <w:r w:rsidRPr="00353EC0">
        <w:rPr>
          <w:lang w:val="hr-HR"/>
        </w:rPr>
        <w:t>findings</w:t>
      </w:r>
      <w:proofErr w:type="spellEnd"/>
      <w:r w:rsidRPr="00353EC0">
        <w:rPr>
          <w:lang w:val="hr-HR"/>
        </w:rPr>
        <w:t xml:space="preserve"> </w:t>
      </w:r>
      <w:proofErr w:type="spellStart"/>
      <w:r w:rsidRPr="00353EC0">
        <w:rPr>
          <w:lang w:val="hr-HR"/>
        </w:rPr>
        <w:t>confirm</w:t>
      </w:r>
      <w:proofErr w:type="spellEnd"/>
      <w:r w:rsidRPr="00353EC0">
        <w:rPr>
          <w:lang w:val="hr-HR"/>
        </w:rPr>
        <w:t xml:space="preserve"> most global </w:t>
      </w:r>
      <w:proofErr w:type="spellStart"/>
      <w:r w:rsidRPr="00353EC0">
        <w:rPr>
          <w:lang w:val="hr-HR"/>
        </w:rPr>
        <w:t>theoretical</w:t>
      </w:r>
      <w:proofErr w:type="spellEnd"/>
      <w:r w:rsidRPr="00353EC0">
        <w:rPr>
          <w:lang w:val="hr-HR"/>
        </w:rPr>
        <w:t xml:space="preserve"> </w:t>
      </w:r>
      <w:proofErr w:type="spellStart"/>
      <w:r w:rsidRPr="00353EC0">
        <w:rPr>
          <w:lang w:val="hr-HR"/>
        </w:rPr>
        <w:t>assumptions</w:t>
      </w:r>
      <w:proofErr w:type="spellEnd"/>
      <w:r w:rsidRPr="00353EC0">
        <w:rPr>
          <w:lang w:val="hr-HR"/>
        </w:rPr>
        <w:t xml:space="preserve"> but </w:t>
      </w:r>
      <w:proofErr w:type="spellStart"/>
      <w:r w:rsidRPr="00353EC0">
        <w:rPr>
          <w:lang w:val="hr-HR"/>
        </w:rPr>
        <w:t>also</w:t>
      </w:r>
      <w:proofErr w:type="spellEnd"/>
      <w:r w:rsidRPr="00353EC0">
        <w:rPr>
          <w:lang w:val="hr-HR"/>
        </w:rPr>
        <w:t xml:space="preserve"> </w:t>
      </w:r>
      <w:proofErr w:type="spellStart"/>
      <w:r w:rsidRPr="00353EC0">
        <w:rPr>
          <w:lang w:val="hr-HR"/>
        </w:rPr>
        <w:t>emphasize</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specific</w:t>
      </w:r>
      <w:proofErr w:type="spellEnd"/>
      <w:r w:rsidRPr="00353EC0">
        <w:rPr>
          <w:lang w:val="hr-HR"/>
        </w:rPr>
        <w:t xml:space="preserve"> </w:t>
      </w:r>
      <w:proofErr w:type="spellStart"/>
      <w:r w:rsidRPr="00353EC0">
        <w:rPr>
          <w:lang w:val="hr-HR"/>
        </w:rPr>
        <w:t>characteristics</w:t>
      </w:r>
      <w:proofErr w:type="spellEnd"/>
      <w:r w:rsidRPr="00353EC0">
        <w:rPr>
          <w:lang w:val="hr-HR"/>
        </w:rPr>
        <w:t xml:space="preserve"> </w:t>
      </w:r>
      <w:proofErr w:type="spellStart"/>
      <w:r w:rsidRPr="00353EC0">
        <w:rPr>
          <w:lang w:val="hr-HR"/>
        </w:rPr>
        <w:t>of</w:t>
      </w:r>
      <w:proofErr w:type="spellEnd"/>
      <w:r w:rsidRPr="00353EC0">
        <w:rPr>
          <w:lang w:val="hr-HR"/>
        </w:rPr>
        <w:t xml:space="preserve"> </w:t>
      </w:r>
      <w:proofErr w:type="spellStart"/>
      <w:r w:rsidRPr="00353EC0">
        <w:rPr>
          <w:lang w:val="hr-HR"/>
        </w:rPr>
        <w:t>the</w:t>
      </w:r>
      <w:proofErr w:type="spellEnd"/>
      <w:r w:rsidRPr="00353EC0">
        <w:rPr>
          <w:lang w:val="hr-HR"/>
        </w:rPr>
        <w:t xml:space="preserve"> Croatian market, </w:t>
      </w:r>
      <w:proofErr w:type="spellStart"/>
      <w:r w:rsidRPr="00353EC0">
        <w:rPr>
          <w:lang w:val="hr-HR"/>
        </w:rPr>
        <w:t>underlining</w:t>
      </w:r>
      <w:proofErr w:type="spellEnd"/>
      <w:r w:rsidRPr="00353EC0">
        <w:rPr>
          <w:lang w:val="hr-HR"/>
        </w:rPr>
        <w:t xml:space="preserve"> </w:t>
      </w:r>
      <w:proofErr w:type="spellStart"/>
      <w:r w:rsidRPr="00353EC0">
        <w:rPr>
          <w:lang w:val="hr-HR"/>
        </w:rPr>
        <w:t>the</w:t>
      </w:r>
      <w:proofErr w:type="spellEnd"/>
      <w:r w:rsidRPr="00353EC0">
        <w:rPr>
          <w:lang w:val="hr-HR"/>
        </w:rPr>
        <w:t xml:space="preserve"> </w:t>
      </w:r>
      <w:proofErr w:type="spellStart"/>
      <w:r w:rsidRPr="00353EC0">
        <w:rPr>
          <w:lang w:val="hr-HR"/>
        </w:rPr>
        <w:t>importance</w:t>
      </w:r>
      <w:proofErr w:type="spellEnd"/>
      <w:r w:rsidRPr="00353EC0">
        <w:rPr>
          <w:lang w:val="hr-HR"/>
        </w:rPr>
        <w:t xml:space="preserve"> </w:t>
      </w:r>
      <w:proofErr w:type="spellStart"/>
      <w:r w:rsidRPr="00353EC0">
        <w:rPr>
          <w:lang w:val="hr-HR"/>
        </w:rPr>
        <w:t>of</w:t>
      </w:r>
      <w:proofErr w:type="spellEnd"/>
      <w:r w:rsidRPr="00353EC0">
        <w:rPr>
          <w:lang w:val="hr-HR"/>
        </w:rPr>
        <w:t xml:space="preserve"> a </w:t>
      </w:r>
      <w:proofErr w:type="spellStart"/>
      <w:r w:rsidRPr="00353EC0">
        <w:rPr>
          <w:lang w:val="hr-HR"/>
        </w:rPr>
        <w:t>sector-specific</w:t>
      </w:r>
      <w:proofErr w:type="spellEnd"/>
      <w:r w:rsidRPr="00353EC0">
        <w:rPr>
          <w:lang w:val="hr-HR"/>
        </w:rPr>
        <w:t xml:space="preserve"> </w:t>
      </w:r>
      <w:proofErr w:type="spellStart"/>
      <w:r w:rsidRPr="00353EC0">
        <w:rPr>
          <w:lang w:val="hr-HR"/>
        </w:rPr>
        <w:t>approach</w:t>
      </w:r>
      <w:proofErr w:type="spellEnd"/>
      <w:r w:rsidRPr="00353EC0">
        <w:rPr>
          <w:lang w:val="hr-HR"/>
        </w:rPr>
        <w:t xml:space="preserve"> </w:t>
      </w:r>
      <w:proofErr w:type="spellStart"/>
      <w:r w:rsidRPr="00353EC0">
        <w:rPr>
          <w:lang w:val="hr-HR"/>
        </w:rPr>
        <w:t>in</w:t>
      </w:r>
      <w:proofErr w:type="spellEnd"/>
      <w:r w:rsidRPr="00353EC0">
        <w:rPr>
          <w:lang w:val="hr-HR"/>
        </w:rPr>
        <w:t xml:space="preserve"> </w:t>
      </w:r>
      <w:proofErr w:type="spellStart"/>
      <w:r w:rsidRPr="00353EC0">
        <w:rPr>
          <w:lang w:val="hr-HR"/>
        </w:rPr>
        <w:t>financial</w:t>
      </w:r>
      <w:proofErr w:type="spellEnd"/>
      <w:r w:rsidRPr="00353EC0">
        <w:rPr>
          <w:lang w:val="hr-HR"/>
        </w:rPr>
        <w:t xml:space="preserve"> </w:t>
      </w:r>
      <w:proofErr w:type="spellStart"/>
      <w:r w:rsidRPr="00353EC0">
        <w:rPr>
          <w:lang w:val="hr-HR"/>
        </w:rPr>
        <w:t>decision-making</w:t>
      </w:r>
      <w:proofErr w:type="spellEnd"/>
      <w:r w:rsidRPr="00353EC0">
        <w:rPr>
          <w:lang w:val="hr-HR"/>
        </w:rPr>
        <w:t>.</w:t>
      </w:r>
    </w:p>
    <w:p w14:paraId="6533FF49" w14:textId="77777777" w:rsidR="00353EC0" w:rsidRPr="00353EC0" w:rsidRDefault="00353EC0" w:rsidP="00353EC0">
      <w:pPr>
        <w:spacing w:line="360" w:lineRule="auto"/>
        <w:jc w:val="both"/>
        <w:rPr>
          <w:lang w:val="hr-HR"/>
        </w:rPr>
      </w:pPr>
    </w:p>
    <w:p w14:paraId="2E2A0750" w14:textId="77777777" w:rsidR="00353EC0" w:rsidRPr="00353EC0" w:rsidRDefault="00353EC0" w:rsidP="00353EC0">
      <w:pPr>
        <w:spacing w:line="360" w:lineRule="auto"/>
        <w:jc w:val="both"/>
        <w:rPr>
          <w:lang w:val="hr-HR"/>
        </w:rPr>
      </w:pPr>
      <w:proofErr w:type="spellStart"/>
      <w:r w:rsidRPr="00353EC0">
        <w:rPr>
          <w:b/>
          <w:bCs/>
          <w:lang w:val="hr-HR"/>
        </w:rPr>
        <w:t>Keywords</w:t>
      </w:r>
      <w:proofErr w:type="spellEnd"/>
      <w:r w:rsidRPr="00353EC0">
        <w:rPr>
          <w:b/>
          <w:bCs/>
          <w:lang w:val="hr-HR"/>
        </w:rPr>
        <w:t>:</w:t>
      </w:r>
      <w:r w:rsidRPr="00353EC0">
        <w:rPr>
          <w:lang w:val="hr-HR"/>
        </w:rPr>
        <w:t xml:space="preserve"> </w:t>
      </w:r>
      <w:proofErr w:type="spellStart"/>
      <w:r w:rsidRPr="00353EC0">
        <w:rPr>
          <w:lang w:val="hr-HR"/>
        </w:rPr>
        <w:t>financial</w:t>
      </w:r>
      <w:proofErr w:type="spellEnd"/>
      <w:r w:rsidRPr="00353EC0">
        <w:rPr>
          <w:lang w:val="hr-HR"/>
        </w:rPr>
        <w:t xml:space="preserve"> </w:t>
      </w:r>
      <w:proofErr w:type="spellStart"/>
      <w:r w:rsidRPr="00353EC0">
        <w:rPr>
          <w:lang w:val="hr-HR"/>
        </w:rPr>
        <w:t>leverage</w:t>
      </w:r>
      <w:proofErr w:type="spellEnd"/>
      <w:r w:rsidRPr="00353EC0">
        <w:rPr>
          <w:lang w:val="hr-HR"/>
        </w:rPr>
        <w:t xml:space="preserve">, </w:t>
      </w:r>
      <w:proofErr w:type="spellStart"/>
      <w:r w:rsidRPr="00353EC0">
        <w:rPr>
          <w:lang w:val="hr-HR"/>
        </w:rPr>
        <w:t>liquidity</w:t>
      </w:r>
      <w:proofErr w:type="spellEnd"/>
      <w:r w:rsidRPr="00353EC0">
        <w:rPr>
          <w:lang w:val="hr-HR"/>
        </w:rPr>
        <w:t xml:space="preserve">, </w:t>
      </w:r>
      <w:proofErr w:type="spellStart"/>
      <w:r w:rsidRPr="00353EC0">
        <w:rPr>
          <w:lang w:val="hr-HR"/>
        </w:rPr>
        <w:t>dynamic</w:t>
      </w:r>
      <w:proofErr w:type="spellEnd"/>
      <w:r w:rsidRPr="00353EC0">
        <w:rPr>
          <w:lang w:val="hr-HR"/>
        </w:rPr>
        <w:t xml:space="preserve"> panel model, </w:t>
      </w:r>
      <w:proofErr w:type="spellStart"/>
      <w:r w:rsidRPr="00353EC0">
        <w:rPr>
          <w:lang w:val="hr-HR"/>
        </w:rPr>
        <w:t>sectoral</w:t>
      </w:r>
      <w:proofErr w:type="spellEnd"/>
      <w:r w:rsidRPr="00353EC0">
        <w:rPr>
          <w:lang w:val="hr-HR"/>
        </w:rPr>
        <w:t xml:space="preserve"> </w:t>
      </w:r>
      <w:proofErr w:type="spellStart"/>
      <w:r w:rsidRPr="00353EC0">
        <w:rPr>
          <w:lang w:val="hr-HR"/>
        </w:rPr>
        <w:t>analysis</w:t>
      </w:r>
      <w:proofErr w:type="spellEnd"/>
      <w:r w:rsidRPr="00353EC0">
        <w:rPr>
          <w:lang w:val="hr-HR"/>
        </w:rPr>
        <w:t xml:space="preserve">, </w:t>
      </w:r>
      <w:proofErr w:type="spellStart"/>
      <w:r w:rsidRPr="00353EC0">
        <w:rPr>
          <w:lang w:val="hr-HR"/>
        </w:rPr>
        <w:t>capital</w:t>
      </w:r>
      <w:proofErr w:type="spellEnd"/>
      <w:r w:rsidRPr="00353EC0">
        <w:rPr>
          <w:lang w:val="hr-HR"/>
        </w:rPr>
        <w:t xml:space="preserve"> </w:t>
      </w:r>
      <w:proofErr w:type="spellStart"/>
      <w:r w:rsidRPr="00353EC0">
        <w:rPr>
          <w:lang w:val="hr-HR"/>
        </w:rPr>
        <w:t>structure</w:t>
      </w:r>
      <w:proofErr w:type="spellEnd"/>
    </w:p>
    <w:p w14:paraId="023C8F57" w14:textId="096E3F97" w:rsidR="00613CD0" w:rsidRDefault="00613CD0">
      <w:pPr>
        <w:rPr>
          <w:sz w:val="32"/>
          <w:szCs w:val="32"/>
        </w:rPr>
      </w:pPr>
      <w:r>
        <w:br w:type="page"/>
      </w:r>
    </w:p>
    <w:p w14:paraId="21FE7DD4" w14:textId="68C693D9" w:rsidR="00613CD0" w:rsidRDefault="008A09CC" w:rsidP="007A371C">
      <w:pPr>
        <w:pStyle w:val="Naslov2"/>
        <w:numPr>
          <w:ilvl w:val="0"/>
          <w:numId w:val="7"/>
        </w:numPr>
        <w:spacing w:before="0"/>
      </w:pPr>
      <w:bookmarkStart w:id="90" w:name="_a3nslujfe2ku" w:colFirst="0" w:colLast="0"/>
      <w:bookmarkStart w:id="91" w:name="_Toc207275904"/>
      <w:bookmarkEnd w:id="90"/>
      <w:r>
        <w:lastRenderedPageBreak/>
        <w:t>Zahvale</w:t>
      </w:r>
      <w:bookmarkEnd w:id="91"/>
    </w:p>
    <w:p w14:paraId="1163DE5E" w14:textId="77777777" w:rsidR="00063CAD" w:rsidRPr="00063CAD" w:rsidRDefault="00063CAD" w:rsidP="00063CAD"/>
    <w:p w14:paraId="2522DE40" w14:textId="1C482E71" w:rsidR="00613CD0" w:rsidRDefault="00063CAD" w:rsidP="00063CAD">
      <w:pPr>
        <w:spacing w:line="360" w:lineRule="auto"/>
        <w:jc w:val="both"/>
        <w:rPr>
          <w:sz w:val="32"/>
          <w:szCs w:val="32"/>
        </w:rPr>
      </w:pPr>
      <w:r w:rsidRPr="00063CAD">
        <w:t>Zahvaljujem svojoj mentorici</w:t>
      </w:r>
      <w:r>
        <w:t xml:space="preserve">, doc. dr. sc. Ivani </w:t>
      </w:r>
      <w:proofErr w:type="spellStart"/>
      <w:r>
        <w:t>Đunđek</w:t>
      </w:r>
      <w:proofErr w:type="spellEnd"/>
      <w:r>
        <w:t xml:space="preserve"> </w:t>
      </w:r>
      <w:r w:rsidRPr="00063CAD">
        <w:t>na stručnom vodstvu, podršci i korisnim savjetima tijekom izrade ovog rada. Posebnu zahvalnost upućujem Financijskoj agenciji (FINA) na ustupanju potrebnih podataka te svojoj obitelji i prijateljima na strpljenju i podršci kroz cijeli proces istraživanja i pisanja.</w:t>
      </w:r>
      <w:r w:rsidR="00613CD0">
        <w:br w:type="page"/>
      </w:r>
    </w:p>
    <w:p w14:paraId="3B2DF69F" w14:textId="7919E3F7" w:rsidR="00613CD0" w:rsidRDefault="008A09CC">
      <w:pPr>
        <w:pStyle w:val="Naslov2"/>
      </w:pPr>
      <w:bookmarkStart w:id="92" w:name="_r4oj6w526kkg" w:colFirst="0" w:colLast="0"/>
      <w:bookmarkStart w:id="93" w:name="_Toc207275905"/>
      <w:bookmarkEnd w:id="92"/>
      <w:r>
        <w:lastRenderedPageBreak/>
        <w:t>Popis slika</w:t>
      </w:r>
      <w:bookmarkEnd w:id="93"/>
    </w:p>
    <w:p w14:paraId="03FF38E9" w14:textId="77777777" w:rsidR="00E15521" w:rsidRPr="00E15521" w:rsidRDefault="00E15521" w:rsidP="00E15521"/>
    <w:p w14:paraId="2C47AA15" w14:textId="5CF6906A" w:rsidR="00941949" w:rsidRDefault="00941949" w:rsidP="00E15521">
      <w:pPr>
        <w:pStyle w:val="Tablicaslika"/>
        <w:tabs>
          <w:tab w:val="right" w:leader="dot" w:pos="9019"/>
        </w:tabs>
        <w:spacing w:line="360" w:lineRule="auto"/>
        <w:jc w:val="both"/>
        <w:rPr>
          <w:noProof/>
        </w:rPr>
      </w:pPr>
      <w:r>
        <w:fldChar w:fldCharType="begin"/>
      </w:r>
      <w:r>
        <w:instrText xml:space="preserve"> TOC \h \z \c "Slika" </w:instrText>
      </w:r>
      <w:r>
        <w:fldChar w:fldCharType="separate"/>
      </w:r>
      <w:hyperlink w:anchor="_Toc207263311" w:history="1">
        <w:r w:rsidRPr="00D12845">
          <w:rPr>
            <w:rStyle w:val="Hiperveza"/>
            <w:noProof/>
          </w:rPr>
          <w:t>Slika 1. Kružni ciklus konverzije sredstava u novac (Izvor: vlastita izrada autorice)</w:t>
        </w:r>
        <w:r>
          <w:rPr>
            <w:noProof/>
            <w:webHidden/>
          </w:rPr>
          <w:tab/>
        </w:r>
        <w:r>
          <w:rPr>
            <w:noProof/>
            <w:webHidden/>
          </w:rPr>
          <w:fldChar w:fldCharType="begin"/>
        </w:r>
        <w:r>
          <w:rPr>
            <w:noProof/>
            <w:webHidden/>
          </w:rPr>
          <w:instrText xml:space="preserve"> PAGEREF _Toc207263311 \h </w:instrText>
        </w:r>
        <w:r>
          <w:rPr>
            <w:noProof/>
            <w:webHidden/>
          </w:rPr>
        </w:r>
        <w:r>
          <w:rPr>
            <w:noProof/>
            <w:webHidden/>
          </w:rPr>
          <w:fldChar w:fldCharType="separate"/>
        </w:r>
        <w:r>
          <w:rPr>
            <w:noProof/>
            <w:webHidden/>
          </w:rPr>
          <w:t>11</w:t>
        </w:r>
        <w:r>
          <w:rPr>
            <w:noProof/>
            <w:webHidden/>
          </w:rPr>
          <w:fldChar w:fldCharType="end"/>
        </w:r>
      </w:hyperlink>
    </w:p>
    <w:p w14:paraId="5454C391" w14:textId="2D9BCC8A" w:rsidR="00941949" w:rsidRDefault="00941949" w:rsidP="00E15521">
      <w:pPr>
        <w:pStyle w:val="Tablicaslika"/>
        <w:tabs>
          <w:tab w:val="right" w:leader="dot" w:pos="9019"/>
        </w:tabs>
        <w:spacing w:line="360" w:lineRule="auto"/>
        <w:jc w:val="both"/>
        <w:rPr>
          <w:noProof/>
        </w:rPr>
      </w:pPr>
      <w:hyperlink w:anchor="_Toc207263312" w:history="1">
        <w:r w:rsidRPr="00D12845">
          <w:rPr>
            <w:rStyle w:val="Hiperveza"/>
            <w:noProof/>
          </w:rPr>
          <w:t>Slika 2. Distribucija vrijednosti varijabli (KTL, DER, ROA, ROE, KI i PP) u sektoru C - Prerađivačka industrija  (podaci dostavljeni od strane FINA-e, izračun i obrada autorice u programu EViews 12)</w:t>
        </w:r>
        <w:r>
          <w:rPr>
            <w:noProof/>
            <w:webHidden/>
          </w:rPr>
          <w:tab/>
        </w:r>
        <w:r>
          <w:rPr>
            <w:noProof/>
            <w:webHidden/>
          </w:rPr>
          <w:fldChar w:fldCharType="begin"/>
        </w:r>
        <w:r>
          <w:rPr>
            <w:noProof/>
            <w:webHidden/>
          </w:rPr>
          <w:instrText xml:space="preserve"> PAGEREF _Toc207263312 \h </w:instrText>
        </w:r>
        <w:r>
          <w:rPr>
            <w:noProof/>
            <w:webHidden/>
          </w:rPr>
        </w:r>
        <w:r>
          <w:rPr>
            <w:noProof/>
            <w:webHidden/>
          </w:rPr>
          <w:fldChar w:fldCharType="separate"/>
        </w:r>
        <w:r>
          <w:rPr>
            <w:noProof/>
            <w:webHidden/>
          </w:rPr>
          <w:t>19</w:t>
        </w:r>
        <w:r>
          <w:rPr>
            <w:noProof/>
            <w:webHidden/>
          </w:rPr>
          <w:fldChar w:fldCharType="end"/>
        </w:r>
      </w:hyperlink>
    </w:p>
    <w:p w14:paraId="52DF66A5" w14:textId="79CC53F4" w:rsidR="00941949" w:rsidRDefault="00941949" w:rsidP="00E15521">
      <w:pPr>
        <w:pStyle w:val="Tablicaslika"/>
        <w:tabs>
          <w:tab w:val="right" w:leader="dot" w:pos="9019"/>
        </w:tabs>
        <w:spacing w:line="360" w:lineRule="auto"/>
        <w:jc w:val="both"/>
        <w:rPr>
          <w:noProof/>
        </w:rPr>
      </w:pPr>
      <w:hyperlink w:anchor="_Toc207263313" w:history="1">
        <w:r w:rsidRPr="00D12845">
          <w:rPr>
            <w:rStyle w:val="Hiperveza"/>
            <w:noProof/>
          </w:rPr>
          <w:t>Slika 3. Distribucija vrijednosti varijabli (KTL, DER, ROA, ROE, KI i PP) u sektoru H - Prijevoz i skladištenje (podaci dostavljeni od strane FINA-e, izračun i obrada autorice u programu EViews 12)</w:t>
        </w:r>
        <w:r>
          <w:rPr>
            <w:noProof/>
            <w:webHidden/>
          </w:rPr>
          <w:tab/>
        </w:r>
        <w:r>
          <w:rPr>
            <w:noProof/>
            <w:webHidden/>
          </w:rPr>
          <w:fldChar w:fldCharType="begin"/>
        </w:r>
        <w:r>
          <w:rPr>
            <w:noProof/>
            <w:webHidden/>
          </w:rPr>
          <w:instrText xml:space="preserve"> PAGEREF _Toc207263313 \h </w:instrText>
        </w:r>
        <w:r>
          <w:rPr>
            <w:noProof/>
            <w:webHidden/>
          </w:rPr>
        </w:r>
        <w:r>
          <w:rPr>
            <w:noProof/>
            <w:webHidden/>
          </w:rPr>
          <w:fldChar w:fldCharType="separate"/>
        </w:r>
        <w:r>
          <w:rPr>
            <w:noProof/>
            <w:webHidden/>
          </w:rPr>
          <w:t>28</w:t>
        </w:r>
        <w:r>
          <w:rPr>
            <w:noProof/>
            <w:webHidden/>
          </w:rPr>
          <w:fldChar w:fldCharType="end"/>
        </w:r>
      </w:hyperlink>
    </w:p>
    <w:p w14:paraId="5F71A108" w14:textId="3D7C7FA6" w:rsidR="00941949" w:rsidRDefault="00941949" w:rsidP="00E15521">
      <w:pPr>
        <w:pStyle w:val="Tablicaslika"/>
        <w:tabs>
          <w:tab w:val="right" w:leader="dot" w:pos="9019"/>
        </w:tabs>
        <w:spacing w:line="360" w:lineRule="auto"/>
        <w:jc w:val="both"/>
        <w:rPr>
          <w:noProof/>
        </w:rPr>
      </w:pPr>
      <w:hyperlink w:anchor="_Toc207263314" w:history="1">
        <w:r w:rsidRPr="00D12845">
          <w:rPr>
            <w:rStyle w:val="Hiperveza"/>
            <w:noProof/>
          </w:rPr>
          <w:t>Slika 4. Distribucija vrijednosti varijabli (KTL, DER, ROA, ROE, KI i PP) u sektoru I - Djelatnosti pružanja smještaja te pripreme i usluživanja hrane (podaci dostavljeni od strane FINA-e, izračun i obrada autorice u programu EViews 12)</w:t>
        </w:r>
        <w:r>
          <w:rPr>
            <w:noProof/>
            <w:webHidden/>
          </w:rPr>
          <w:tab/>
        </w:r>
        <w:r>
          <w:rPr>
            <w:noProof/>
            <w:webHidden/>
          </w:rPr>
          <w:fldChar w:fldCharType="begin"/>
        </w:r>
        <w:r>
          <w:rPr>
            <w:noProof/>
            <w:webHidden/>
          </w:rPr>
          <w:instrText xml:space="preserve"> PAGEREF _Toc207263314 \h </w:instrText>
        </w:r>
        <w:r>
          <w:rPr>
            <w:noProof/>
            <w:webHidden/>
          </w:rPr>
        </w:r>
        <w:r>
          <w:rPr>
            <w:noProof/>
            <w:webHidden/>
          </w:rPr>
          <w:fldChar w:fldCharType="separate"/>
        </w:r>
        <w:r>
          <w:rPr>
            <w:noProof/>
            <w:webHidden/>
          </w:rPr>
          <w:t>36</w:t>
        </w:r>
        <w:r>
          <w:rPr>
            <w:noProof/>
            <w:webHidden/>
          </w:rPr>
          <w:fldChar w:fldCharType="end"/>
        </w:r>
      </w:hyperlink>
    </w:p>
    <w:p w14:paraId="253B88A0" w14:textId="03B77CAD" w:rsidR="00941949" w:rsidRDefault="00941949" w:rsidP="00E15521">
      <w:pPr>
        <w:pStyle w:val="Tablicaslika"/>
        <w:tabs>
          <w:tab w:val="right" w:leader="dot" w:pos="9019"/>
        </w:tabs>
        <w:spacing w:line="360" w:lineRule="auto"/>
        <w:jc w:val="both"/>
        <w:rPr>
          <w:noProof/>
        </w:rPr>
      </w:pPr>
      <w:hyperlink w:anchor="_Toc207263315" w:history="1">
        <w:r w:rsidRPr="00D12845">
          <w:rPr>
            <w:rStyle w:val="Hiperveza"/>
            <w:noProof/>
          </w:rPr>
          <w:t>Slika 5. Distribucija vrijednosti varijabli (KTL, DER, ROA, ROE, KI i PP) u sektoru N - Administrativne i pomoćne uslužne djelatnosti (podaci dostavljeni od strane FINA-e, izračun i obrada autorice u programu EViews 12)</w:t>
        </w:r>
        <w:r>
          <w:rPr>
            <w:noProof/>
            <w:webHidden/>
          </w:rPr>
          <w:tab/>
        </w:r>
        <w:r>
          <w:rPr>
            <w:noProof/>
            <w:webHidden/>
          </w:rPr>
          <w:fldChar w:fldCharType="begin"/>
        </w:r>
        <w:r>
          <w:rPr>
            <w:noProof/>
            <w:webHidden/>
          </w:rPr>
          <w:instrText xml:space="preserve"> PAGEREF _Toc207263315 \h </w:instrText>
        </w:r>
        <w:r>
          <w:rPr>
            <w:noProof/>
            <w:webHidden/>
          </w:rPr>
        </w:r>
        <w:r>
          <w:rPr>
            <w:noProof/>
            <w:webHidden/>
          </w:rPr>
          <w:fldChar w:fldCharType="separate"/>
        </w:r>
        <w:r>
          <w:rPr>
            <w:noProof/>
            <w:webHidden/>
          </w:rPr>
          <w:t>43</w:t>
        </w:r>
        <w:r>
          <w:rPr>
            <w:noProof/>
            <w:webHidden/>
          </w:rPr>
          <w:fldChar w:fldCharType="end"/>
        </w:r>
      </w:hyperlink>
    </w:p>
    <w:p w14:paraId="714B6799" w14:textId="77F517FF" w:rsidR="00613CD0" w:rsidRDefault="00941949">
      <w:pPr>
        <w:rPr>
          <w:sz w:val="32"/>
          <w:szCs w:val="32"/>
        </w:rPr>
      </w:pPr>
      <w:r>
        <w:fldChar w:fldCharType="end"/>
      </w:r>
      <w:r w:rsidR="00613CD0">
        <w:br w:type="page"/>
      </w:r>
    </w:p>
    <w:p w14:paraId="6D5B0BF9" w14:textId="77777777" w:rsidR="00B92FBB" w:rsidRDefault="008A09CC">
      <w:pPr>
        <w:pStyle w:val="Naslov2"/>
      </w:pPr>
      <w:bookmarkStart w:id="94" w:name="_43kixky30jey" w:colFirst="0" w:colLast="0"/>
      <w:bookmarkStart w:id="95" w:name="_Toc207275906"/>
      <w:bookmarkEnd w:id="94"/>
      <w:r>
        <w:lastRenderedPageBreak/>
        <w:t>Popis tablica</w:t>
      </w:r>
      <w:bookmarkEnd w:id="95"/>
    </w:p>
    <w:p w14:paraId="77591694" w14:textId="2E54F6E6" w:rsidR="002F7D8D" w:rsidRDefault="00E15521"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r>
        <w:fldChar w:fldCharType="begin"/>
      </w:r>
      <w:r>
        <w:instrText xml:space="preserve"> TOC \h \z \c "Tablica" </w:instrText>
      </w:r>
      <w:r>
        <w:fldChar w:fldCharType="separate"/>
      </w:r>
      <w:hyperlink w:anchor="_Toc207265195" w:history="1">
        <w:r w:rsidR="002F7D8D" w:rsidRPr="006D65DE">
          <w:rPr>
            <w:rStyle w:val="Hiperveza"/>
            <w:noProof/>
          </w:rPr>
          <w:t>Tablica 1. Deskriptivna statistika za sektor C - Prerađivačka industrija (podaci dostavljeni od strane FINA-e, izračun i obrada autorice u programu EViews 12)</w:t>
        </w:r>
        <w:r w:rsidR="002F7D8D">
          <w:rPr>
            <w:noProof/>
            <w:webHidden/>
          </w:rPr>
          <w:tab/>
        </w:r>
        <w:r w:rsidR="002F7D8D">
          <w:rPr>
            <w:noProof/>
            <w:webHidden/>
          </w:rPr>
          <w:fldChar w:fldCharType="begin"/>
        </w:r>
        <w:r w:rsidR="002F7D8D">
          <w:rPr>
            <w:noProof/>
            <w:webHidden/>
          </w:rPr>
          <w:instrText xml:space="preserve"> PAGEREF _Toc207265195 \h </w:instrText>
        </w:r>
        <w:r w:rsidR="002F7D8D">
          <w:rPr>
            <w:noProof/>
            <w:webHidden/>
          </w:rPr>
        </w:r>
        <w:r w:rsidR="002F7D8D">
          <w:rPr>
            <w:noProof/>
            <w:webHidden/>
          </w:rPr>
          <w:fldChar w:fldCharType="separate"/>
        </w:r>
        <w:r w:rsidR="002F7D8D">
          <w:rPr>
            <w:noProof/>
            <w:webHidden/>
          </w:rPr>
          <w:t>18</w:t>
        </w:r>
        <w:r w:rsidR="002F7D8D">
          <w:rPr>
            <w:noProof/>
            <w:webHidden/>
          </w:rPr>
          <w:fldChar w:fldCharType="end"/>
        </w:r>
      </w:hyperlink>
    </w:p>
    <w:p w14:paraId="2FC4339D" w14:textId="21F3D1EA"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196" w:history="1">
        <w:r w:rsidRPr="006D65DE">
          <w:rPr>
            <w:rStyle w:val="Hiperveza"/>
            <w:noProof/>
          </w:rPr>
          <w:t>Tablica 2. Korelacijska matrica za sektor C - Prerađivačka industrija (podaci dostavljeni od strane FINA-e, izračun i obrada autorice u programu EViews 12)</w:t>
        </w:r>
        <w:r>
          <w:rPr>
            <w:noProof/>
            <w:webHidden/>
          </w:rPr>
          <w:tab/>
        </w:r>
        <w:r>
          <w:rPr>
            <w:noProof/>
            <w:webHidden/>
          </w:rPr>
          <w:fldChar w:fldCharType="begin"/>
        </w:r>
        <w:r>
          <w:rPr>
            <w:noProof/>
            <w:webHidden/>
          </w:rPr>
          <w:instrText xml:space="preserve"> PAGEREF _Toc207265196 \h </w:instrText>
        </w:r>
        <w:r>
          <w:rPr>
            <w:noProof/>
            <w:webHidden/>
          </w:rPr>
        </w:r>
        <w:r>
          <w:rPr>
            <w:noProof/>
            <w:webHidden/>
          </w:rPr>
          <w:fldChar w:fldCharType="separate"/>
        </w:r>
        <w:r>
          <w:rPr>
            <w:noProof/>
            <w:webHidden/>
          </w:rPr>
          <w:t>20</w:t>
        </w:r>
        <w:r>
          <w:rPr>
            <w:noProof/>
            <w:webHidden/>
          </w:rPr>
          <w:fldChar w:fldCharType="end"/>
        </w:r>
      </w:hyperlink>
    </w:p>
    <w:p w14:paraId="14FCCDA7" w14:textId="2D337DDD"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197" w:history="1">
        <w:r w:rsidRPr="006D65DE">
          <w:rPr>
            <w:rStyle w:val="Hiperveza"/>
            <w:noProof/>
          </w:rPr>
          <w:t>Tablica 3.  Rezultati dinamičkog panel modela za sektor C  (podaci dostavljeni od strane FINA-e, izračun i obrada autorice u programu EViews 12)</w:t>
        </w:r>
        <w:r>
          <w:rPr>
            <w:noProof/>
            <w:webHidden/>
          </w:rPr>
          <w:tab/>
        </w:r>
        <w:r>
          <w:rPr>
            <w:noProof/>
            <w:webHidden/>
          </w:rPr>
          <w:fldChar w:fldCharType="begin"/>
        </w:r>
        <w:r>
          <w:rPr>
            <w:noProof/>
            <w:webHidden/>
          </w:rPr>
          <w:instrText xml:space="preserve"> PAGEREF _Toc207265197 \h </w:instrText>
        </w:r>
        <w:r>
          <w:rPr>
            <w:noProof/>
            <w:webHidden/>
          </w:rPr>
        </w:r>
        <w:r>
          <w:rPr>
            <w:noProof/>
            <w:webHidden/>
          </w:rPr>
          <w:fldChar w:fldCharType="separate"/>
        </w:r>
        <w:r>
          <w:rPr>
            <w:noProof/>
            <w:webHidden/>
          </w:rPr>
          <w:t>23</w:t>
        </w:r>
        <w:r>
          <w:rPr>
            <w:noProof/>
            <w:webHidden/>
          </w:rPr>
          <w:fldChar w:fldCharType="end"/>
        </w:r>
      </w:hyperlink>
    </w:p>
    <w:p w14:paraId="416A3B50" w14:textId="1056854B"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198" w:history="1">
        <w:r w:rsidRPr="006D65DE">
          <w:rPr>
            <w:rStyle w:val="Hiperveza"/>
            <w:noProof/>
          </w:rPr>
          <w:t>Tablica 4. Deskriptivna statistika za sektor H - Prijevoz i skladištenje (podaci dostavljeni od strane FINA-e, izračun i obrada autorice u programu EViews 12)</w:t>
        </w:r>
        <w:r>
          <w:rPr>
            <w:noProof/>
            <w:webHidden/>
          </w:rPr>
          <w:tab/>
        </w:r>
        <w:r>
          <w:rPr>
            <w:noProof/>
            <w:webHidden/>
          </w:rPr>
          <w:fldChar w:fldCharType="begin"/>
        </w:r>
        <w:r>
          <w:rPr>
            <w:noProof/>
            <w:webHidden/>
          </w:rPr>
          <w:instrText xml:space="preserve"> PAGEREF _Toc207265198 \h </w:instrText>
        </w:r>
        <w:r>
          <w:rPr>
            <w:noProof/>
            <w:webHidden/>
          </w:rPr>
        </w:r>
        <w:r>
          <w:rPr>
            <w:noProof/>
            <w:webHidden/>
          </w:rPr>
          <w:fldChar w:fldCharType="separate"/>
        </w:r>
        <w:r>
          <w:rPr>
            <w:noProof/>
            <w:webHidden/>
          </w:rPr>
          <w:t>26</w:t>
        </w:r>
        <w:r>
          <w:rPr>
            <w:noProof/>
            <w:webHidden/>
          </w:rPr>
          <w:fldChar w:fldCharType="end"/>
        </w:r>
      </w:hyperlink>
    </w:p>
    <w:p w14:paraId="23723605" w14:textId="70497FFD"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199" w:history="1">
        <w:r w:rsidRPr="006D65DE">
          <w:rPr>
            <w:rStyle w:val="Hiperveza"/>
            <w:noProof/>
          </w:rPr>
          <w:t>Tablica 5. Korelacijska matrica za sektor H - Prijevoz i skladištenje (podaci dostavljeni od strane FINA-e, izračun i obrada autorice u programu EViews 12)</w:t>
        </w:r>
        <w:r>
          <w:rPr>
            <w:noProof/>
            <w:webHidden/>
          </w:rPr>
          <w:tab/>
        </w:r>
        <w:r>
          <w:rPr>
            <w:noProof/>
            <w:webHidden/>
          </w:rPr>
          <w:fldChar w:fldCharType="begin"/>
        </w:r>
        <w:r>
          <w:rPr>
            <w:noProof/>
            <w:webHidden/>
          </w:rPr>
          <w:instrText xml:space="preserve"> PAGEREF _Toc207265199 \h </w:instrText>
        </w:r>
        <w:r>
          <w:rPr>
            <w:noProof/>
            <w:webHidden/>
          </w:rPr>
        </w:r>
        <w:r>
          <w:rPr>
            <w:noProof/>
            <w:webHidden/>
          </w:rPr>
          <w:fldChar w:fldCharType="separate"/>
        </w:r>
        <w:r>
          <w:rPr>
            <w:noProof/>
            <w:webHidden/>
          </w:rPr>
          <w:t>29</w:t>
        </w:r>
        <w:r>
          <w:rPr>
            <w:noProof/>
            <w:webHidden/>
          </w:rPr>
          <w:fldChar w:fldCharType="end"/>
        </w:r>
      </w:hyperlink>
    </w:p>
    <w:p w14:paraId="6F8F1C01" w14:textId="358528BC"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0" w:history="1">
        <w:r w:rsidRPr="006D65DE">
          <w:rPr>
            <w:rStyle w:val="Hiperveza"/>
            <w:noProof/>
          </w:rPr>
          <w:t>Tablica 6. Rezultati dinamičkog panel modela za sektor H - Prijevoz i skladištenje (podaci dostavljeni od strane FINA-e, izračun i obrada autorice u programu EViews 12)</w:t>
        </w:r>
        <w:r>
          <w:rPr>
            <w:noProof/>
            <w:webHidden/>
          </w:rPr>
          <w:tab/>
        </w:r>
        <w:r>
          <w:rPr>
            <w:noProof/>
            <w:webHidden/>
          </w:rPr>
          <w:fldChar w:fldCharType="begin"/>
        </w:r>
        <w:r>
          <w:rPr>
            <w:noProof/>
            <w:webHidden/>
          </w:rPr>
          <w:instrText xml:space="preserve"> PAGEREF _Toc207265200 \h </w:instrText>
        </w:r>
        <w:r>
          <w:rPr>
            <w:noProof/>
            <w:webHidden/>
          </w:rPr>
        </w:r>
        <w:r>
          <w:rPr>
            <w:noProof/>
            <w:webHidden/>
          </w:rPr>
          <w:fldChar w:fldCharType="separate"/>
        </w:r>
        <w:r>
          <w:rPr>
            <w:noProof/>
            <w:webHidden/>
          </w:rPr>
          <w:t>31</w:t>
        </w:r>
        <w:r>
          <w:rPr>
            <w:noProof/>
            <w:webHidden/>
          </w:rPr>
          <w:fldChar w:fldCharType="end"/>
        </w:r>
      </w:hyperlink>
    </w:p>
    <w:p w14:paraId="6032496C" w14:textId="38796E59"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1" w:history="1">
        <w:r w:rsidRPr="006D65DE">
          <w:rPr>
            <w:rStyle w:val="Hiperveza"/>
            <w:noProof/>
          </w:rPr>
          <w:t>Tablica 7. Deskriptivna statistika za sektor I - Djelatnosti pružanja smještaja te pripreme i usluživanja hrane (podaci dostavljeni od strane FINA-e, izračun i obrada autorice u programu EViews 12)</w:t>
        </w:r>
        <w:r>
          <w:rPr>
            <w:noProof/>
            <w:webHidden/>
          </w:rPr>
          <w:tab/>
        </w:r>
        <w:r>
          <w:rPr>
            <w:noProof/>
            <w:webHidden/>
          </w:rPr>
          <w:fldChar w:fldCharType="begin"/>
        </w:r>
        <w:r>
          <w:rPr>
            <w:noProof/>
            <w:webHidden/>
          </w:rPr>
          <w:instrText xml:space="preserve"> PAGEREF _Toc207265201 \h </w:instrText>
        </w:r>
        <w:r>
          <w:rPr>
            <w:noProof/>
            <w:webHidden/>
          </w:rPr>
        </w:r>
        <w:r>
          <w:rPr>
            <w:noProof/>
            <w:webHidden/>
          </w:rPr>
          <w:fldChar w:fldCharType="separate"/>
        </w:r>
        <w:r>
          <w:rPr>
            <w:noProof/>
            <w:webHidden/>
          </w:rPr>
          <w:t>34</w:t>
        </w:r>
        <w:r>
          <w:rPr>
            <w:noProof/>
            <w:webHidden/>
          </w:rPr>
          <w:fldChar w:fldCharType="end"/>
        </w:r>
      </w:hyperlink>
    </w:p>
    <w:p w14:paraId="0437A634" w14:textId="674F8BA0"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2" w:history="1">
        <w:r w:rsidRPr="006D65DE">
          <w:rPr>
            <w:rStyle w:val="Hiperveza"/>
            <w:noProof/>
          </w:rPr>
          <w:t>Tablica 8. Korelacijska matrica za sektor I - Djelatnosti pružanja smještaja te pripreme i usluživanja hrane (podaci dostavljeni od strane FINA-e, izračun i obrada autorice u programu EViews 12)</w:t>
        </w:r>
        <w:r>
          <w:rPr>
            <w:noProof/>
            <w:webHidden/>
          </w:rPr>
          <w:tab/>
        </w:r>
        <w:r>
          <w:rPr>
            <w:noProof/>
            <w:webHidden/>
          </w:rPr>
          <w:fldChar w:fldCharType="begin"/>
        </w:r>
        <w:r>
          <w:rPr>
            <w:noProof/>
            <w:webHidden/>
          </w:rPr>
          <w:instrText xml:space="preserve"> PAGEREF _Toc207265202 \h </w:instrText>
        </w:r>
        <w:r>
          <w:rPr>
            <w:noProof/>
            <w:webHidden/>
          </w:rPr>
        </w:r>
        <w:r>
          <w:rPr>
            <w:noProof/>
            <w:webHidden/>
          </w:rPr>
          <w:fldChar w:fldCharType="separate"/>
        </w:r>
        <w:r>
          <w:rPr>
            <w:noProof/>
            <w:webHidden/>
          </w:rPr>
          <w:t>37</w:t>
        </w:r>
        <w:r>
          <w:rPr>
            <w:noProof/>
            <w:webHidden/>
          </w:rPr>
          <w:fldChar w:fldCharType="end"/>
        </w:r>
      </w:hyperlink>
    </w:p>
    <w:p w14:paraId="65EFD6EE" w14:textId="00B47D52"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3" w:history="1">
        <w:r w:rsidRPr="006D65DE">
          <w:rPr>
            <w:rStyle w:val="Hiperveza"/>
            <w:noProof/>
          </w:rPr>
          <w:t>Tablica 9. Rezultati dinamičkog panel modela za sektor I - Djelatnosti pružanja smještaja te pripreme i usluživanja hrane (podaci dostavljeni od strane FINA-e, izračun i obrada autorice u programu EViews 12)</w:t>
        </w:r>
        <w:r>
          <w:rPr>
            <w:noProof/>
            <w:webHidden/>
          </w:rPr>
          <w:tab/>
        </w:r>
        <w:r>
          <w:rPr>
            <w:noProof/>
            <w:webHidden/>
          </w:rPr>
          <w:fldChar w:fldCharType="begin"/>
        </w:r>
        <w:r>
          <w:rPr>
            <w:noProof/>
            <w:webHidden/>
          </w:rPr>
          <w:instrText xml:space="preserve"> PAGEREF _Toc207265203 \h </w:instrText>
        </w:r>
        <w:r>
          <w:rPr>
            <w:noProof/>
            <w:webHidden/>
          </w:rPr>
        </w:r>
        <w:r>
          <w:rPr>
            <w:noProof/>
            <w:webHidden/>
          </w:rPr>
          <w:fldChar w:fldCharType="separate"/>
        </w:r>
        <w:r>
          <w:rPr>
            <w:noProof/>
            <w:webHidden/>
          </w:rPr>
          <w:t>39</w:t>
        </w:r>
        <w:r>
          <w:rPr>
            <w:noProof/>
            <w:webHidden/>
          </w:rPr>
          <w:fldChar w:fldCharType="end"/>
        </w:r>
      </w:hyperlink>
    </w:p>
    <w:p w14:paraId="3D155196" w14:textId="3A47C9E9"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4" w:history="1">
        <w:r w:rsidRPr="006D65DE">
          <w:rPr>
            <w:rStyle w:val="Hiperveza"/>
            <w:noProof/>
          </w:rPr>
          <w:t>Tablica 10. Deskriptivna statistika za sektor N - Administrativne i pomoćne uslužne djelatnosti (podaci dostavljeni od strane FINA-e, izračun i obrada autorice u programu EViews 12)</w:t>
        </w:r>
        <w:r>
          <w:rPr>
            <w:noProof/>
            <w:webHidden/>
          </w:rPr>
          <w:tab/>
        </w:r>
        <w:r>
          <w:rPr>
            <w:noProof/>
            <w:webHidden/>
          </w:rPr>
          <w:fldChar w:fldCharType="begin"/>
        </w:r>
        <w:r>
          <w:rPr>
            <w:noProof/>
            <w:webHidden/>
          </w:rPr>
          <w:instrText xml:space="preserve"> PAGEREF _Toc207265204 \h </w:instrText>
        </w:r>
        <w:r>
          <w:rPr>
            <w:noProof/>
            <w:webHidden/>
          </w:rPr>
        </w:r>
        <w:r>
          <w:rPr>
            <w:noProof/>
            <w:webHidden/>
          </w:rPr>
          <w:fldChar w:fldCharType="separate"/>
        </w:r>
        <w:r>
          <w:rPr>
            <w:noProof/>
            <w:webHidden/>
          </w:rPr>
          <w:t>41</w:t>
        </w:r>
        <w:r>
          <w:rPr>
            <w:noProof/>
            <w:webHidden/>
          </w:rPr>
          <w:fldChar w:fldCharType="end"/>
        </w:r>
      </w:hyperlink>
    </w:p>
    <w:p w14:paraId="75E7BB42" w14:textId="4AD94141"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5" w:history="1">
        <w:r w:rsidRPr="006D65DE">
          <w:rPr>
            <w:rStyle w:val="Hiperveza"/>
            <w:noProof/>
          </w:rPr>
          <w:t>Tablica 11. Korelacijska matrica za sektor N - Administrativne i pomoćne uslužne djelatnosti (podaci dostavljeni od strane FINA-e, izračun i obrada autorice u programu EViews 12)</w:t>
        </w:r>
        <w:r>
          <w:rPr>
            <w:noProof/>
            <w:webHidden/>
          </w:rPr>
          <w:tab/>
        </w:r>
        <w:r>
          <w:rPr>
            <w:noProof/>
            <w:webHidden/>
          </w:rPr>
          <w:fldChar w:fldCharType="begin"/>
        </w:r>
        <w:r>
          <w:rPr>
            <w:noProof/>
            <w:webHidden/>
          </w:rPr>
          <w:instrText xml:space="preserve"> PAGEREF _Toc207265205 \h </w:instrText>
        </w:r>
        <w:r>
          <w:rPr>
            <w:noProof/>
            <w:webHidden/>
          </w:rPr>
        </w:r>
        <w:r>
          <w:rPr>
            <w:noProof/>
            <w:webHidden/>
          </w:rPr>
          <w:fldChar w:fldCharType="separate"/>
        </w:r>
        <w:r>
          <w:rPr>
            <w:noProof/>
            <w:webHidden/>
          </w:rPr>
          <w:t>44</w:t>
        </w:r>
        <w:r>
          <w:rPr>
            <w:noProof/>
            <w:webHidden/>
          </w:rPr>
          <w:fldChar w:fldCharType="end"/>
        </w:r>
      </w:hyperlink>
    </w:p>
    <w:p w14:paraId="5607D606" w14:textId="7348AF17"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6" w:history="1">
        <w:r w:rsidRPr="006D65DE">
          <w:rPr>
            <w:rStyle w:val="Hiperveza"/>
            <w:noProof/>
          </w:rPr>
          <w:t>Tablica 12. Rezultati dinamičkog panel modela za sektor N - Administrativne i pomoćne uslužne djelatnosti (podaci dostavljeni od strane FINA-e, izračun i obrada autorice u programu EViews 12)</w:t>
        </w:r>
        <w:r>
          <w:rPr>
            <w:noProof/>
            <w:webHidden/>
          </w:rPr>
          <w:tab/>
        </w:r>
        <w:r>
          <w:rPr>
            <w:noProof/>
            <w:webHidden/>
          </w:rPr>
          <w:fldChar w:fldCharType="begin"/>
        </w:r>
        <w:r>
          <w:rPr>
            <w:noProof/>
            <w:webHidden/>
          </w:rPr>
          <w:instrText xml:space="preserve"> PAGEREF _Toc207265206 \h </w:instrText>
        </w:r>
        <w:r>
          <w:rPr>
            <w:noProof/>
            <w:webHidden/>
          </w:rPr>
        </w:r>
        <w:r>
          <w:rPr>
            <w:noProof/>
            <w:webHidden/>
          </w:rPr>
          <w:fldChar w:fldCharType="separate"/>
        </w:r>
        <w:r>
          <w:rPr>
            <w:noProof/>
            <w:webHidden/>
          </w:rPr>
          <w:t>46</w:t>
        </w:r>
        <w:r>
          <w:rPr>
            <w:noProof/>
            <w:webHidden/>
          </w:rPr>
          <w:fldChar w:fldCharType="end"/>
        </w:r>
      </w:hyperlink>
    </w:p>
    <w:p w14:paraId="05AA988C" w14:textId="1B697D72" w:rsidR="002F7D8D" w:rsidRDefault="002F7D8D" w:rsidP="002F7D8D">
      <w:pPr>
        <w:pStyle w:val="Tablicaslika"/>
        <w:tabs>
          <w:tab w:val="right" w:leader="dot" w:pos="9019"/>
        </w:tabs>
        <w:spacing w:line="360" w:lineRule="auto"/>
        <w:jc w:val="both"/>
        <w:rPr>
          <w:rFonts w:asciiTheme="minorHAnsi" w:eastAsiaTheme="minorEastAsia" w:hAnsiTheme="minorHAnsi" w:cstheme="minorBidi"/>
          <w:noProof/>
          <w:kern w:val="2"/>
          <w:sz w:val="24"/>
          <w:szCs w:val="24"/>
          <w:lang w:val="hr-HR" w:eastAsia="hr-HR"/>
          <w14:ligatures w14:val="standardContextual"/>
        </w:rPr>
      </w:pPr>
      <w:hyperlink w:anchor="_Toc207265207" w:history="1">
        <w:r w:rsidRPr="006D65DE">
          <w:rPr>
            <w:rStyle w:val="Hiperveza"/>
            <w:noProof/>
          </w:rPr>
          <w:t>Tablica 13 . Rangiranje sektora prema stabilnosti i riziku (vlastita izrada autorice)</w:t>
        </w:r>
        <w:r>
          <w:rPr>
            <w:noProof/>
            <w:webHidden/>
          </w:rPr>
          <w:tab/>
        </w:r>
        <w:r>
          <w:rPr>
            <w:noProof/>
            <w:webHidden/>
          </w:rPr>
          <w:fldChar w:fldCharType="begin"/>
        </w:r>
        <w:r>
          <w:rPr>
            <w:noProof/>
            <w:webHidden/>
          </w:rPr>
          <w:instrText xml:space="preserve"> PAGEREF _Toc207265207 \h </w:instrText>
        </w:r>
        <w:r>
          <w:rPr>
            <w:noProof/>
            <w:webHidden/>
          </w:rPr>
        </w:r>
        <w:r>
          <w:rPr>
            <w:noProof/>
            <w:webHidden/>
          </w:rPr>
          <w:fldChar w:fldCharType="separate"/>
        </w:r>
        <w:r>
          <w:rPr>
            <w:noProof/>
            <w:webHidden/>
          </w:rPr>
          <w:t>50</w:t>
        </w:r>
        <w:r>
          <w:rPr>
            <w:noProof/>
            <w:webHidden/>
          </w:rPr>
          <w:fldChar w:fldCharType="end"/>
        </w:r>
      </w:hyperlink>
    </w:p>
    <w:p w14:paraId="6680FE6E" w14:textId="7CAAE9B4" w:rsidR="00411349" w:rsidRDefault="00E15521" w:rsidP="00E15521">
      <w:pPr>
        <w:spacing w:line="360" w:lineRule="auto"/>
        <w:jc w:val="both"/>
      </w:pPr>
      <w:r>
        <w:fldChar w:fldCharType="end"/>
      </w:r>
    </w:p>
    <w:p w14:paraId="6A43761F" w14:textId="77777777" w:rsidR="00411349" w:rsidRDefault="00411349">
      <w:r>
        <w:br w:type="page"/>
      </w:r>
    </w:p>
    <w:p w14:paraId="78E55A34" w14:textId="511CBCF3" w:rsidR="00E15521" w:rsidRPr="00392718" w:rsidRDefault="00411349" w:rsidP="00392718">
      <w:pPr>
        <w:pStyle w:val="Naslov1"/>
        <w:rPr>
          <w:b/>
          <w:bCs/>
          <w:sz w:val="32"/>
          <w:szCs w:val="32"/>
        </w:rPr>
      </w:pPr>
      <w:bookmarkStart w:id="96" w:name="_Toc207275907"/>
      <w:r w:rsidRPr="00392718">
        <w:rPr>
          <w:b/>
          <w:bCs/>
          <w:sz w:val="32"/>
          <w:szCs w:val="32"/>
        </w:rPr>
        <w:lastRenderedPageBreak/>
        <w:t>PRILOG 1. Popis poduzeća koja su uključena u istraživanje</w:t>
      </w:r>
      <w:bookmarkEnd w:id="96"/>
    </w:p>
    <w:p w14:paraId="78C92548" w14:textId="77777777" w:rsidR="00411349" w:rsidRDefault="00411349" w:rsidP="00E15521">
      <w:pPr>
        <w:spacing w:line="360" w:lineRule="auto"/>
        <w:jc w:val="both"/>
      </w:pPr>
    </w:p>
    <w:tbl>
      <w:tblPr>
        <w:tblW w:w="8400" w:type="dxa"/>
        <w:jc w:val="center"/>
        <w:tblLook w:val="04A0" w:firstRow="1" w:lastRow="0" w:firstColumn="1" w:lastColumn="0" w:noHBand="0" w:noVBand="1"/>
      </w:tblPr>
      <w:tblGrid>
        <w:gridCol w:w="4160"/>
        <w:gridCol w:w="4240"/>
      </w:tblGrid>
      <w:tr w:rsidR="00445994" w:rsidRPr="00445994" w14:paraId="70C24AC6" w14:textId="77777777" w:rsidTr="00445994">
        <w:trPr>
          <w:trHeight w:val="288"/>
          <w:jc w:val="center"/>
        </w:trPr>
        <w:tc>
          <w:tcPr>
            <w:tcW w:w="4160" w:type="dxa"/>
            <w:tcBorders>
              <w:top w:val="single" w:sz="4" w:space="0" w:color="FFFFFF"/>
              <w:left w:val="single" w:sz="4" w:space="0" w:color="FFFFFF"/>
              <w:bottom w:val="single" w:sz="4" w:space="0" w:color="FFFFFF"/>
              <w:right w:val="single" w:sz="4" w:space="0" w:color="FFFFFF"/>
            </w:tcBorders>
            <w:shd w:val="clear" w:color="000000" w:fill="D9D9D9"/>
            <w:noWrap/>
            <w:vAlign w:val="bottom"/>
            <w:hideMark/>
          </w:tcPr>
          <w:p w14:paraId="7A10641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A-AUTORAD D.O.O.</w:t>
            </w:r>
          </w:p>
        </w:tc>
        <w:tc>
          <w:tcPr>
            <w:tcW w:w="4240" w:type="dxa"/>
            <w:tcBorders>
              <w:top w:val="single" w:sz="4" w:space="0" w:color="FFFFFF"/>
              <w:left w:val="nil"/>
              <w:bottom w:val="single" w:sz="4" w:space="0" w:color="FFFFFF"/>
              <w:right w:val="single" w:sz="4" w:space="0" w:color="FFFFFF"/>
            </w:tcBorders>
            <w:shd w:val="clear" w:color="000000" w:fill="D9D9D9"/>
            <w:noWrap/>
            <w:vAlign w:val="bottom"/>
            <w:hideMark/>
          </w:tcPr>
          <w:p w14:paraId="61DCDAC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EKO SFERA D.O.O.</w:t>
            </w:r>
          </w:p>
        </w:tc>
      </w:tr>
      <w:tr w:rsidR="00445994" w:rsidRPr="00445994" w14:paraId="5BC5684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8BB948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A.B.I.S.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F3CD50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EKOPID D.O.O.</w:t>
            </w:r>
          </w:p>
        </w:tc>
      </w:tr>
      <w:tr w:rsidR="00445994" w:rsidRPr="00445994" w14:paraId="32FC8D5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F3E33A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A.P.R.E.R.I.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050489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ELECTROSOFT D.O.O.</w:t>
            </w:r>
          </w:p>
        </w:tc>
      </w:tr>
      <w:tr w:rsidR="00445994" w:rsidRPr="00445994" w14:paraId="3B62AA7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DC5F71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AALT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EA56D6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ELMEX D.O.O.</w:t>
            </w:r>
          </w:p>
        </w:tc>
      </w:tr>
      <w:tr w:rsidR="00445994" w:rsidRPr="00445994" w14:paraId="3B2FCFD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3314FF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ABBOT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5D6C42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ELOTERM D.O.O.</w:t>
            </w:r>
          </w:p>
        </w:tc>
      </w:tr>
      <w:tr w:rsidR="00445994" w:rsidRPr="00445994" w14:paraId="45378D9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444D2A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ABSOLUTE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F532E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ELSIS D.O.O.</w:t>
            </w:r>
          </w:p>
        </w:tc>
      </w:tr>
      <w:tr w:rsidR="00445994" w:rsidRPr="00445994" w14:paraId="256DF0E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F40DF1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ACANTHO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6BC008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ELTRA MG D.O.O.</w:t>
            </w:r>
          </w:p>
        </w:tc>
      </w:tr>
      <w:tr w:rsidR="00445994" w:rsidRPr="00445994" w14:paraId="5963713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5BE782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ACQUEST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7141B2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ELUMATEC D.O.O.</w:t>
            </w:r>
          </w:p>
        </w:tc>
      </w:tr>
      <w:tr w:rsidR="00445994" w:rsidRPr="00445994" w14:paraId="3284249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6FB9CD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ACT PRINTLAB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DBD4EC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EM.P.A. D.O.O.</w:t>
            </w:r>
          </w:p>
        </w:tc>
      </w:tr>
      <w:tr w:rsidR="00445994" w:rsidRPr="00445994" w14:paraId="3B91F38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7CE88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ACTIVATRAVEL ISTRA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CF1994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EMDE ART D.O.O.</w:t>
            </w:r>
          </w:p>
        </w:tc>
      </w:tr>
      <w:tr w:rsidR="00445994" w:rsidRPr="00445994" w14:paraId="3966249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938B83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AD BRODOVI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FFF1F7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EN.RO. D.O.O.</w:t>
            </w:r>
          </w:p>
        </w:tc>
      </w:tr>
      <w:tr w:rsidR="00445994" w:rsidRPr="00445994" w14:paraId="6BC0F9F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E9790D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ADESSE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79BB6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ENERGY PELLETS D.O.O.</w:t>
            </w:r>
          </w:p>
        </w:tc>
      </w:tr>
      <w:tr w:rsidR="00445994" w:rsidRPr="00445994" w14:paraId="36AA045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5425F9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ADRIA NAUTIČKI SERVIS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5AA64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ENI-KON D.O.O.</w:t>
            </w:r>
          </w:p>
        </w:tc>
      </w:tr>
      <w:tr w:rsidR="00445994" w:rsidRPr="00445994" w14:paraId="3DC3EF4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375D5A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ADRIA PROZORI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A91284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ERG D.O.O.</w:t>
            </w:r>
          </w:p>
        </w:tc>
      </w:tr>
      <w:tr w:rsidR="00445994" w:rsidRPr="00445994" w14:paraId="4F61BFF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0BE964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ADRIA YACHTING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A984A2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ERIDAN D.O.O.</w:t>
            </w:r>
          </w:p>
        </w:tc>
      </w:tr>
      <w:tr w:rsidR="00445994" w:rsidRPr="00445994" w14:paraId="445896A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40F367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AERONAUTIKA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6AA0A4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ERING D.O.O.</w:t>
            </w:r>
          </w:p>
        </w:tc>
      </w:tr>
      <w:tr w:rsidR="00445994" w:rsidRPr="00445994" w14:paraId="6A3AB71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598C7E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AF-SAMPAL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3ADCF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ERTA D.O.O.</w:t>
            </w:r>
          </w:p>
        </w:tc>
      </w:tr>
      <w:tr w:rsidR="00445994" w:rsidRPr="00445994" w14:paraId="6938A4B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98F716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AGAPA ZAGREB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FF750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ESTETICA D.O.O.</w:t>
            </w:r>
          </w:p>
        </w:tc>
      </w:tr>
      <w:tr w:rsidR="00445994" w:rsidRPr="00445994" w14:paraId="1260E1B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D13FC4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AGAVA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2C172E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ETIKET TISAK D.O.O.</w:t>
            </w:r>
          </w:p>
        </w:tc>
      </w:tr>
      <w:tr w:rsidR="00445994" w:rsidRPr="00445994" w14:paraId="4FC1AF8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9C07B0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AGENS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83DA3C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EURO HER-MAR D.O.O.</w:t>
            </w:r>
          </w:p>
        </w:tc>
      </w:tr>
      <w:tr w:rsidR="00445994" w:rsidRPr="00445994" w14:paraId="08A0E46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478003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AGRAM YACHTING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AAD624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EURO SPEKTAR D.O.O.</w:t>
            </w:r>
          </w:p>
        </w:tc>
      </w:tr>
      <w:tr w:rsidR="00445994" w:rsidRPr="00445994" w14:paraId="5BFE7BE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F67721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AGRIGENETICS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E902C4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EUROCOP-KOPIRANJE D.O.O.</w:t>
            </w:r>
          </w:p>
        </w:tc>
      </w:tr>
      <w:tr w:rsidR="00445994" w:rsidRPr="00445994" w14:paraId="725A5D3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CE5036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AGRO MONTING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8C1154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F.I.R. PRIJEVOZ D.O.O.</w:t>
            </w:r>
          </w:p>
        </w:tc>
      </w:tr>
      <w:tr w:rsidR="00445994" w:rsidRPr="00445994" w14:paraId="1350DDF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FB6328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AHEL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BBD96D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FABER D.O.O.</w:t>
            </w:r>
          </w:p>
        </w:tc>
      </w:tr>
      <w:tr w:rsidR="00445994" w:rsidRPr="00445994" w14:paraId="0CFD3E6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05F61F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AIMINIT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63DD4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FAGERNES D.O.O.</w:t>
            </w:r>
          </w:p>
        </w:tc>
      </w:tr>
      <w:tr w:rsidR="00445994" w:rsidRPr="00445994" w14:paraId="23C117A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A4FF86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AKTA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8F901A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FAMITEKS D.O.O.</w:t>
            </w:r>
          </w:p>
        </w:tc>
      </w:tr>
      <w:tr w:rsidR="00445994" w:rsidRPr="00445994" w14:paraId="499CC8B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1B5D73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ALBA PROFIL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80DEF2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FAZOR D.O.O.</w:t>
            </w:r>
          </w:p>
        </w:tc>
      </w:tr>
      <w:tr w:rsidR="00445994" w:rsidRPr="00445994" w14:paraId="5A8D05D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ECDFA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ALEGORIJA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F12427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FENIKS D.O.O.</w:t>
            </w:r>
          </w:p>
        </w:tc>
      </w:tr>
      <w:tr w:rsidR="00445994" w:rsidRPr="00445994" w14:paraId="23E4740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F25891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ALFA TRAVEL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E09AAA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FEROMETAL D.O.O.</w:t>
            </w:r>
          </w:p>
        </w:tc>
      </w:tr>
      <w:tr w:rsidR="00445994" w:rsidRPr="00445994" w14:paraId="34EDBA6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E44F71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ALIA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6C7AAB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FEROMONTAŽA D.O.O.</w:t>
            </w:r>
          </w:p>
        </w:tc>
      </w:tr>
      <w:tr w:rsidR="00445994" w:rsidRPr="00445994" w14:paraId="6079272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F15B00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ALIANCA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E0FD55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FEROTEST D.O.O.</w:t>
            </w:r>
          </w:p>
        </w:tc>
      </w:tr>
      <w:tr w:rsidR="00445994" w:rsidRPr="00445994" w14:paraId="6C01A76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2E0D3B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ALMASIDER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6281D8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FIDELIO D.O.O.</w:t>
            </w:r>
          </w:p>
        </w:tc>
      </w:tr>
      <w:tr w:rsidR="00445994" w:rsidRPr="00445994" w14:paraId="11B28AA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67FC85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ALPHA &amp; OMEGA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F35E5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FILVIL D.O.O.</w:t>
            </w:r>
          </w:p>
        </w:tc>
      </w:tr>
      <w:tr w:rsidR="00445994" w:rsidRPr="00445994" w14:paraId="3C993E4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97D63F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ALPLA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A7098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FINIŠ D.O.O.</w:t>
            </w:r>
          </w:p>
        </w:tc>
      </w:tr>
      <w:tr w:rsidR="00445994" w:rsidRPr="00445994" w14:paraId="79F6B95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DF7EB1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ALSIN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B02800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FISTONIĆ D.O.O.</w:t>
            </w:r>
          </w:p>
        </w:tc>
      </w:tr>
      <w:tr w:rsidR="00445994" w:rsidRPr="00445994" w14:paraId="75C17BD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930A01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ALTA MARIS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97B2ED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FIUMEX D.O.O.</w:t>
            </w:r>
          </w:p>
        </w:tc>
      </w:tr>
      <w:tr w:rsidR="00445994" w:rsidRPr="00445994" w14:paraId="525B4A0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AB90A1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ALTER EGO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7C4577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FLACH TOURS D.O.O.</w:t>
            </w:r>
          </w:p>
        </w:tc>
      </w:tr>
      <w:tr w:rsidR="00445994" w:rsidRPr="00445994" w14:paraId="6B14391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334401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ALU PROTEKT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68C9A9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FLEGO D.O.O.</w:t>
            </w:r>
          </w:p>
        </w:tc>
      </w:tr>
      <w:tr w:rsidR="00445994" w:rsidRPr="00445994" w14:paraId="2E6BD3F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1DF598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ALU-BRAVARIJA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7AB4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FONTANA D.O.O.</w:t>
            </w:r>
          </w:p>
        </w:tc>
      </w:tr>
      <w:tr w:rsidR="00445994" w:rsidRPr="00445994" w14:paraId="089C000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9AF9B7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ALUMINIJ KOVAČIĆ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0ED3F2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FORMANOVA D.O.O.</w:t>
            </w:r>
          </w:p>
        </w:tc>
      </w:tr>
      <w:tr w:rsidR="00445994" w:rsidRPr="00445994" w14:paraId="21ACE18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3BAC07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AMARTRADE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E77B6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FORMULA-A D.O.O.</w:t>
            </w:r>
          </w:p>
        </w:tc>
      </w:tr>
      <w:tr w:rsidR="00445994" w:rsidRPr="00445994" w14:paraId="7115026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5549C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AMBASSADORS CLUB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2FBCDD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FRAG D.O.O.</w:t>
            </w:r>
          </w:p>
        </w:tc>
      </w:tr>
      <w:tr w:rsidR="00445994" w:rsidRPr="00445994" w14:paraId="3391D08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E0937D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AMBROZ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2AF8BC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FRATELLI UČKAR D.O.O.</w:t>
            </w:r>
          </w:p>
        </w:tc>
      </w:tr>
      <w:tr w:rsidR="00445994" w:rsidRPr="00445994" w14:paraId="1B59DE1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BFA456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AMFIBIJA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B446EC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FUČKALA D.O.O.</w:t>
            </w:r>
          </w:p>
        </w:tc>
      </w:tr>
      <w:tr w:rsidR="00445994" w:rsidRPr="00445994" w14:paraId="33CF63D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1AB165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AMMI-BELJE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B84E19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GALEB D.D.</w:t>
            </w:r>
          </w:p>
        </w:tc>
      </w:tr>
      <w:tr w:rsidR="00445994" w:rsidRPr="00445994" w14:paraId="1306E98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358D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ANKORA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F75533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GALEOT D.O.O.</w:t>
            </w:r>
          </w:p>
        </w:tc>
      </w:tr>
      <w:tr w:rsidR="00445994" w:rsidRPr="00445994" w14:paraId="0E88339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B38E95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ANKORA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5D2CB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GALIJA D.O.O.</w:t>
            </w:r>
          </w:p>
        </w:tc>
      </w:tr>
      <w:tr w:rsidR="00445994" w:rsidRPr="00445994" w14:paraId="5039AA9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A3088B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ANTHURIUM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2F9B24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GALILEO PUTNIČKA AGENCIJA D.O.O.</w:t>
            </w:r>
          </w:p>
        </w:tc>
      </w:tr>
      <w:tr w:rsidR="00445994" w:rsidRPr="00445994" w14:paraId="55DB343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52E17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ANTONIO CETTA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9A04DF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GALOKS-DRAGIJA D.O.O.</w:t>
            </w:r>
          </w:p>
        </w:tc>
      </w:tr>
      <w:tr w:rsidR="00445994" w:rsidRPr="00445994" w14:paraId="0A75950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56E68F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APEL TOURS COMMERCE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7BD767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GALOS-PROMET D.O.O.</w:t>
            </w:r>
          </w:p>
        </w:tc>
      </w:tr>
      <w:tr w:rsidR="00445994" w:rsidRPr="00445994" w14:paraId="21D50DC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BE4294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APEX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B1077E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GALVO D.O.O.</w:t>
            </w:r>
          </w:p>
        </w:tc>
      </w:tr>
      <w:tr w:rsidR="00445994" w:rsidRPr="00445994" w14:paraId="4012EFC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57F11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APOLINAR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6BCB25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GALVOTEH D.O.O.</w:t>
            </w:r>
          </w:p>
        </w:tc>
      </w:tr>
      <w:tr w:rsidR="00445994" w:rsidRPr="00445994" w14:paraId="576282B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184767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APOLON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1C255C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GAMA GRAFIT D.O.O.</w:t>
            </w:r>
          </w:p>
        </w:tc>
      </w:tr>
      <w:tr w:rsidR="00445994" w:rsidRPr="00445994" w14:paraId="6788860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93EBB1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AQUACITY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69C5C2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GARDIEN D.O.O.</w:t>
            </w:r>
          </w:p>
        </w:tc>
      </w:tr>
      <w:tr w:rsidR="00445994" w:rsidRPr="00445994" w14:paraId="56F6A51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B89D0F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ARCUS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122968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GEIR D.O.O.</w:t>
            </w:r>
          </w:p>
        </w:tc>
      </w:tr>
      <w:tr w:rsidR="00445994" w:rsidRPr="00445994" w14:paraId="2150BA0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29608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ARENA PEKARA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16882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GIGI D.O.O.</w:t>
            </w:r>
          </w:p>
        </w:tc>
      </w:tr>
      <w:tr w:rsidR="00445994" w:rsidRPr="00445994" w14:paraId="0F5AB4B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0FD91E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ARENA QENAJ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AD458A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GINCOPS D.O.O.</w:t>
            </w:r>
          </w:p>
        </w:tc>
      </w:tr>
      <w:tr w:rsidR="00445994" w:rsidRPr="00445994" w14:paraId="7AB0A1F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5D278E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ARISTOKRAT ZG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673FCA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GIS IMPRO D.O.O.</w:t>
            </w:r>
          </w:p>
        </w:tc>
      </w:tr>
      <w:tr w:rsidR="00445994" w:rsidRPr="00445994" w14:paraId="08BDE2C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5427C9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AROMAR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2B3D9F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GLAD DESIGN D.O.O.</w:t>
            </w:r>
          </w:p>
        </w:tc>
      </w:tr>
      <w:tr w:rsidR="00445994" w:rsidRPr="00445994" w14:paraId="04673AD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7B0A98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ARS KOPIJA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F65833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GLOBTOUR PULA D.O.O.</w:t>
            </w:r>
          </w:p>
        </w:tc>
      </w:tr>
      <w:tr w:rsidR="00445994" w:rsidRPr="00445994" w14:paraId="6A68BBD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748C82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ASPECTO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E338B0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GLUHAK D.O.O.</w:t>
            </w:r>
          </w:p>
        </w:tc>
      </w:tr>
      <w:tr w:rsidR="00445994" w:rsidRPr="00445994" w14:paraId="419DCBA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EFA36F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ASSERIA ZP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1A723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GM INTERIJERI D.O.O.</w:t>
            </w:r>
          </w:p>
        </w:tc>
      </w:tr>
      <w:tr w:rsidR="00445994" w:rsidRPr="00445994" w14:paraId="603F5B2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D9AADB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ASTRUM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208375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GOLDTOURS D.O.O.</w:t>
            </w:r>
          </w:p>
        </w:tc>
      </w:tr>
      <w:tr w:rsidR="00445994" w:rsidRPr="00445994" w14:paraId="3AE6C0A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9996FA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ATELIJER JAKŠIĆ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E5DADF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GONDOLA D.O.O.</w:t>
            </w:r>
          </w:p>
        </w:tc>
      </w:tr>
      <w:tr w:rsidR="00445994" w:rsidRPr="00445994" w14:paraId="0D4FA2F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179B92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ATER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5C1225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GOODYEAR D.O.O.</w:t>
            </w:r>
          </w:p>
        </w:tc>
      </w:tr>
      <w:tr w:rsidR="00445994" w:rsidRPr="00445994" w14:paraId="4F29D55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32C010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ATOL ADRIA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A2F2EF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GP ŠPILJAK D.O.O.</w:t>
            </w:r>
          </w:p>
        </w:tc>
      </w:tr>
      <w:tr w:rsidR="00445994" w:rsidRPr="00445994" w14:paraId="26583F7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EAE8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AUMONA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8D960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GRABAR D.O.O.</w:t>
            </w:r>
          </w:p>
        </w:tc>
      </w:tr>
      <w:tr w:rsidR="00445994" w:rsidRPr="00445994" w14:paraId="52CE191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2882CE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AUSTER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D2E430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GRAČANIN D.O.O.</w:t>
            </w:r>
          </w:p>
        </w:tc>
      </w:tr>
      <w:tr w:rsidR="00445994" w:rsidRPr="00445994" w14:paraId="07A75C6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7A668D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AUTO DUGEČ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611E5B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GRADSKI PARKING D.O.O.</w:t>
            </w:r>
          </w:p>
        </w:tc>
      </w:tr>
      <w:tr w:rsidR="00445994" w:rsidRPr="00445994" w14:paraId="1C855C1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A8FAB1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AUTO PROMET SISAK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4A4420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GRAFKO D.O.O.</w:t>
            </w:r>
          </w:p>
        </w:tc>
      </w:tr>
      <w:tr w:rsidR="00445994" w:rsidRPr="00445994" w14:paraId="446BE76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32985A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AUTOMATIKA NOVA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AF998E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GRAMIKO D.O.O.</w:t>
            </w:r>
          </w:p>
        </w:tc>
      </w:tr>
      <w:tr w:rsidR="00445994" w:rsidRPr="00445994" w14:paraId="54FA010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A9A370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AUTOPRIJEVOZ LUKAČ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93F1AF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GRANIT D.O.O.</w:t>
            </w:r>
          </w:p>
        </w:tc>
      </w:tr>
      <w:tr w:rsidR="00445994" w:rsidRPr="00445994" w14:paraId="7A2884F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606ED3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AUTOTRANSPORTI KASTELEC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2C8531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GREGIĆ D.O.O.</w:t>
            </w:r>
          </w:p>
        </w:tc>
      </w:tr>
      <w:tr w:rsidR="00445994" w:rsidRPr="00445994" w14:paraId="2AD5AB9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F81582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AUTOTURIST SAMOBOR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020F14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GRESS D.O.O.</w:t>
            </w:r>
          </w:p>
        </w:tc>
      </w:tr>
      <w:tr w:rsidR="00445994" w:rsidRPr="00445994" w14:paraId="247BF44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22424B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AVRION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FA1FD3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GRGIĆ VINA D.O.O.</w:t>
            </w:r>
          </w:p>
        </w:tc>
      </w:tr>
      <w:tr w:rsidR="00445994" w:rsidRPr="00445994" w14:paraId="4B8AFDD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2583F8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AXIS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E8B280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GRUBINE D.O.O.</w:t>
            </w:r>
          </w:p>
        </w:tc>
      </w:tr>
      <w:tr w:rsidR="00445994" w:rsidRPr="00445994" w14:paraId="772A62F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E38F98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B.R.Z.-TRANS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C94A0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GRUPA D.O.O.</w:t>
            </w:r>
          </w:p>
        </w:tc>
      </w:tr>
      <w:tr w:rsidR="00445994" w:rsidRPr="00445994" w14:paraId="234DE7B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0233E7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BACURA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320905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GVOZDAMB D.O.O.</w:t>
            </w:r>
          </w:p>
        </w:tc>
      </w:tr>
      <w:tr w:rsidR="00445994" w:rsidRPr="00445994" w14:paraId="577A8FF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EBE50D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BAĆE PROMET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62FEBE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HAJDINJAK D.O.O.</w:t>
            </w:r>
          </w:p>
        </w:tc>
      </w:tr>
      <w:tr w:rsidR="00445994" w:rsidRPr="00445994" w14:paraId="2E2272A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3F2627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BAJKMONT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4B7E6E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HEGEMON D.O.O.</w:t>
            </w:r>
          </w:p>
        </w:tc>
      </w:tr>
      <w:tr w:rsidR="00445994" w:rsidRPr="00445994" w14:paraId="60601F2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A94593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BALTAZAR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8304F5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HENOK D.O.O.</w:t>
            </w:r>
          </w:p>
        </w:tc>
      </w:tr>
      <w:tr w:rsidR="00445994" w:rsidRPr="00445994" w14:paraId="02FC790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29832F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BAMBINI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3E8547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HERBA DALMATICA D.O.O.</w:t>
            </w:r>
          </w:p>
        </w:tc>
      </w:tr>
      <w:tr w:rsidR="00445994" w:rsidRPr="00445994" w14:paraId="27AD7A7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ABBAC5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BARBARA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CCEE17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HERUS D.O.O.</w:t>
            </w:r>
          </w:p>
        </w:tc>
      </w:tr>
      <w:tr w:rsidR="00445994" w:rsidRPr="00445994" w14:paraId="3AA613B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540CD7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BAZGA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217806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HIDRAULIKA KORUC D.O.O.</w:t>
            </w:r>
          </w:p>
        </w:tc>
      </w:tr>
      <w:tr w:rsidR="00445994" w:rsidRPr="00445994" w14:paraId="485B237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04FFA1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BDF SERVIS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73A730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HIDRAULIKA OSREČAK D.O.O.</w:t>
            </w:r>
          </w:p>
        </w:tc>
      </w:tr>
      <w:tr w:rsidR="00445994" w:rsidRPr="00445994" w14:paraId="2765693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B6B685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BELLATOR MARINE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28F881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HIDRAULIKA ŠILEC D.O.O.</w:t>
            </w:r>
          </w:p>
        </w:tc>
      </w:tr>
      <w:tr w:rsidR="00445994" w:rsidRPr="00445994" w14:paraId="4556BA8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827B6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BELMARIN BRODOVI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0C449F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HILA D.O.O.</w:t>
            </w:r>
          </w:p>
        </w:tc>
      </w:tr>
      <w:tr w:rsidR="00445994" w:rsidRPr="00445994" w14:paraId="642D067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B3EF4E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BENCOZVUK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945572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HOLETIĆ D.O.O.</w:t>
            </w:r>
          </w:p>
        </w:tc>
      </w:tr>
      <w:tr w:rsidR="00445994" w:rsidRPr="00445994" w14:paraId="205C7DD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E5F311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BERMES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4EB425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HORIZONT D.O.O.</w:t>
            </w:r>
          </w:p>
        </w:tc>
      </w:tr>
      <w:tr w:rsidR="00445994" w:rsidRPr="00445994" w14:paraId="7194DC1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754551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BEVANDA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951C8E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HOSPES D.O.O.</w:t>
            </w:r>
          </w:p>
        </w:tc>
      </w:tr>
      <w:tr w:rsidR="00445994" w:rsidRPr="00445994" w14:paraId="31A0633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6CC7BE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BIJELO PLAVI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DBB330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HOTEL DVORAC BEŽANEC D.O.O.</w:t>
            </w:r>
          </w:p>
        </w:tc>
      </w:tr>
      <w:tr w:rsidR="00445994" w:rsidRPr="00445994" w14:paraId="68B61E5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10BE5A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BIM BUS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758D2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HOTEL PODRAVINA D.O.O.</w:t>
            </w:r>
          </w:p>
        </w:tc>
      </w:tr>
      <w:tr w:rsidR="00445994" w:rsidRPr="00445994" w14:paraId="4B08EC4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DB7AAF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BISER METAL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A2726D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HRANJEC D.O.O.</w:t>
            </w:r>
          </w:p>
        </w:tc>
      </w:tr>
      <w:tr w:rsidR="00445994" w:rsidRPr="00445994" w14:paraId="79A541D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05D3D3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BISERI MORA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402C75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HRAST MASIVA D.O.O.</w:t>
            </w:r>
          </w:p>
        </w:tc>
      </w:tr>
      <w:tr w:rsidR="00445994" w:rsidRPr="00445994" w14:paraId="7B45D37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3DAF57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BLACE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208EBA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HUBERTUS D.O.O.</w:t>
            </w:r>
          </w:p>
        </w:tc>
      </w:tr>
      <w:tr w:rsidR="00445994" w:rsidRPr="00445994" w14:paraId="3A0CA97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0CF507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BO-NI PROMET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C4F521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HUJS D.O.O.</w:t>
            </w:r>
          </w:p>
        </w:tc>
      </w:tr>
      <w:tr w:rsidR="00445994" w:rsidRPr="00445994" w14:paraId="2371245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CE697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BOJAN-TRANS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3B1B4C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I-KONG D.O.O.</w:t>
            </w:r>
          </w:p>
        </w:tc>
      </w:tr>
      <w:tr w:rsidR="00445994" w:rsidRPr="00445994" w14:paraId="3A7FB30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68CD71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BONTEMPI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425000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IBP D.O.O.</w:t>
            </w:r>
          </w:p>
        </w:tc>
      </w:tr>
      <w:tr w:rsidR="00445994" w:rsidRPr="00445994" w14:paraId="4885E54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0034E1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BOSS GAME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9D76D3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ICEK D.O.O.</w:t>
            </w:r>
          </w:p>
        </w:tc>
      </w:tr>
      <w:tr w:rsidR="00445994" w:rsidRPr="00445994" w14:paraId="4CAF0DA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3B95F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BOTTOMLEY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98EF73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IHLHAUG D.O.O.</w:t>
            </w:r>
          </w:p>
        </w:tc>
      </w:tr>
      <w:tr w:rsidR="00445994" w:rsidRPr="00445994" w14:paraId="2263590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2AB0E7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BOŽIKOVINA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755D1E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IMMI D.O.O.</w:t>
            </w:r>
          </w:p>
        </w:tc>
      </w:tr>
      <w:tr w:rsidR="00445994" w:rsidRPr="00445994" w14:paraId="0484186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85B128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BRATOVENSKI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8E356C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INDIGO GRAF D.O.O.</w:t>
            </w:r>
          </w:p>
        </w:tc>
      </w:tr>
      <w:tr w:rsidR="00445994" w:rsidRPr="00445994" w14:paraId="465576B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AA9360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BRDAR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889B79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INELTEH D.O.O.</w:t>
            </w:r>
          </w:p>
        </w:tc>
      </w:tr>
      <w:tr w:rsidR="00445994" w:rsidRPr="00445994" w14:paraId="1ED2953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7B860A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BREŽANA MM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760275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INFO 90 D.O.O.</w:t>
            </w:r>
          </w:p>
        </w:tc>
      </w:tr>
      <w:tr w:rsidR="00445994" w:rsidRPr="00445994" w14:paraId="78CE309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FB434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BRIBIRSKI PARKOVI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F4C2FB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INGOP D.O.O.</w:t>
            </w:r>
          </w:p>
        </w:tc>
      </w:tr>
      <w:tr w:rsidR="00445994" w:rsidRPr="00445994" w14:paraId="222526F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92B709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BRIDA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28B396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INIS D.O.O.</w:t>
            </w:r>
          </w:p>
        </w:tc>
      </w:tr>
      <w:tr w:rsidR="00445994" w:rsidRPr="00445994" w14:paraId="5484AC5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6558F3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BRITVELA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B6388D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INOPROJEKT D.O.O.</w:t>
            </w:r>
          </w:p>
        </w:tc>
      </w:tr>
      <w:tr w:rsidR="00445994" w:rsidRPr="00445994" w14:paraId="448800F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D46D7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BRODOGRADILIŠTE KRK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77F1E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INSPIRION D.O.O.</w:t>
            </w:r>
          </w:p>
        </w:tc>
      </w:tr>
      <w:tr w:rsidR="00445994" w:rsidRPr="00445994" w14:paraId="229A9C3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098CA4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BUBI TOURS TURISTIČKA AGENCIJA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9516D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INTELTEH D.O.O.</w:t>
            </w:r>
          </w:p>
        </w:tc>
      </w:tr>
      <w:tr w:rsidR="00445994" w:rsidRPr="00445994" w14:paraId="686B80C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06796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BUNGULA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107EF1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INTER NOS D.O.O.</w:t>
            </w:r>
          </w:p>
        </w:tc>
      </w:tr>
      <w:tr w:rsidR="00445994" w:rsidRPr="00445994" w14:paraId="2AB09B0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F38E43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BURA OLIB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498884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INTERIJER BARTOL D.O.O.</w:t>
            </w:r>
          </w:p>
        </w:tc>
      </w:tr>
      <w:tr w:rsidR="00445994" w:rsidRPr="00445994" w14:paraId="66A63DC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4374A5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BUSINESS COMPUTER SYSTEMS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82B77F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INTERIJERI HULJEV D.O.O.</w:t>
            </w:r>
          </w:p>
        </w:tc>
      </w:tr>
      <w:tr w:rsidR="00445994" w:rsidRPr="00445994" w14:paraId="1A1B7B3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9E0A7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BUZJAK PROMET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40335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INTERIJERI KARLO D.O.O.</w:t>
            </w:r>
          </w:p>
        </w:tc>
      </w:tr>
      <w:tr w:rsidR="00445994" w:rsidRPr="00445994" w14:paraId="35251B4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B533A4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CAFEA SISTEMI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2EFD0A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INTERŠPED VUKOVAR D.O.O.</w:t>
            </w:r>
          </w:p>
        </w:tc>
      </w:tr>
      <w:tr w:rsidR="00445994" w:rsidRPr="00445994" w14:paraId="074CFC3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B93F6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CALENDULA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65789C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INTERUGO D.O.O.</w:t>
            </w:r>
          </w:p>
        </w:tc>
      </w:tr>
      <w:tr w:rsidR="00445994" w:rsidRPr="00445994" w14:paraId="391044F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F75C0C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CANTO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371352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INTRA LIGHTING D.O.O.</w:t>
            </w:r>
          </w:p>
        </w:tc>
      </w:tr>
      <w:tr w:rsidR="00445994" w:rsidRPr="00445994" w14:paraId="2685C39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031F1D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CASTE IMI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716F3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INTRADA D.O.O.</w:t>
            </w:r>
          </w:p>
        </w:tc>
      </w:tr>
      <w:tr w:rsidR="00445994" w:rsidRPr="00445994" w14:paraId="7EAABCB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4AE332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CATERING TIM LISAK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9ED463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INŽENJERING ZA MTK D.O.O.</w:t>
            </w:r>
          </w:p>
        </w:tc>
      </w:tr>
      <w:tr w:rsidR="00445994" w:rsidRPr="00445994" w14:paraId="6015C84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716761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CAVTATSKI DELFIN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3BC765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ISTARSKA HIŽA D.O.O.</w:t>
            </w:r>
          </w:p>
        </w:tc>
      </w:tr>
      <w:tr w:rsidR="00445994" w:rsidRPr="00445994" w14:paraId="68671A2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EB1BE6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CENTAR SLADOLEDA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3E2A1D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IVAGAL D.O.O.</w:t>
            </w:r>
          </w:p>
        </w:tc>
      </w:tr>
      <w:tr w:rsidR="00445994" w:rsidRPr="00445994" w14:paraId="5B99AA3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662553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CENTROMETAL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56B975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IVANIĆPLAST D.O.O.</w:t>
            </w:r>
          </w:p>
        </w:tc>
      </w:tr>
      <w:tr w:rsidR="00445994" w:rsidRPr="00445994" w14:paraId="12706D1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123D00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CENTUM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5EF8FE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IVANKA MODA D.O.O.</w:t>
            </w:r>
          </w:p>
        </w:tc>
      </w:tr>
      <w:tr w:rsidR="00445994" w:rsidRPr="00445994" w14:paraId="01EA97A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E15822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CIKIN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A2E6B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IVANKOVIĆI D.O.O.</w:t>
            </w:r>
          </w:p>
        </w:tc>
      </w:tr>
      <w:tr w:rsidR="00445994" w:rsidRPr="00445994" w14:paraId="45D870F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FC9998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CINKUŠ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4135CB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IVE COMMERCE D.O.O.</w:t>
            </w:r>
          </w:p>
        </w:tc>
      </w:tr>
      <w:tr w:rsidR="00445994" w:rsidRPr="00445994" w14:paraId="145D966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B73363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COLORPLAST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DF4689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JADRANSKI PRIJEVOZI D.O.O.</w:t>
            </w:r>
          </w:p>
        </w:tc>
      </w:tr>
      <w:tr w:rsidR="00445994" w:rsidRPr="00445994" w14:paraId="4CCA8B9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55F47E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COMES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3555C8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JAGMA D.O.O.</w:t>
            </w:r>
          </w:p>
        </w:tc>
      </w:tr>
      <w:tr w:rsidR="00445994" w:rsidRPr="00445994" w14:paraId="7723982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159173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COMPUTECH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DB5A4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JAGODA BOL D.O.O.</w:t>
            </w:r>
          </w:p>
        </w:tc>
      </w:tr>
      <w:tr w:rsidR="00445994" w:rsidRPr="00445994" w14:paraId="7A75A47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B91171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CONSISTO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830929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JAKI D.O.O.</w:t>
            </w:r>
          </w:p>
        </w:tc>
      </w:tr>
      <w:tr w:rsidR="00445994" w:rsidRPr="00445994" w14:paraId="74D71DC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E34619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CORALLIUM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A90ECB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JAKLENEC DENT D.O.O.</w:t>
            </w:r>
          </w:p>
        </w:tc>
      </w:tr>
      <w:tr w:rsidR="00445994" w:rsidRPr="00445994" w14:paraId="4E79663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B9E0C3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CORBETT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947B1B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JAKŠIĆ INTERIJERI D.O.O.</w:t>
            </w:r>
          </w:p>
        </w:tc>
      </w:tr>
      <w:tr w:rsidR="00445994" w:rsidRPr="00445994" w14:paraId="4B0CFC0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253106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CORINA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7A89FF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JEDINSTVO KARTONAŽA D.O.O.</w:t>
            </w:r>
          </w:p>
        </w:tc>
      </w:tr>
      <w:tr w:rsidR="00445994" w:rsidRPr="00445994" w14:paraId="5899712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C2D6EB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CORSO NOVOSELEC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5FD119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JEDINSTVO LAMELE D.O.O.</w:t>
            </w:r>
          </w:p>
        </w:tc>
      </w:tr>
      <w:tr w:rsidR="00445994" w:rsidRPr="00445994" w14:paraId="0878035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197AD9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CORTEC HRVATSKA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2EAE5A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JERMANIŠ D.O.O.</w:t>
            </w:r>
          </w:p>
        </w:tc>
      </w:tr>
      <w:tr w:rsidR="00445994" w:rsidRPr="00445994" w14:paraId="2ADE846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F240C3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CORTECROS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4F6CB3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JIL SOKOVI D.O.O.</w:t>
            </w:r>
          </w:p>
        </w:tc>
      </w:tr>
      <w:tr w:rsidR="00445994" w:rsidRPr="00445994" w14:paraId="7F88DEA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58A163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CROVIS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D83420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JO-JO OPTIKA D.O.O.</w:t>
            </w:r>
          </w:p>
        </w:tc>
      </w:tr>
      <w:tr w:rsidR="00445994" w:rsidRPr="00445994" w14:paraId="0013D8B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0D2C44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CVITAŠ VG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BF906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JOKER D.O.O.</w:t>
            </w:r>
          </w:p>
        </w:tc>
      </w:tr>
      <w:tr w:rsidR="00445994" w:rsidRPr="00445994" w14:paraId="55BB071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46DFD4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ČARLI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99B4D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JURA DRVO D.O.O.</w:t>
            </w:r>
          </w:p>
        </w:tc>
      </w:tr>
      <w:tr w:rsidR="00445994" w:rsidRPr="00445994" w14:paraId="798366C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30B0DF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ČAVAR METALI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22863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JURIŠAK-TRANSPORTI D.O.O.</w:t>
            </w:r>
          </w:p>
        </w:tc>
      </w:tr>
      <w:tr w:rsidR="00445994" w:rsidRPr="00445994" w14:paraId="74D8C3E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10C15F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ČEKO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7B2E3C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JUT D.O.O.</w:t>
            </w:r>
          </w:p>
        </w:tc>
      </w:tr>
      <w:tr w:rsidR="00445994" w:rsidRPr="00445994" w14:paraId="6F04296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AE0256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ČIČAK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407819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JUŽNA PLAŽA D.O.O.</w:t>
            </w:r>
          </w:p>
        </w:tc>
      </w:tr>
      <w:tr w:rsidR="00445994" w:rsidRPr="00445994" w14:paraId="4CDAC97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DB5CF5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ĆALIŠ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2E095A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KA-PROMET D.O.O.</w:t>
            </w:r>
          </w:p>
        </w:tc>
      </w:tr>
      <w:tr w:rsidR="00445994" w:rsidRPr="00445994" w14:paraId="6063005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70B0B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 A. M. A. R. INOX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E38B41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KALENDAR D.O.O.</w:t>
            </w:r>
          </w:p>
        </w:tc>
      </w:tr>
      <w:tr w:rsidR="00445994" w:rsidRPr="00445994" w14:paraId="2ADA473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110474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DA-KOM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88BEB9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KAMEN TUNIĆ D.O.O.</w:t>
            </w:r>
          </w:p>
        </w:tc>
      </w:tr>
      <w:tr w:rsidR="00445994" w:rsidRPr="00445994" w14:paraId="684FFE6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EBD65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DABAR P.L.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C8A7FA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KAMS D.O.O.</w:t>
            </w:r>
          </w:p>
        </w:tc>
      </w:tr>
      <w:tr w:rsidR="00445994" w:rsidRPr="00445994" w14:paraId="6CA1F93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FDFECC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DAMAGO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C8B074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KANOTA D.O.O.</w:t>
            </w:r>
          </w:p>
        </w:tc>
      </w:tr>
      <w:tr w:rsidR="00445994" w:rsidRPr="00445994" w14:paraId="5FEA385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CE394F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DAMAKS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1D5BE1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KAPLJICA D.O.O.</w:t>
            </w:r>
          </w:p>
        </w:tc>
      </w:tr>
      <w:tr w:rsidR="00445994" w:rsidRPr="00445994" w14:paraId="6B55D09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780667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DAMEK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3E74BD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KAPULAR D.O.O.</w:t>
            </w:r>
          </w:p>
        </w:tc>
      </w:tr>
      <w:tr w:rsidR="00445994" w:rsidRPr="00445994" w14:paraId="1986799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631493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DAMEX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BD29AB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KARIKA D.O.O.</w:t>
            </w:r>
          </w:p>
        </w:tc>
      </w:tr>
      <w:tr w:rsidR="00445994" w:rsidRPr="00445994" w14:paraId="2E0745D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6F322D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DANGOR AND DOHOMONT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88B960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KARLO NAUTIKA D.O.O.</w:t>
            </w:r>
          </w:p>
        </w:tc>
      </w:tr>
      <w:tr w:rsidR="00445994" w:rsidRPr="00445994" w14:paraId="15E4EEC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80E0A0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DANIJEL INTERIJERI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DA3F46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KARMELIĆ &amp; WALLER D.O.O.</w:t>
            </w:r>
          </w:p>
        </w:tc>
      </w:tr>
      <w:tr w:rsidR="00445994" w:rsidRPr="00445994" w14:paraId="41F336C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AA9722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DAROJKOVIĆ PROMET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8D39E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KARO VRBOVEC D.O.O.</w:t>
            </w:r>
          </w:p>
        </w:tc>
      </w:tr>
      <w:tr w:rsidR="00445994" w:rsidRPr="00445994" w14:paraId="50BCA68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A8A0ED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DEA DRUM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D67588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KARTAGA TRAVEL D.O.O.</w:t>
            </w:r>
          </w:p>
        </w:tc>
      </w:tr>
      <w:tr w:rsidR="00445994" w:rsidRPr="00445994" w14:paraId="76969BE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04EA28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DEBELJAK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3BDE21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KAŠTEL ROTONDO D.O.O.</w:t>
            </w:r>
          </w:p>
        </w:tc>
      </w:tr>
      <w:tr w:rsidR="00445994" w:rsidRPr="00445994" w14:paraId="395726D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AE73B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DECO-DOMUS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3CFE37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KATEX D.O.O.</w:t>
            </w:r>
          </w:p>
        </w:tc>
      </w:tr>
      <w:tr w:rsidR="00445994" w:rsidRPr="00445994" w14:paraId="2205B0D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F7A370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DELTA-SPLIT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E9D424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KATURBO D.O.O.</w:t>
            </w:r>
          </w:p>
        </w:tc>
      </w:tr>
      <w:tr w:rsidR="00445994" w:rsidRPr="00445994" w14:paraId="78941B3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5DB70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DEMUS-DRVO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942F3E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KAZBEK D.O.O.</w:t>
            </w:r>
          </w:p>
        </w:tc>
      </w:tr>
      <w:tr w:rsidR="00445994" w:rsidRPr="00445994" w14:paraId="55D81F9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4E50A8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DENEBOLA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1D2FA4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KEKEZOVICS D.O.O.</w:t>
            </w:r>
          </w:p>
        </w:tc>
      </w:tr>
      <w:tr w:rsidR="00445994" w:rsidRPr="00445994" w14:paraId="7A0E87C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F413E6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DESTINACIJA JADRAN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504892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KEKO USLUGE D.O.O.</w:t>
            </w:r>
          </w:p>
        </w:tc>
      </w:tr>
      <w:tr w:rsidR="00445994" w:rsidRPr="00445994" w14:paraId="16E10BC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A7C3C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DI-TRANS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B271F1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KEKS D.O.O.</w:t>
            </w:r>
          </w:p>
        </w:tc>
      </w:tr>
      <w:tr w:rsidR="00445994" w:rsidRPr="00445994" w14:paraId="036218C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28E8BC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DIA-PEN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194C54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KELAM D.O.O.</w:t>
            </w:r>
          </w:p>
        </w:tc>
      </w:tr>
      <w:tr w:rsidR="00445994" w:rsidRPr="00445994" w14:paraId="24DFE4F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55D632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DIALUX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AB1DFB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KEMIKA D.D.</w:t>
            </w:r>
          </w:p>
        </w:tc>
      </w:tr>
      <w:tr w:rsidR="00445994" w:rsidRPr="00445994" w14:paraId="4E453AB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C60ADA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DIDOT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3F1CCA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KERAMEIKOS D.O.O.</w:t>
            </w:r>
          </w:p>
        </w:tc>
      </w:tr>
      <w:tr w:rsidR="00445994" w:rsidRPr="00445994" w14:paraId="2B5DC27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0E9AD8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DIG JOSIPDOL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FB41A3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KEYA D.O.O.</w:t>
            </w:r>
          </w:p>
        </w:tc>
      </w:tr>
      <w:tr w:rsidR="00445994" w:rsidRPr="00445994" w14:paraId="328A512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6F9071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DILJ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921DB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KID MARIN SERVIS D.O.O.</w:t>
            </w:r>
          </w:p>
        </w:tc>
      </w:tr>
      <w:tr w:rsidR="00445994" w:rsidRPr="00445994" w14:paraId="4B71C2D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F57A83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DIMNJAČAR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0DE4E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KLANJČIĆ D.O.O.</w:t>
            </w:r>
          </w:p>
        </w:tc>
      </w:tr>
      <w:tr w:rsidR="00445994" w:rsidRPr="00445994" w14:paraId="503A335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64BB5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DINGO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170675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KLENTRANS D.O.O.</w:t>
            </w:r>
          </w:p>
        </w:tc>
      </w:tr>
      <w:tr w:rsidR="00445994" w:rsidRPr="00445994" w14:paraId="09F3BB7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3D0D1F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DITTA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D1501D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KLESARSTVO BRLETIĆ D.O.O.</w:t>
            </w:r>
          </w:p>
        </w:tc>
      </w:tr>
      <w:tr w:rsidR="00445994" w:rsidRPr="00445994" w14:paraId="6D2420B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66CA15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DM JERČIĆ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75AAB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KLESARSTVO GRGIĆ D.O.O.</w:t>
            </w:r>
          </w:p>
        </w:tc>
      </w:tr>
      <w:tr w:rsidR="00445994" w:rsidRPr="00445994" w14:paraId="2DB815B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E075F9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DMN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BEB52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KLESARSTVO MARTINČEVIĆ D.O.O.</w:t>
            </w:r>
          </w:p>
        </w:tc>
      </w:tr>
      <w:tr w:rsidR="00445994" w:rsidRPr="00445994" w14:paraId="5DF3548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A25E88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DOBAR TEK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B56046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KLESARSTVO VIDE D.O.O.</w:t>
            </w:r>
          </w:p>
        </w:tc>
      </w:tr>
      <w:tr w:rsidR="00445994" w:rsidRPr="00445994" w14:paraId="18B9EC5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AFDD38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DOGA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6A87C6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KLESARSTVO-KAMEN D.O.O.</w:t>
            </w:r>
          </w:p>
        </w:tc>
      </w:tr>
      <w:tr w:rsidR="00445994" w:rsidRPr="00445994" w14:paraId="72C50EA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FAB91E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DOGMA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40A1B4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KLEX D.O.O.</w:t>
            </w:r>
          </w:p>
        </w:tc>
      </w:tr>
      <w:tr w:rsidR="00445994" w:rsidRPr="00445994" w14:paraId="51E812F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CD07F7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DOMINORING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5B73E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KNAUF INSULATION D.O.O.</w:t>
            </w:r>
          </w:p>
        </w:tc>
      </w:tr>
      <w:tr w:rsidR="00445994" w:rsidRPr="00445994" w14:paraId="021D3BB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2BB8B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DOMUZIN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B590B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KO-KO TRANS D.O.O.</w:t>
            </w:r>
          </w:p>
        </w:tc>
      </w:tr>
      <w:tr w:rsidR="00445994" w:rsidRPr="00445994" w14:paraId="286D268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88183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DORA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E150BA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KOMAR D.O.O.</w:t>
            </w:r>
          </w:p>
        </w:tc>
      </w:tr>
      <w:tr w:rsidR="00445994" w:rsidRPr="00445994" w14:paraId="35AA297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E6C554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DORMANA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D11244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KONAT D.O.O.</w:t>
            </w:r>
          </w:p>
        </w:tc>
      </w:tr>
      <w:tr w:rsidR="00445994" w:rsidRPr="00445994" w14:paraId="16BC5E9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C047F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DRAGATEKS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39C85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KONAVLE METAL D.O.O.</w:t>
            </w:r>
          </w:p>
        </w:tc>
      </w:tr>
      <w:tr w:rsidR="00445994" w:rsidRPr="00445994" w14:paraId="03189A0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384D38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DRVO KOMERC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9B440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KONOBA GALIJA D.O.O.</w:t>
            </w:r>
          </w:p>
        </w:tc>
      </w:tr>
      <w:tr w:rsidR="00445994" w:rsidRPr="00445994" w14:paraId="6758F2F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1D8A3E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DRVOADUT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F14ADB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KORNATI D.O.O.</w:t>
            </w:r>
          </w:p>
        </w:tc>
      </w:tr>
      <w:tr w:rsidR="00445994" w:rsidRPr="00445994" w14:paraId="037F702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A6DAB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DRVOTEHNA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C46CEF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KORTIS D.O.O.</w:t>
            </w:r>
          </w:p>
        </w:tc>
      </w:tr>
      <w:tr w:rsidR="00445994" w:rsidRPr="00445994" w14:paraId="2A975BD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AFED43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DRVOTEHNA HUSNJAK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D1F734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KOTARSKI PROMET D.O.O.</w:t>
            </w:r>
          </w:p>
        </w:tc>
      </w:tr>
      <w:tr w:rsidR="00445994" w:rsidRPr="00445994" w14:paraId="3AF8764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BAA2AA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DRVOTOKARIJA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A333EA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KREVETNINA TEKSTIL D.O.O.</w:t>
            </w:r>
          </w:p>
        </w:tc>
      </w:tr>
      <w:tr w:rsidR="00445994" w:rsidRPr="00445994" w14:paraId="14721B9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8DE25D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DUJMOVIĆ IVICA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D5E44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KROJOSTIL D.O.O.</w:t>
            </w:r>
          </w:p>
        </w:tc>
      </w:tr>
      <w:tr w:rsidR="00445994" w:rsidRPr="00445994" w14:paraId="19CE1B3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98A42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DUNDO MAROJE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2DF41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KRONUS MARINE D.O.O.</w:t>
            </w:r>
          </w:p>
        </w:tc>
      </w:tr>
      <w:tr w:rsidR="00445994" w:rsidRPr="00445994" w14:paraId="2744E2A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F78C0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DUNKIĆ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DC41AC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KRUG D.O.O.</w:t>
            </w:r>
          </w:p>
        </w:tc>
      </w:tr>
      <w:tr w:rsidR="00445994" w:rsidRPr="00445994" w14:paraId="0AFC262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8B89CC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DUPAL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D6446C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KRUGER D.O.O.</w:t>
            </w:r>
          </w:p>
        </w:tc>
      </w:tr>
      <w:tr w:rsidR="00445994" w:rsidRPr="00445994" w14:paraId="2182D89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64F476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DUWAR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A7339F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KS SISTEM D.O.O.</w:t>
            </w:r>
          </w:p>
        </w:tc>
      </w:tr>
      <w:tr w:rsidR="00445994" w:rsidRPr="00445994" w14:paraId="74B5912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3BC3DB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DVA 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797C6E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KUĆA PUNTIJAR D.O.O.</w:t>
            </w:r>
          </w:p>
        </w:tc>
      </w:tr>
      <w:tr w:rsidR="00445994" w:rsidRPr="00445994" w14:paraId="0770D91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48FA40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DVIGRAD TELEKOM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595307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KUĆA ZDRAVLJA D.O.O.</w:t>
            </w:r>
          </w:p>
        </w:tc>
      </w:tr>
      <w:tr w:rsidR="00445994" w:rsidRPr="00445994" w14:paraId="4712499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F45000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ĐUGUM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51DE6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KULFA D.O.O.</w:t>
            </w:r>
          </w:p>
        </w:tc>
      </w:tr>
      <w:tr w:rsidR="00445994" w:rsidRPr="00445994" w14:paraId="3DC2A0B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39D27C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E.C. FARMA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F0AD60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KURUC I RUBIL D.O.O.</w:t>
            </w:r>
          </w:p>
        </w:tc>
      </w:tr>
      <w:tr w:rsidR="00445994" w:rsidRPr="00445994" w14:paraId="4C272C8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E9D61B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EART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6BA179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KUTJEVAČKI PODRUM D.O.O.</w:t>
            </w:r>
          </w:p>
        </w:tc>
      </w:tr>
      <w:tr w:rsidR="00445994" w:rsidRPr="00445994" w14:paraId="54820E3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5E3435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EAST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A9BC28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KUZMIČ D.O.O.</w:t>
            </w:r>
          </w:p>
        </w:tc>
      </w:tr>
      <w:tr w:rsidR="00445994" w:rsidRPr="00445994" w14:paraId="39CAA9D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C68C3D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ECO CENTAR BEKE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A2D600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LABAŠ D.O.O.</w:t>
            </w:r>
          </w:p>
        </w:tc>
      </w:tr>
      <w:tr w:rsidR="00445994" w:rsidRPr="00445994" w14:paraId="402E3D0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EE366B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EFEKTIV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4E855B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LABORO TERM D.O.O.</w:t>
            </w:r>
          </w:p>
        </w:tc>
      </w:tr>
      <w:tr w:rsidR="00445994" w:rsidRPr="00445994" w14:paraId="5D1E1FA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8E7272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EGIS ROAD OPERATION CROATIA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6D6E50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LAMELLA D.O.O.</w:t>
            </w:r>
          </w:p>
        </w:tc>
      </w:tr>
      <w:tr w:rsidR="00445994" w:rsidRPr="00445994" w14:paraId="3BD0CD6F" w14:textId="77777777" w:rsidTr="00445994">
        <w:trPr>
          <w:trHeight w:val="288"/>
          <w:jc w:val="center"/>
        </w:trPr>
        <w:tc>
          <w:tcPr>
            <w:tcW w:w="4160" w:type="dxa"/>
            <w:tcBorders>
              <w:top w:val="single" w:sz="4" w:space="0" w:color="FFFFFF"/>
              <w:left w:val="single" w:sz="4" w:space="0" w:color="FFFFFF"/>
              <w:bottom w:val="single" w:sz="4" w:space="0" w:color="FFFFFF"/>
              <w:right w:val="single" w:sz="4" w:space="0" w:color="FFFFFF"/>
            </w:tcBorders>
            <w:shd w:val="clear" w:color="000000" w:fill="D9D9D9"/>
            <w:noWrap/>
            <w:vAlign w:val="bottom"/>
            <w:hideMark/>
          </w:tcPr>
          <w:p w14:paraId="5A51FDB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LAMPE D.O.O.</w:t>
            </w:r>
          </w:p>
        </w:tc>
        <w:tc>
          <w:tcPr>
            <w:tcW w:w="4240" w:type="dxa"/>
            <w:tcBorders>
              <w:top w:val="single" w:sz="4" w:space="0" w:color="FFFFFF"/>
              <w:left w:val="nil"/>
              <w:bottom w:val="single" w:sz="4" w:space="0" w:color="FFFFFF"/>
              <w:right w:val="single" w:sz="4" w:space="0" w:color="FFFFFF"/>
            </w:tcBorders>
            <w:shd w:val="clear" w:color="000000" w:fill="D9D9D9"/>
            <w:noWrap/>
            <w:vAlign w:val="bottom"/>
            <w:hideMark/>
          </w:tcPr>
          <w:p w14:paraId="167FB1B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RENESANSA D.O.O.</w:t>
            </w:r>
          </w:p>
        </w:tc>
      </w:tr>
      <w:tr w:rsidR="00445994" w:rsidRPr="00445994" w14:paraId="7AABC4B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465F80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LAMPERT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6E8590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RESPECT NADOGRADNJA D.O.O.</w:t>
            </w:r>
          </w:p>
        </w:tc>
      </w:tr>
      <w:tr w:rsidR="00445994" w:rsidRPr="00445994" w14:paraId="6B8A731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AA5BD2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LARA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355542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RESTA D.O.O.</w:t>
            </w:r>
          </w:p>
        </w:tc>
      </w:tr>
      <w:tr w:rsidR="00445994" w:rsidRPr="00445994" w14:paraId="05AE0EC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96D730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LEBIĆ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6E18B6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REVELIN D.O.O.</w:t>
            </w:r>
          </w:p>
        </w:tc>
      </w:tr>
      <w:tr w:rsidR="00445994" w:rsidRPr="00445994" w14:paraId="7CEE83B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17943F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LELTEH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430BD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REVIN D.O.O.</w:t>
            </w:r>
          </w:p>
        </w:tc>
      </w:tr>
      <w:tr w:rsidR="00445994" w:rsidRPr="00445994" w14:paraId="194B763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53F0C4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LEMA TRANS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C7FD4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RIVUS D.O.O.</w:t>
            </w:r>
          </w:p>
        </w:tc>
      </w:tr>
      <w:tr w:rsidR="00445994" w:rsidRPr="00445994" w14:paraId="5CC6721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F01E58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LENA MAKSAN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6CF60E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RMC D.O.O.</w:t>
            </w:r>
          </w:p>
        </w:tc>
      </w:tr>
      <w:tr w:rsidR="00445994" w:rsidRPr="00445994" w14:paraId="4AB9FE6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41397D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LEONIVO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B5423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ROBOTOP D.O.O.</w:t>
            </w:r>
          </w:p>
        </w:tc>
      </w:tr>
      <w:tr w:rsidR="00445994" w:rsidRPr="00445994" w14:paraId="5B9C802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C61F87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LEOPOLD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585731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ROMUS D.O.O.</w:t>
            </w:r>
          </w:p>
        </w:tc>
      </w:tr>
      <w:tr w:rsidR="00445994" w:rsidRPr="00445994" w14:paraId="3A94FDC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DEE749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LIBERTAS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FFAFBA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ROSA D.O.O.</w:t>
            </w:r>
          </w:p>
        </w:tc>
      </w:tr>
      <w:tr w:rsidR="00445994" w:rsidRPr="00445994" w14:paraId="41B3D91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D77E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LIBURNIJA TRANSPORTI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61EABD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ROTOMETAL D.O.O.</w:t>
            </w:r>
          </w:p>
        </w:tc>
      </w:tr>
      <w:tr w:rsidR="00445994" w:rsidRPr="00445994" w14:paraId="1D64909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B9BEED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LICITARSKO SRCE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826A3B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ROVESA D.O.O.</w:t>
            </w:r>
          </w:p>
        </w:tc>
      </w:tr>
      <w:tr w:rsidR="00445994" w:rsidRPr="00445994" w14:paraId="1AD3C72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0C695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LIMAS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5312E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RUDINE D.O.O.</w:t>
            </w:r>
          </w:p>
        </w:tc>
      </w:tr>
      <w:tr w:rsidR="00445994" w:rsidRPr="00445994" w14:paraId="3BC49CB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98C7E5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LMT GORICA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DD7682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RUKUBA D.O.O.</w:t>
            </w:r>
          </w:p>
        </w:tc>
      </w:tr>
      <w:tr w:rsidR="00445994" w:rsidRPr="00445994" w14:paraId="5C95C05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BD7A9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LOKNER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015BA3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RUMENI D.O.O.</w:t>
            </w:r>
          </w:p>
        </w:tc>
      </w:tr>
      <w:tr w:rsidR="00445994" w:rsidRPr="00445994" w14:paraId="5EADDC0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01F38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LORENA USLUGE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DE895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RUŠEV D.O.O.</w:t>
            </w:r>
          </w:p>
        </w:tc>
      </w:tr>
      <w:tr w:rsidR="00445994" w:rsidRPr="00445994" w14:paraId="3ED4B83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EDF6FB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LORENCIN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CCE3BB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S.T.U.P. D.O.O.</w:t>
            </w:r>
          </w:p>
        </w:tc>
      </w:tr>
      <w:tr w:rsidR="00445994" w:rsidRPr="00445994" w14:paraId="39E3F32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1ABD16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LOTUS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78D117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SAJAM INTERIJERI D.O.O.</w:t>
            </w:r>
          </w:p>
        </w:tc>
      </w:tr>
      <w:tr w:rsidR="00445994" w:rsidRPr="00445994" w14:paraId="6CA612D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F3DF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LPT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CD7FA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SAN TRADE D.O.O.</w:t>
            </w:r>
          </w:p>
        </w:tc>
      </w:tr>
      <w:tr w:rsidR="00445994" w:rsidRPr="00445994" w14:paraId="0ADB519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A2D834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LUJO TRAVEL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F12AF4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SANITACIJA D.O.O.</w:t>
            </w:r>
          </w:p>
        </w:tc>
      </w:tr>
      <w:tr w:rsidR="00445994" w:rsidRPr="00445994" w14:paraId="06F9925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AD6188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LUŠIN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278950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SANTAJ PLASTIKA D.O.O.</w:t>
            </w:r>
          </w:p>
        </w:tc>
      </w:tr>
      <w:tr w:rsidR="00445994" w:rsidRPr="00445994" w14:paraId="5CF893C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F70164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LUŽNJAK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A13999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SARTOR D.O.O.</w:t>
            </w:r>
          </w:p>
        </w:tc>
      </w:tr>
      <w:tr w:rsidR="00445994" w:rsidRPr="00445994" w14:paraId="4E17C35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74AAD7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LJETNIKOVAC LANTANA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6EE469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SAS STROJOGRADNJA D.O.O.</w:t>
            </w:r>
          </w:p>
        </w:tc>
      </w:tr>
      <w:tr w:rsidR="00445994" w:rsidRPr="00445994" w14:paraId="7CFB06B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AD8CF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LJETO SNOVA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D05A79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SATOR D.O.O.</w:t>
            </w:r>
          </w:p>
        </w:tc>
      </w:tr>
      <w:tr w:rsidR="00445994" w:rsidRPr="00445994" w14:paraId="335D725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53ED04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LJETOPISI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5C7F70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SEDILE D.O.O.</w:t>
            </w:r>
          </w:p>
        </w:tc>
      </w:tr>
      <w:tr w:rsidR="00445994" w:rsidRPr="00445994" w14:paraId="3F3CB80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2F8F59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LJUBIĆ COMMERCE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3F23DE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SELECTA D.O.O.</w:t>
            </w:r>
          </w:p>
        </w:tc>
      </w:tr>
      <w:tr w:rsidR="00445994" w:rsidRPr="00445994" w14:paraId="4BF9D99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76CD5D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M.F.M.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5543EC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SERENUS D.O.O.</w:t>
            </w:r>
          </w:p>
        </w:tc>
      </w:tr>
      <w:tr w:rsidR="00445994" w:rsidRPr="00445994" w14:paraId="367BFB7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B1D92F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MACTO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89C7D3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SERVISNI CENTAR TROGIR D.O.O.</w:t>
            </w:r>
          </w:p>
        </w:tc>
      </w:tr>
      <w:tr w:rsidR="00445994" w:rsidRPr="00445994" w14:paraId="41B826C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D6A302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MACURA TRAVEL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DC6765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SET D.O.O.</w:t>
            </w:r>
          </w:p>
        </w:tc>
      </w:tr>
      <w:tr w:rsidR="00445994" w:rsidRPr="00445994" w14:paraId="1F7829D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0B47B5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MAGNANIMUS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6EC39F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SET OFF SET D.O.O.</w:t>
            </w:r>
          </w:p>
        </w:tc>
      </w:tr>
      <w:tr w:rsidR="00445994" w:rsidRPr="00445994" w14:paraId="49A22CF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FE931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MAGO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01D285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SHURMAN D.O.O.</w:t>
            </w:r>
          </w:p>
        </w:tc>
      </w:tr>
      <w:tr w:rsidR="00445994" w:rsidRPr="00445994" w14:paraId="1038A09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DA4980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MAKELLA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E697EF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SIDRO DUBROVNIK D.O.O.</w:t>
            </w:r>
          </w:p>
        </w:tc>
      </w:tr>
      <w:tr w:rsidR="00445994" w:rsidRPr="00445994" w14:paraId="0C7BF55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774EEE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MAKETA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BFD38E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SILA D.O.O.</w:t>
            </w:r>
          </w:p>
        </w:tc>
      </w:tr>
      <w:tr w:rsidR="00445994" w:rsidRPr="00445994" w14:paraId="5DDD9B5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A7FF02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MAKINA VODICE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92C26E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SILVER D.O.O.</w:t>
            </w:r>
          </w:p>
        </w:tc>
      </w:tr>
      <w:tr w:rsidR="00445994" w:rsidRPr="00445994" w14:paraId="5752EFF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99CA17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MALKOČ TEHNIKA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8EAEB5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SINEL D.O.O.</w:t>
            </w:r>
          </w:p>
        </w:tc>
      </w:tr>
      <w:tr w:rsidR="00445994" w:rsidRPr="00445994" w14:paraId="0377A89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3CC0F7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MARE-CHARTER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67A78C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SIRAS D.O.O.</w:t>
            </w:r>
          </w:p>
        </w:tc>
      </w:tr>
      <w:tr w:rsidR="00445994" w:rsidRPr="00445994" w14:paraId="5DECBB5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08B2A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MARETON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5EA70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SIROVICA D.O.O.</w:t>
            </w:r>
          </w:p>
        </w:tc>
      </w:tr>
      <w:tr w:rsidR="00445994" w:rsidRPr="00445994" w14:paraId="1B510EE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DDB1A6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MARIČIĆ PRIJEVOZ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9916EB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SISTEMI ZAGREB D.O.O.</w:t>
            </w:r>
          </w:p>
        </w:tc>
      </w:tr>
      <w:tr w:rsidR="00445994" w:rsidRPr="00445994" w14:paraId="16D39E5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FB5F5D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MARIJANA DRENJE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2A4C98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SITON-TEX D.O.O.</w:t>
            </w:r>
          </w:p>
        </w:tc>
      </w:tr>
      <w:tr w:rsidR="00445994" w:rsidRPr="00445994" w14:paraId="2B3FAEA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6DBA0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MAROLT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F86A39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SLAK D.O.O.</w:t>
            </w:r>
          </w:p>
        </w:tc>
      </w:tr>
      <w:tr w:rsidR="00445994" w:rsidRPr="00445994" w14:paraId="7551709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51C16B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MARVIN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1A0EA8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SLAPAR D.O.O.</w:t>
            </w:r>
          </w:p>
        </w:tc>
      </w:tr>
      <w:tr w:rsidR="00445994" w:rsidRPr="00445994" w14:paraId="2075EBF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05A2CB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MASAPRINT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E73830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SLATINATRANS D.O.O.</w:t>
            </w:r>
          </w:p>
        </w:tc>
      </w:tr>
      <w:tr w:rsidR="00445994" w:rsidRPr="00445994" w14:paraId="789C24F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6E9854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MASLINARSKI DOM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7AB7B0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SM DIZEL D.O.O.</w:t>
            </w:r>
          </w:p>
        </w:tc>
      </w:tr>
      <w:tr w:rsidR="00445994" w:rsidRPr="00445994" w14:paraId="24DFBAC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9422A7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MASTEX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A64B77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SMOKI D.O.O.</w:t>
            </w:r>
          </w:p>
        </w:tc>
      </w:tr>
      <w:tr w:rsidR="00445994" w:rsidRPr="00445994" w14:paraId="4CDE157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0C6C7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MATAK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5AA99E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SMOKVA D.O.O.</w:t>
            </w:r>
          </w:p>
        </w:tc>
      </w:tr>
      <w:tr w:rsidR="00445994" w:rsidRPr="00445994" w14:paraId="30AC2E5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EEB6AE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MATIVA 2000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871CC0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SNOP D.O.O.</w:t>
            </w:r>
          </w:p>
        </w:tc>
      </w:tr>
      <w:tr w:rsidR="00445994" w:rsidRPr="00445994" w14:paraId="0C9239B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87A694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MATO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B252F3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SPARUS TOURS D.O.O.</w:t>
            </w:r>
          </w:p>
        </w:tc>
      </w:tr>
      <w:tr w:rsidR="00445994" w:rsidRPr="00445994" w14:paraId="10BA827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0BBD89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MAX-TIM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71403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SPEDING D.O.O.</w:t>
            </w:r>
          </w:p>
        </w:tc>
      </w:tr>
      <w:tr w:rsidR="00445994" w:rsidRPr="00445994" w14:paraId="0AB6CAE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E2CA17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MCR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13B4AF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SPO-MAT D.O.O.</w:t>
            </w:r>
          </w:p>
        </w:tc>
      </w:tr>
      <w:tr w:rsidR="00445994" w:rsidRPr="00445994" w14:paraId="2305F73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193DC1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MD TOMURAD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06FFB3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SREBRO D.O.O.</w:t>
            </w:r>
          </w:p>
        </w:tc>
      </w:tr>
      <w:tr w:rsidR="00445994" w:rsidRPr="00445994" w14:paraId="2F6B2B0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E9478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MD TRADE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E69E4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STAKLO KADAK D.O.O.</w:t>
            </w:r>
          </w:p>
        </w:tc>
      </w:tr>
      <w:tr w:rsidR="00445994" w:rsidRPr="00445994" w14:paraId="48CA7E5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D5E00C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MEA MARE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4FF72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STEELPLAST D.O.O.</w:t>
            </w:r>
          </w:p>
        </w:tc>
      </w:tr>
      <w:tr w:rsidR="00445994" w:rsidRPr="00445994" w14:paraId="0F62D05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B5DDF9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MEDENI KUTAK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B588E9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STEF D.O.O.</w:t>
            </w:r>
          </w:p>
        </w:tc>
      </w:tr>
      <w:tr w:rsidR="00445994" w:rsidRPr="00445994" w14:paraId="11CC80E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CDF1D6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MEDIA TEHNIKA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678C28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STERMASI D.O.O.</w:t>
            </w:r>
          </w:p>
        </w:tc>
      </w:tr>
      <w:tr w:rsidR="00445994" w:rsidRPr="00445994" w14:paraId="1E2FEED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D79E4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MEDIATRON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831810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STOLARIJA CIBOCI D.O.O.</w:t>
            </w:r>
          </w:p>
        </w:tc>
      </w:tr>
      <w:tr w:rsidR="00445994" w:rsidRPr="00445994" w14:paraId="46B2BC0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FEA8D5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MEDIMON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43D174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STOLARIJA KONRAD MAK D.O.O.</w:t>
            </w:r>
          </w:p>
        </w:tc>
      </w:tr>
      <w:tr w:rsidR="00445994" w:rsidRPr="00445994" w14:paraId="2A90594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1E381E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MEDSERVIS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FFC3BD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STROJOTEHNIKA D.O.O.</w:t>
            </w:r>
          </w:p>
        </w:tc>
      </w:tr>
      <w:tr w:rsidR="00445994" w:rsidRPr="00445994" w14:paraId="5E81151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EBEF9F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MEGASPEL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F89A4B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STUDIO TMB D.O.O.</w:t>
            </w:r>
          </w:p>
        </w:tc>
      </w:tr>
      <w:tr w:rsidR="00445994" w:rsidRPr="00445994" w14:paraId="2AD3981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911E82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MEHANELI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F03AB6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STYX D.O.O.</w:t>
            </w:r>
          </w:p>
        </w:tc>
      </w:tr>
      <w:tr w:rsidR="00445994" w:rsidRPr="00445994" w14:paraId="1457B64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7D6B2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MEHANIKA I NAUTIKA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8408E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SUNCE YACHTING D.O.O.</w:t>
            </w:r>
          </w:p>
        </w:tc>
      </w:tr>
      <w:tr w:rsidR="00445994" w:rsidRPr="00445994" w14:paraId="7BBB8D0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3F7B82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MELTING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160702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SUNCOKRET D.O.O.</w:t>
            </w:r>
          </w:p>
        </w:tc>
      </w:tr>
      <w:tr w:rsidR="00445994" w:rsidRPr="00445994" w14:paraId="6A298A0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51DAE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MERIX MEDICINA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AF67A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SUNČANA PLOVIDBA D.O.O.</w:t>
            </w:r>
          </w:p>
        </w:tc>
      </w:tr>
      <w:tr w:rsidR="00445994" w:rsidRPr="00445994" w14:paraId="7C52131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6A1062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MERK &amp; MERK JAHTE SERVIS TRIBUNJ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A752D2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SUPER DRVO D.O.O.</w:t>
            </w:r>
          </w:p>
        </w:tc>
      </w:tr>
      <w:tr w:rsidR="00445994" w:rsidRPr="00445994" w14:paraId="5982225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3B38F8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MESSARIS NEKRETNINE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A95379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SVE ZA DOM D.O.O.</w:t>
            </w:r>
          </w:p>
        </w:tc>
      </w:tr>
      <w:tr w:rsidR="00445994" w:rsidRPr="00445994" w14:paraId="07E636A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06D8F2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MESSER CROATIA PLIN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619693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SVIBOR D.O.O.</w:t>
            </w:r>
          </w:p>
        </w:tc>
      </w:tr>
      <w:tr w:rsidR="00445994" w:rsidRPr="00445994" w14:paraId="47D4CB1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5CC60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METAL-SINT OKLAJ D.D.</w:t>
            </w:r>
          </w:p>
        </w:tc>
        <w:tc>
          <w:tcPr>
            <w:tcW w:w="4240" w:type="dxa"/>
            <w:tcBorders>
              <w:top w:val="nil"/>
              <w:left w:val="nil"/>
              <w:bottom w:val="single" w:sz="4" w:space="0" w:color="FFFFFF"/>
              <w:right w:val="single" w:sz="4" w:space="0" w:color="FFFFFF"/>
            </w:tcBorders>
            <w:shd w:val="clear" w:color="000000" w:fill="D9D9D9"/>
            <w:noWrap/>
            <w:vAlign w:val="bottom"/>
            <w:hideMark/>
          </w:tcPr>
          <w:p w14:paraId="2CA16CB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SVIJET DEKORA D.O.O.</w:t>
            </w:r>
          </w:p>
        </w:tc>
      </w:tr>
      <w:tr w:rsidR="00445994" w:rsidRPr="00445994" w14:paraId="072E0C1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97F77E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METALIJA-TRANS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A270D1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SWING D.O.O.</w:t>
            </w:r>
          </w:p>
        </w:tc>
      </w:tr>
      <w:tr w:rsidR="00445994" w:rsidRPr="00445994" w14:paraId="3DC5383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C9294F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METALKO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E68991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ŠĆASNI D.O.O.</w:t>
            </w:r>
          </w:p>
        </w:tc>
      </w:tr>
      <w:tr w:rsidR="00445994" w:rsidRPr="00445994" w14:paraId="09F9385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20B107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METALNE KONSTRUKCIJE ŠVENDA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D8387B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ŠEGALINI D.O.O.</w:t>
            </w:r>
          </w:p>
        </w:tc>
      </w:tr>
      <w:tr w:rsidR="00445994" w:rsidRPr="00445994" w14:paraId="265009D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8F32D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MGM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422CE4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ŠESTAN-BUSCH D.O.O.</w:t>
            </w:r>
          </w:p>
        </w:tc>
      </w:tr>
      <w:tr w:rsidR="00445994" w:rsidRPr="00445994" w14:paraId="2CFAD60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795DEE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MIBAT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B9562C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ŠIK CIPELE D.O.O.</w:t>
            </w:r>
          </w:p>
        </w:tc>
      </w:tr>
      <w:tr w:rsidR="00445994" w:rsidRPr="00445994" w14:paraId="1437E4D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DF2199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MICAH ELEKTROMOTORI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BCBCB0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ŠIMUNIĆ PROMET D.O.O.</w:t>
            </w:r>
          </w:p>
        </w:tc>
      </w:tr>
      <w:tr w:rsidR="00445994" w:rsidRPr="00445994" w14:paraId="4825DD6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F51FEA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MICRODATA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7A2B5D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ŠINTIĆ D.O.O.</w:t>
            </w:r>
          </w:p>
        </w:tc>
      </w:tr>
      <w:tr w:rsidR="00445994" w:rsidRPr="00445994" w14:paraId="1153C1D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FABA76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MICROMATIC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7415B2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ŠINTIĆ TRANSPORTI D.O.O.</w:t>
            </w:r>
          </w:p>
        </w:tc>
      </w:tr>
      <w:tr w:rsidR="00445994" w:rsidRPr="00445994" w14:paraId="2A1C87B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54100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MIHAEL PUTNIČKA AGENCIJA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9AC82A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ŠKOFINA D.O.O.</w:t>
            </w:r>
          </w:p>
        </w:tc>
      </w:tr>
      <w:tr w:rsidR="00445994" w:rsidRPr="00445994" w14:paraId="19A092E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38F9C4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MIK TRANSPORT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76A072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ŠPOLJAREC D.O.O.</w:t>
            </w:r>
          </w:p>
        </w:tc>
      </w:tr>
      <w:tr w:rsidR="00445994" w:rsidRPr="00445994" w14:paraId="6FF3D05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0312CF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MIRANDA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996F9A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ŠTIV D.O.O.</w:t>
            </w:r>
          </w:p>
        </w:tc>
      </w:tr>
      <w:tr w:rsidR="00445994" w:rsidRPr="00445994" w14:paraId="16309EC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78D33B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MIRNI KUTAK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F05A24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ŠVAGELJ GRUPA D.O.O.</w:t>
            </w:r>
          </w:p>
        </w:tc>
      </w:tr>
      <w:tr w:rsidR="00445994" w:rsidRPr="00445994" w14:paraId="41DCC0E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247BEF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MISS CAFFE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575C39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TARBOR D.O.O.</w:t>
            </w:r>
          </w:p>
        </w:tc>
      </w:tr>
      <w:tr w:rsidR="00445994" w:rsidRPr="00445994" w14:paraId="3F62063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CE2654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MM DENTAL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453D6B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TEA ELEKTRONIK D.O.O.</w:t>
            </w:r>
          </w:p>
        </w:tc>
      </w:tr>
      <w:tr w:rsidR="00445994" w:rsidRPr="00445994" w14:paraId="1E16BB2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E95925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MMP - AUTOMATSKA VRATA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B1B36E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TEČIĆ D.O.O.</w:t>
            </w:r>
          </w:p>
        </w:tc>
      </w:tr>
      <w:tr w:rsidR="00445994" w:rsidRPr="00445994" w14:paraId="2368A7E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91587B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MODRO MORE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A04C0E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TEDING D.O.O.</w:t>
            </w:r>
          </w:p>
        </w:tc>
      </w:tr>
      <w:tr w:rsidR="00445994" w:rsidRPr="00445994" w14:paraId="799DC6F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FDD78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MODULOR MODELI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5423FF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TEHNO JAZBEC D.O.O.</w:t>
            </w:r>
          </w:p>
        </w:tc>
      </w:tr>
      <w:tr w:rsidR="00445994" w:rsidRPr="00445994" w14:paraId="7A3022B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4E6F95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BF752C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TEHNOSTROJ D.O.O.</w:t>
            </w:r>
          </w:p>
        </w:tc>
      </w:tr>
      <w:tr w:rsidR="00445994" w:rsidRPr="00445994" w14:paraId="6EF37D1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3AFBE3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MOLES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82001D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TEHNOVITAL D.O.O.</w:t>
            </w:r>
          </w:p>
        </w:tc>
      </w:tr>
      <w:tr w:rsidR="00445994" w:rsidRPr="00445994" w14:paraId="686B8C8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E13532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MONTAL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669804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TEMPUS FUGIT D.O.O.</w:t>
            </w:r>
          </w:p>
        </w:tc>
      </w:tr>
      <w:tr w:rsidR="00445994" w:rsidRPr="00445994" w14:paraId="2C6A327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FAAAE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MORSKA LASTAVICA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B7B18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TEP EX D.O.O.</w:t>
            </w:r>
          </w:p>
        </w:tc>
      </w:tr>
      <w:tr w:rsidR="00445994" w:rsidRPr="00445994" w14:paraId="244F51D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11DEE2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MORSKA MUZIKA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4455EB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TERIN D.O.O.</w:t>
            </w:r>
          </w:p>
        </w:tc>
      </w:tr>
      <w:tr w:rsidR="00445994" w:rsidRPr="00445994" w14:paraId="778E91A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0340C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MORSKI VJETAR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D806E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TERMOTISAK D.O.O.</w:t>
            </w:r>
          </w:p>
        </w:tc>
      </w:tr>
      <w:tr w:rsidR="00445994" w:rsidRPr="00445994" w14:paraId="1AC7067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375BE0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MOTIO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7080C2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TERRA REX D.O.O.</w:t>
            </w:r>
          </w:p>
        </w:tc>
      </w:tr>
      <w:tr w:rsidR="00445994" w:rsidRPr="00445994" w14:paraId="358C6D2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04EE17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MUHEK MARINE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D2C3F7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TILIAEXPORT D.O.O.</w:t>
            </w:r>
          </w:p>
        </w:tc>
      </w:tr>
      <w:tr w:rsidR="00445994" w:rsidRPr="00445994" w14:paraId="547F36D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744940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MUNERO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CF0FF4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TIMOTEHNA D.O.O.</w:t>
            </w:r>
          </w:p>
        </w:tc>
      </w:tr>
      <w:tr w:rsidR="00445994" w:rsidRPr="00445994" w14:paraId="597FAFA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F67B85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NACIONALŠPED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9179A1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TIN USLUGE D.O.O.</w:t>
            </w:r>
          </w:p>
        </w:tc>
      </w:tr>
      <w:tr w:rsidR="00445994" w:rsidRPr="00445994" w14:paraId="1AC8D59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81D20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NAMJEŠTAJ MILIŠA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9638A9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TINČA D.O.O.</w:t>
            </w:r>
          </w:p>
        </w:tc>
      </w:tr>
      <w:tr w:rsidR="00445994" w:rsidRPr="00445994" w14:paraId="5C7B24F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5B5E82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NAŠE KLASJE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E98F1A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TIP ŠPED D.O.O.</w:t>
            </w:r>
          </w:p>
        </w:tc>
      </w:tr>
      <w:tr w:rsidR="00445994" w:rsidRPr="00445994" w14:paraId="73BAAAE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B46631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NATRON PRODUKT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6541BC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TISKARA JAKOVČIĆ D.O.O.</w:t>
            </w:r>
          </w:p>
        </w:tc>
      </w:tr>
      <w:tr w:rsidR="00445994" w:rsidRPr="00445994" w14:paraId="163A14A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B3C868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NATURA PETENA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C013AD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TISKOL D.O.O.</w:t>
            </w:r>
          </w:p>
        </w:tc>
      </w:tr>
      <w:tr w:rsidR="00445994" w:rsidRPr="00445994" w14:paraId="4B75911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D3640E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NAUTIC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563A9C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TIŠINA D.O.O.</w:t>
            </w:r>
          </w:p>
        </w:tc>
      </w:tr>
      <w:tr w:rsidR="00445994" w:rsidRPr="00445994" w14:paraId="7D063BA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4CBA2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NAVIGARE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28D97D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TO-MA D.O.O.</w:t>
            </w:r>
          </w:p>
        </w:tc>
      </w:tr>
      <w:tr w:rsidR="00445994" w:rsidRPr="00445994" w14:paraId="5895ACA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32BC3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NAVIGARE NECESSE EST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0FA979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TOLERANTIA D.O.O.</w:t>
            </w:r>
          </w:p>
        </w:tc>
      </w:tr>
      <w:tr w:rsidR="00445994" w:rsidRPr="00445994" w14:paraId="5B89988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10D832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NEDA SENJ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E6DF6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TOLTRANS D.O.O.</w:t>
            </w:r>
          </w:p>
        </w:tc>
      </w:tr>
      <w:tr w:rsidR="00445994" w:rsidRPr="00445994" w14:paraId="3BC70A2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8AD4E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NEGOTIUM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BA4C93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TONUS D.O.O.</w:t>
            </w:r>
          </w:p>
        </w:tc>
      </w:tr>
      <w:tr w:rsidR="00445994" w:rsidRPr="00445994" w14:paraId="35DB545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DDC90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NEMO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18FD49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TOPLANE D.O.O.</w:t>
            </w:r>
          </w:p>
        </w:tc>
      </w:tr>
      <w:tr w:rsidR="00445994" w:rsidRPr="00445994" w14:paraId="3847964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A402D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NEOPROM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B207C2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TORNADO D.O.O.</w:t>
            </w:r>
          </w:p>
        </w:tc>
      </w:tr>
      <w:tr w:rsidR="00445994" w:rsidRPr="00445994" w14:paraId="5BAD762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D5DA8F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NEVERIN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D26FC6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TOS D.O.O.</w:t>
            </w:r>
          </w:p>
        </w:tc>
      </w:tr>
      <w:tr w:rsidR="00445994" w:rsidRPr="00445994" w14:paraId="4FD7385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89B5AE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NICRO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AFB902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TOTEM D.O.O.</w:t>
            </w:r>
          </w:p>
        </w:tc>
      </w:tr>
      <w:tr w:rsidR="00445994" w:rsidRPr="00445994" w14:paraId="2192E76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E9A00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NIKA-NAUTIKA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51DC17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TRADE AIR D.O.O.</w:t>
            </w:r>
          </w:p>
        </w:tc>
      </w:tr>
      <w:tr w:rsidR="00445994" w:rsidRPr="00445994" w14:paraId="2E881D1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BC3AAE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NIMBUS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C80A6B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TRADETOUR D.O.O.</w:t>
            </w:r>
          </w:p>
        </w:tc>
      </w:tr>
      <w:tr w:rsidR="00445994" w:rsidRPr="00445994" w14:paraId="0B07BE9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D18D3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NINI TOURS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023733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TRANSADRIA D.O.O.</w:t>
            </w:r>
          </w:p>
        </w:tc>
      </w:tr>
      <w:tr w:rsidR="00445994" w:rsidRPr="00445994" w14:paraId="284FEE8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327E79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NIVES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CEBACC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TREND PROMET D.O.O.</w:t>
            </w:r>
          </w:p>
        </w:tc>
      </w:tr>
      <w:tr w:rsidR="00445994" w:rsidRPr="00445994" w14:paraId="5F6E7C1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D7DF5A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NORTH SAILS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444D36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TRESKAVAC D.O.O.</w:t>
            </w:r>
          </w:p>
        </w:tc>
      </w:tr>
      <w:tr w:rsidR="00445994" w:rsidRPr="00445994" w14:paraId="0563E29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C9C6E1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NOVA-ŠPED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838C82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TRI VRILA D.O.O.</w:t>
            </w:r>
          </w:p>
        </w:tc>
      </w:tr>
      <w:tr w:rsidR="00445994" w:rsidRPr="00445994" w14:paraId="5384AF4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3F904A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NOVI SPORT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333C11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TTO THERMOTECHNIK D.O.O.</w:t>
            </w:r>
          </w:p>
        </w:tc>
      </w:tr>
      <w:tr w:rsidR="00445994" w:rsidRPr="00445994" w14:paraId="3F76CC0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445420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OCULUS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002334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TULJAN D.O.O.</w:t>
            </w:r>
          </w:p>
        </w:tc>
      </w:tr>
      <w:tr w:rsidR="00445994" w:rsidRPr="00445994" w14:paraId="78DD8E5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B7D946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OČNA OPTIKA LEGROS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BB279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TURČINOV D.O.O.</w:t>
            </w:r>
          </w:p>
        </w:tc>
      </w:tr>
      <w:tr w:rsidR="00445994" w:rsidRPr="00445994" w14:paraId="20F8771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6A9EDD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ODRŽAVANJE SUČIĆ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016AD0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TURK D.O.O.</w:t>
            </w:r>
          </w:p>
        </w:tc>
      </w:tr>
      <w:tr w:rsidR="00445994" w:rsidRPr="00445994" w14:paraId="37A934D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6FD011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OIKOS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31F025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TURKALJ TRADE D.O.O.</w:t>
            </w:r>
          </w:p>
        </w:tc>
      </w:tr>
      <w:tr w:rsidR="00445994" w:rsidRPr="00445994" w14:paraId="104F03D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15D249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OKULAR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D52E6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TYPOS D.O.O.</w:t>
            </w:r>
          </w:p>
        </w:tc>
      </w:tr>
      <w:tr w:rsidR="00445994" w:rsidRPr="00445994" w14:paraId="65AE80F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253278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OLEA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B20000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TYRUS D.O.O.</w:t>
            </w:r>
          </w:p>
        </w:tc>
      </w:tr>
      <w:tr w:rsidR="00445994" w:rsidRPr="00445994" w14:paraId="3D4F9DD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296247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OLIVARI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5021E4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UGO TOURS D.O.O.</w:t>
            </w:r>
          </w:p>
        </w:tc>
      </w:tr>
      <w:tr w:rsidR="00445994" w:rsidRPr="00445994" w14:paraId="0A20A67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26664F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OPTIK LINE MEKOVEC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D3B61B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UGOCER D.O.O.</w:t>
            </w:r>
          </w:p>
        </w:tc>
      </w:tr>
      <w:tr w:rsidR="00445994" w:rsidRPr="00445994" w14:paraId="0ECCCB4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19ED5C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ORIOBETON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57D30F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UGOSTITELJSKO PODUZEĆE ZAGORAC D.O.O.</w:t>
            </w:r>
          </w:p>
        </w:tc>
      </w:tr>
      <w:tr w:rsidR="00445994" w:rsidRPr="00445994" w14:paraId="225083B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1A012B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ORLOV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4FA530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UGOSTITELJSTVO LEPTIR D.O.O.</w:t>
            </w:r>
          </w:p>
        </w:tc>
      </w:tr>
      <w:tr w:rsidR="00445994" w:rsidRPr="00445994" w14:paraId="03AABEB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5D90E1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ORLOVIK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2FD8A2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UGOSTITELJSTVO ZBILJSKI D.O.O.</w:t>
            </w:r>
          </w:p>
        </w:tc>
      </w:tr>
      <w:tr w:rsidR="00445994" w:rsidRPr="00445994" w14:paraId="33B1949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8620D6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ORNATUS KERAMIKA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4A9DDD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UNI COLOR D.O.O.</w:t>
            </w:r>
          </w:p>
        </w:tc>
      </w:tr>
      <w:tr w:rsidR="00445994" w:rsidRPr="00445994" w14:paraId="493FECF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E9E6A4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OTPREMNIŠTVO MK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E60F9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UNIVEL D.O.O.</w:t>
            </w:r>
          </w:p>
        </w:tc>
      </w:tr>
      <w:tr w:rsidR="00445994" w:rsidRPr="00445994" w14:paraId="735ED35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473DB1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PALMA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BA8BCC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UP JADRAN D.D.</w:t>
            </w:r>
          </w:p>
        </w:tc>
      </w:tr>
      <w:tr w:rsidR="00445994" w:rsidRPr="00445994" w14:paraId="118DB09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7DEA18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PALMA I PALMA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2E7615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UTE D.O.O.</w:t>
            </w:r>
          </w:p>
        </w:tc>
      </w:tr>
      <w:tr w:rsidR="00445994" w:rsidRPr="00445994" w14:paraId="11332F1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3BBE82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PANSION LUCIJA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C6A19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UVALA BAČVICE D.O.O.</w:t>
            </w:r>
          </w:p>
        </w:tc>
      </w:tr>
      <w:tr w:rsidR="00445994" w:rsidRPr="00445994" w14:paraId="40462CD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3A29FD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PAR-MAR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0DB833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UZDANICA D.O.O.</w:t>
            </w:r>
          </w:p>
        </w:tc>
      </w:tr>
      <w:tr w:rsidR="00445994" w:rsidRPr="00445994" w14:paraId="229AAAC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F3366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PAR-MAR PROMET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1ED95D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VACOM D.O.O.</w:t>
            </w:r>
          </w:p>
        </w:tc>
      </w:tr>
      <w:tr w:rsidR="00445994" w:rsidRPr="00445994" w14:paraId="6A1C3E8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29590C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PARAGRAFIX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EE09E0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VADUM D.O.O.</w:t>
            </w:r>
          </w:p>
        </w:tc>
      </w:tr>
      <w:tr w:rsidR="00445994" w:rsidRPr="00445994" w14:paraId="6C9CD8D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8987B4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PARK ORSULA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CBEBE7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VAEGE-DALMATINSKI SAN D.O.O.</w:t>
            </w:r>
          </w:p>
        </w:tc>
      </w:tr>
      <w:tr w:rsidR="00445994" w:rsidRPr="00445994" w14:paraId="6373F0E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838214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PARO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C62556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VAGARI D.O.O.</w:t>
            </w:r>
          </w:p>
        </w:tc>
      </w:tr>
      <w:tr w:rsidR="00445994" w:rsidRPr="00445994" w14:paraId="30A5FC5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1ED40F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PARVUS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5E1C09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VALIDUS D.O.O.</w:t>
            </w:r>
          </w:p>
        </w:tc>
      </w:tr>
      <w:tr w:rsidR="00445994" w:rsidRPr="00445994" w14:paraId="27F8C87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ACEFBE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PATRONUS PRIMUS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A3E79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VANAL USLUGE D.O.O.</w:t>
            </w:r>
          </w:p>
        </w:tc>
      </w:tr>
      <w:tr w:rsidR="00445994" w:rsidRPr="00445994" w14:paraId="5215335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E2EC4E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PEČAT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343FB8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VARGON D.O.O.</w:t>
            </w:r>
          </w:p>
        </w:tc>
      </w:tr>
      <w:tr w:rsidR="00445994" w:rsidRPr="00445994" w14:paraId="4004E23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25EC35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PEKARA KLAS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879497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VATRA D.O.O.</w:t>
            </w:r>
          </w:p>
        </w:tc>
      </w:tr>
      <w:tr w:rsidR="00445994" w:rsidRPr="00445994" w14:paraId="128E672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666BBA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PEKARNA SAVICA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E3A02E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VEA D.O.O.</w:t>
            </w:r>
          </w:p>
        </w:tc>
      </w:tr>
      <w:tr w:rsidR="00445994" w:rsidRPr="00445994" w14:paraId="1445251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C1934F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PELCOM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E10C43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VEDRAN TRANS D.O.O.</w:t>
            </w:r>
          </w:p>
        </w:tc>
      </w:tr>
      <w:tr w:rsidR="00445994" w:rsidRPr="00445994" w14:paraId="3797BC9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BAD91F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PERKONJA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CC6898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VELUM DEKORI D.O.O.</w:t>
            </w:r>
          </w:p>
        </w:tc>
      </w:tr>
      <w:tr w:rsidR="00445994" w:rsidRPr="00445994" w14:paraId="6FAA129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32BBD6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PERL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00F227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VENDI D.O.O.</w:t>
            </w:r>
          </w:p>
        </w:tc>
      </w:tr>
      <w:tr w:rsidR="00445994" w:rsidRPr="00445994" w14:paraId="504A2293"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A97D8C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PERLA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E647E3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VENDO PRODUKT D.O.O.</w:t>
            </w:r>
          </w:p>
        </w:tc>
      </w:tr>
      <w:tr w:rsidR="00445994" w:rsidRPr="00445994" w14:paraId="5F12B5F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71D362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PERLIS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6B313F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VENDOR COMPUTERS D.O.O.</w:t>
            </w:r>
          </w:p>
        </w:tc>
      </w:tr>
      <w:tr w:rsidR="00445994" w:rsidRPr="00445994" w14:paraId="71E78FD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BDC86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PETRIC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60E693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VENEFICA D.O.O.</w:t>
            </w:r>
          </w:p>
        </w:tc>
      </w:tr>
      <w:tr w:rsidR="00445994" w:rsidRPr="00445994" w14:paraId="769C5C1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B8606A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PETRIX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FBAA6C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VEPRES D.O.O.</w:t>
            </w:r>
          </w:p>
        </w:tc>
      </w:tr>
      <w:tr w:rsidR="00445994" w:rsidRPr="00445994" w14:paraId="6100D28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7866CC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PFEIFER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B07B03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VEUS D.O.O.</w:t>
            </w:r>
          </w:p>
        </w:tc>
      </w:tr>
      <w:tr w:rsidR="00445994" w:rsidRPr="00445994" w14:paraId="64BAE75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798572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PICCOLA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A539D0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VIAL PROFIL D.O.O.</w:t>
            </w:r>
          </w:p>
        </w:tc>
      </w:tr>
      <w:tr w:rsidR="00445994" w:rsidRPr="00445994" w14:paraId="20236E0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1499C0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PILANA KRASNO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FF334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VIAS D.O.O.</w:t>
            </w:r>
          </w:p>
        </w:tc>
      </w:tr>
      <w:tr w:rsidR="00445994" w:rsidRPr="00445994" w14:paraId="643E38B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A415B3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PILANA PUKANIĆ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855F25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VICTUS D.O.O.</w:t>
            </w:r>
          </w:p>
        </w:tc>
      </w:tr>
      <w:tr w:rsidR="00445994" w:rsidRPr="00445994" w14:paraId="76246C5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21280C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PINIZEL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AE3F46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VILA MICIKA D.O.O.</w:t>
            </w:r>
          </w:p>
        </w:tc>
      </w:tr>
      <w:tr w:rsidR="00445994" w:rsidRPr="00445994" w14:paraId="353B859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E5CF34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PINO REBULLA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EEF166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VILA VINO D.O.O.</w:t>
            </w:r>
          </w:p>
        </w:tc>
      </w:tr>
      <w:tr w:rsidR="00445994" w:rsidRPr="00445994" w14:paraId="29B2427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781152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PIPIĆ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E143E9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VIMAT D.O.O.</w:t>
            </w:r>
          </w:p>
        </w:tc>
      </w:tr>
      <w:tr w:rsidR="00445994" w:rsidRPr="00445994" w14:paraId="71A3611A"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AD4CC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PIXEL STUDIO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167AEA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VIN-INFO D.O.O.</w:t>
            </w:r>
          </w:p>
        </w:tc>
      </w:tr>
      <w:tr w:rsidR="00445994" w:rsidRPr="00445994" w14:paraId="346DA11D"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3D1240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PLAGA INFERUS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95EC9B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VINA JAKOB D.O.O.</w:t>
            </w:r>
          </w:p>
        </w:tc>
      </w:tr>
      <w:tr w:rsidR="00445994" w:rsidRPr="00445994" w14:paraId="6C107C8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CCAA6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PLASTINVEST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55DD7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VIPLAST D.O.O.</w:t>
            </w:r>
          </w:p>
        </w:tc>
      </w:tr>
      <w:tr w:rsidR="00445994" w:rsidRPr="00445994" w14:paraId="17B9D44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85CFE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PLAVI DOM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B84FBB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VIS VITALIS D.O.O.</w:t>
            </w:r>
          </w:p>
        </w:tc>
      </w:tr>
      <w:tr w:rsidR="00445994" w:rsidRPr="00445994" w14:paraId="0DBB871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F10989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PLAVO JEDRO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ABB47B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VITAL D.O.O.</w:t>
            </w:r>
          </w:p>
        </w:tc>
      </w:tr>
      <w:tr w:rsidR="00445994" w:rsidRPr="00445994" w14:paraId="1F8F210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E3AFD2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PLETIX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80EEC6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VIVODA D.O.O.</w:t>
            </w:r>
          </w:p>
        </w:tc>
      </w:tr>
      <w:tr w:rsidR="00445994" w:rsidRPr="00445994" w14:paraId="277C9C4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0F2D09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PLOČE ŠPED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E3878B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VIZUAL MEDIA D.O.O.</w:t>
            </w:r>
          </w:p>
        </w:tc>
      </w:tr>
      <w:tr w:rsidR="00445994" w:rsidRPr="00445994" w14:paraId="1F8CD53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283999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POLAČA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DA9361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VLAKAL-PROM D.O.O.</w:t>
            </w:r>
          </w:p>
        </w:tc>
      </w:tr>
      <w:tr w:rsidR="00445994" w:rsidRPr="00445994" w14:paraId="4EA325E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DC760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POLI-FER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CA986B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VOCAL D.O.O.</w:t>
            </w:r>
          </w:p>
        </w:tc>
      </w:tr>
      <w:tr w:rsidR="00445994" w:rsidRPr="00445994" w14:paraId="2772AC1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3F0F01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POMA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D36B96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VOIA D.O.O.</w:t>
            </w:r>
          </w:p>
        </w:tc>
      </w:tr>
      <w:tr w:rsidR="00445994" w:rsidRPr="00445994" w14:paraId="5B4D7A2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540866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POMAK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771296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VOLOS D.O.O.</w:t>
            </w:r>
          </w:p>
        </w:tc>
      </w:tr>
      <w:tr w:rsidR="00445994" w:rsidRPr="00445994" w14:paraId="729C8B7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653228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PORAT ILOVIK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E61378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VOLUMEN METAL D.O.O.</w:t>
            </w:r>
          </w:p>
        </w:tc>
      </w:tr>
      <w:tr w:rsidR="00445994" w:rsidRPr="00445994" w14:paraId="6D7B995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A9E2D8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POSAVSKI HRAST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144F51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VRBIK PROMET D.O.O.</w:t>
            </w:r>
          </w:p>
        </w:tc>
      </w:tr>
      <w:tr w:rsidR="00445994" w:rsidRPr="00445994" w14:paraId="5CFEDB5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9B5C57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PRAETORIAN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D64543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VRST D.O.O.</w:t>
            </w:r>
          </w:p>
        </w:tc>
      </w:tr>
      <w:tr w:rsidR="00445994" w:rsidRPr="00445994" w14:paraId="062C7DC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831053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PREDIONICA KLANJEC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BA14DA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VUKOIĆ PRIJEVOZ D.O.O.</w:t>
            </w:r>
          </w:p>
        </w:tc>
      </w:tr>
      <w:tr w:rsidR="00445994" w:rsidRPr="00445994" w14:paraId="18419308"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3E2C03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PREMIJA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CF403C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VUPAK D.O.O.</w:t>
            </w:r>
          </w:p>
        </w:tc>
      </w:tr>
      <w:tr w:rsidR="00445994" w:rsidRPr="00445994" w14:paraId="578D791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6B2540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PRESENTA NOVA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24F4EC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WALTHER D.O.O.</w:t>
            </w:r>
          </w:p>
        </w:tc>
      </w:tr>
      <w:tr w:rsidR="00445994" w:rsidRPr="00445994" w14:paraId="476AD36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96B308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PRESTOGRAF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032C98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WINAIR D.O.O.</w:t>
            </w:r>
          </w:p>
        </w:tc>
      </w:tr>
      <w:tr w:rsidR="00445994" w:rsidRPr="00445994" w14:paraId="72D6031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683D048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PRIJEVOZ BLAŽEKA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7E4E29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YTRES D.O.O.</w:t>
            </w:r>
          </w:p>
        </w:tc>
      </w:tr>
      <w:tr w:rsidR="00445994" w:rsidRPr="00445994" w14:paraId="51568D9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74063D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PRIMA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C42FFA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ZADOL GRUPA D.O.O.</w:t>
            </w:r>
          </w:p>
        </w:tc>
      </w:tr>
      <w:tr w:rsidR="00445994" w:rsidRPr="00445994" w14:paraId="3CFFA884"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083F27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PRIMABIRO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0F89F2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ZADRUGA BEDOVEC</w:t>
            </w:r>
          </w:p>
        </w:tc>
      </w:tr>
      <w:tr w:rsidR="00445994" w:rsidRPr="00445994" w14:paraId="22B01E1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6F0981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PRIZMA DUBROVNIK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70840F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ZAPRUĐE D.O.O.</w:t>
            </w:r>
          </w:p>
        </w:tc>
      </w:tr>
      <w:tr w:rsidR="00445994" w:rsidRPr="00445994" w14:paraId="2B8E8C0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97E34B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 AUTOMATIKA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9B90F5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ZEDRA D.O.O.</w:t>
            </w:r>
          </w:p>
        </w:tc>
      </w:tr>
      <w:tr w:rsidR="00445994" w:rsidRPr="00445994" w14:paraId="3197FCC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69E689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 LIBITO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620563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ZELENI TRAG D.O.O.</w:t>
            </w:r>
          </w:p>
        </w:tc>
      </w:tr>
      <w:tr w:rsidR="00445994" w:rsidRPr="00445994" w14:paraId="1724C7D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ECA449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 PLUS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20B692A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ZENON D.O.O.</w:t>
            </w:r>
          </w:p>
        </w:tc>
      </w:tr>
      <w:tr w:rsidR="00445994" w:rsidRPr="00445994" w14:paraId="0B3C526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9126AC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PRO-TEHNA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297239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ZIMA SVJETLOSNE DEKORACIJE D.O.O.</w:t>
            </w:r>
          </w:p>
        </w:tc>
      </w:tr>
      <w:tr w:rsidR="00445994" w:rsidRPr="00445994" w14:paraId="4692A7D5"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4324CB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lastRenderedPageBreak/>
              <w:t>PROIZVODI I GUŠTI OTOKA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38B6597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ZIMAN D.O.O.</w:t>
            </w:r>
          </w:p>
        </w:tc>
      </w:tr>
      <w:tr w:rsidR="00445994" w:rsidRPr="00445994" w14:paraId="691AB659"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33D776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PROMATIC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81AD99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ZIS AGAVA D.O.O.</w:t>
            </w:r>
          </w:p>
        </w:tc>
      </w:tr>
      <w:tr w:rsidR="00445994" w:rsidRPr="00445994" w14:paraId="5E800C4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0D2572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PROMEGA 2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066B02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ZLATARNA POPEK D.O.O.</w:t>
            </w:r>
          </w:p>
        </w:tc>
      </w:tr>
      <w:tr w:rsidR="00445994" w:rsidRPr="00445994" w14:paraId="0F4E009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164BACA"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PROTEUS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05EC8E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ZLATNI KLAS D.O.O.</w:t>
            </w:r>
          </w:p>
        </w:tc>
      </w:tr>
      <w:tr w:rsidR="00445994" w:rsidRPr="00445994" w14:paraId="1467160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E795CF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PROZORINA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50EFA3A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ZOLI D.O.O.</w:t>
            </w:r>
          </w:p>
        </w:tc>
      </w:tr>
      <w:tr w:rsidR="00445994" w:rsidRPr="00445994" w14:paraId="3A5381F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51C5509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PUNTA NOBIS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9B11A8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ZORA POREČ D.O.O.</w:t>
            </w:r>
          </w:p>
        </w:tc>
      </w:tr>
      <w:tr w:rsidR="00445994" w:rsidRPr="00445994" w14:paraId="25C8C0A2"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0ACA64F"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PUNTAR-PROMET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A75018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ZORING D.O.O.</w:t>
            </w:r>
          </w:p>
        </w:tc>
      </w:tr>
      <w:tr w:rsidR="00445994" w:rsidRPr="00445994" w14:paraId="2BA34A20"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2192D4DB"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RADOVIĆ TURIST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8FC8C69"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ZRINJAN D.O.O.</w:t>
            </w:r>
          </w:p>
        </w:tc>
      </w:tr>
      <w:tr w:rsidR="00445994" w:rsidRPr="00445994" w14:paraId="4988A9A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25F6705"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RAK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110009E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ZRINJEVACŠPED D.O.O.</w:t>
            </w:r>
          </w:p>
        </w:tc>
      </w:tr>
      <w:tr w:rsidR="00445994" w:rsidRPr="00445994" w14:paraId="7C3297AE"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AE13121"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RAL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C26811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ZUBOTEKA D.O.O.</w:t>
            </w:r>
          </w:p>
        </w:tc>
      </w:tr>
      <w:tr w:rsidR="00445994" w:rsidRPr="00445994" w14:paraId="02A9AFCF"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BF1EFFD"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RAMADANI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4B908777"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ŽABČIĆ-JASKA D.O.O.</w:t>
            </w:r>
          </w:p>
        </w:tc>
      </w:tr>
      <w:tr w:rsidR="00445994" w:rsidRPr="00445994" w14:paraId="6DDB192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42CA47E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RANEL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53643F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ŽARKOVO D.O.O.</w:t>
            </w:r>
          </w:p>
        </w:tc>
      </w:tr>
      <w:tr w:rsidR="00445994" w:rsidRPr="00445994" w14:paraId="6F5B0CF6"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961AC24"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RAPIDUS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3159E00"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ŽITAK D.O.O.</w:t>
            </w:r>
          </w:p>
        </w:tc>
      </w:tr>
      <w:tr w:rsidR="00445994" w:rsidRPr="00445994" w14:paraId="4314316B"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130D2498"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RECORD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A41A2E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ŽITO D.O.O.</w:t>
            </w:r>
          </w:p>
        </w:tc>
      </w:tr>
      <w:tr w:rsidR="00445994" w:rsidRPr="00445994" w14:paraId="2D2691CC"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78B8AF1C"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REGIS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6022ABD2"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ŽITOPROIZVOD D.D.</w:t>
            </w:r>
          </w:p>
        </w:tc>
      </w:tr>
      <w:tr w:rsidR="00445994" w:rsidRPr="00445994" w14:paraId="287AD1A7"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3BB4184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RELAXO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0714151E"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ŽUTIKA D.O.O.</w:t>
            </w:r>
          </w:p>
        </w:tc>
      </w:tr>
      <w:tr w:rsidR="00445994" w:rsidRPr="00445994" w14:paraId="01FB27D1" w14:textId="77777777" w:rsidTr="00445994">
        <w:trPr>
          <w:trHeight w:val="288"/>
          <w:jc w:val="center"/>
        </w:trPr>
        <w:tc>
          <w:tcPr>
            <w:tcW w:w="4160" w:type="dxa"/>
            <w:tcBorders>
              <w:top w:val="nil"/>
              <w:left w:val="single" w:sz="4" w:space="0" w:color="FFFFFF"/>
              <w:bottom w:val="single" w:sz="4" w:space="0" w:color="FFFFFF"/>
              <w:right w:val="single" w:sz="4" w:space="0" w:color="FFFFFF"/>
            </w:tcBorders>
            <w:shd w:val="clear" w:color="000000" w:fill="D9D9D9"/>
            <w:noWrap/>
            <w:vAlign w:val="bottom"/>
            <w:hideMark/>
          </w:tcPr>
          <w:p w14:paraId="0AC9BE86"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REMES D.O.O.</w:t>
            </w:r>
          </w:p>
        </w:tc>
        <w:tc>
          <w:tcPr>
            <w:tcW w:w="4240" w:type="dxa"/>
            <w:tcBorders>
              <w:top w:val="nil"/>
              <w:left w:val="nil"/>
              <w:bottom w:val="single" w:sz="4" w:space="0" w:color="FFFFFF"/>
              <w:right w:val="single" w:sz="4" w:space="0" w:color="FFFFFF"/>
            </w:tcBorders>
            <w:shd w:val="clear" w:color="000000" w:fill="D9D9D9"/>
            <w:noWrap/>
            <w:vAlign w:val="bottom"/>
            <w:hideMark/>
          </w:tcPr>
          <w:p w14:paraId="789EDFC3" w14:textId="77777777" w:rsidR="00445994" w:rsidRPr="00445994" w:rsidRDefault="00445994" w:rsidP="00445994">
            <w:pPr>
              <w:spacing w:line="360" w:lineRule="auto"/>
              <w:rPr>
                <w:rFonts w:eastAsia="Times New Roman"/>
                <w:color w:val="000000"/>
                <w:lang w:val="hr-HR" w:eastAsia="hr-HR"/>
              </w:rPr>
            </w:pPr>
            <w:r w:rsidRPr="00445994">
              <w:rPr>
                <w:rFonts w:eastAsia="Times New Roman"/>
                <w:color w:val="000000"/>
                <w:lang w:val="hr-HR" w:eastAsia="hr-HR"/>
              </w:rPr>
              <w:t>ŽVAK-ŽVAK D.O.O.</w:t>
            </w:r>
          </w:p>
        </w:tc>
      </w:tr>
    </w:tbl>
    <w:p w14:paraId="58E743F8" w14:textId="77777777" w:rsidR="00B92FBB" w:rsidRDefault="00B92FBB">
      <w:pPr>
        <w:spacing w:line="360" w:lineRule="auto"/>
        <w:rPr>
          <w:b/>
        </w:rPr>
      </w:pPr>
    </w:p>
    <w:p w14:paraId="3B276C51" w14:textId="77777777" w:rsidR="00B92FBB" w:rsidRDefault="00B92FBB">
      <w:pPr>
        <w:spacing w:before="240" w:after="120" w:line="360" w:lineRule="auto"/>
        <w:jc w:val="center"/>
        <w:rPr>
          <w:sz w:val="28"/>
          <w:szCs w:val="28"/>
        </w:rPr>
      </w:pPr>
    </w:p>
    <w:sectPr w:rsidR="00B92FBB" w:rsidSect="00D50996">
      <w:headerReference w:type="default" r:id="rId33"/>
      <w:footerReference w:type="default" r:id="rId3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EF2E" w14:textId="77777777" w:rsidR="00B01671" w:rsidRDefault="00B01671">
      <w:pPr>
        <w:spacing w:line="240" w:lineRule="auto"/>
      </w:pPr>
      <w:r>
        <w:separator/>
      </w:r>
    </w:p>
  </w:endnote>
  <w:endnote w:type="continuationSeparator" w:id="0">
    <w:p w14:paraId="55525644" w14:textId="77777777" w:rsidR="00B01671" w:rsidRDefault="00B01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DD80" w14:textId="503AC7CF" w:rsidR="00D50996" w:rsidRDefault="00D50996">
    <w:pPr>
      <w:pStyle w:val="Podnoje"/>
      <w:jc w:val="right"/>
    </w:pPr>
  </w:p>
  <w:p w14:paraId="7757930F" w14:textId="77777777" w:rsidR="00F65449" w:rsidRDefault="00F6544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133237"/>
      <w:docPartObj>
        <w:docPartGallery w:val="Page Numbers (Bottom of Page)"/>
        <w:docPartUnique/>
      </w:docPartObj>
    </w:sdtPr>
    <w:sdtContent>
      <w:p w14:paraId="69F261A9" w14:textId="5922E25B" w:rsidR="00D50996" w:rsidRDefault="00D50996">
        <w:pPr>
          <w:pStyle w:val="Podnoje"/>
          <w:jc w:val="right"/>
        </w:pPr>
        <w:r>
          <w:fldChar w:fldCharType="begin"/>
        </w:r>
        <w:r>
          <w:instrText>PAGE   \* MERGEFORMAT</w:instrText>
        </w:r>
        <w:r>
          <w:fldChar w:fldCharType="separate"/>
        </w:r>
        <w:r>
          <w:rPr>
            <w:lang w:val="hr-HR"/>
          </w:rPr>
          <w:t>2</w:t>
        </w:r>
        <w:r>
          <w:fldChar w:fldCharType="end"/>
        </w:r>
      </w:p>
    </w:sdtContent>
  </w:sdt>
  <w:p w14:paraId="794FDD53" w14:textId="77777777" w:rsidR="00D50996" w:rsidRDefault="00D509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B673" w14:textId="77777777" w:rsidR="00B01671" w:rsidRDefault="00B01671">
      <w:pPr>
        <w:spacing w:line="240" w:lineRule="auto"/>
      </w:pPr>
      <w:r>
        <w:separator/>
      </w:r>
    </w:p>
  </w:footnote>
  <w:footnote w:type="continuationSeparator" w:id="0">
    <w:p w14:paraId="44A96C8E" w14:textId="77777777" w:rsidR="00B01671" w:rsidRDefault="00B01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8A1A" w14:textId="77777777" w:rsidR="001233CD" w:rsidRDefault="001233C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1D0"/>
    <w:multiLevelType w:val="multilevel"/>
    <w:tmpl w:val="DB060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1632E3"/>
    <w:multiLevelType w:val="multilevel"/>
    <w:tmpl w:val="DB060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8B4CA9"/>
    <w:multiLevelType w:val="multilevel"/>
    <w:tmpl w:val="07BAE9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6D5DB6"/>
    <w:multiLevelType w:val="multilevel"/>
    <w:tmpl w:val="CD9C5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3064AC"/>
    <w:multiLevelType w:val="hybridMultilevel"/>
    <w:tmpl w:val="60983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9A1705F"/>
    <w:multiLevelType w:val="multilevel"/>
    <w:tmpl w:val="DB060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AF2F45"/>
    <w:multiLevelType w:val="multilevel"/>
    <w:tmpl w:val="DB060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3317933">
    <w:abstractNumId w:val="1"/>
  </w:num>
  <w:num w:numId="2" w16cid:durableId="468910133">
    <w:abstractNumId w:val="3"/>
  </w:num>
  <w:num w:numId="3" w16cid:durableId="1264342588">
    <w:abstractNumId w:val="5"/>
  </w:num>
  <w:num w:numId="4" w16cid:durableId="1871605783">
    <w:abstractNumId w:val="0"/>
  </w:num>
  <w:num w:numId="5" w16cid:durableId="764764165">
    <w:abstractNumId w:val="6"/>
  </w:num>
  <w:num w:numId="6" w16cid:durableId="15931794">
    <w:abstractNumId w:val="4"/>
  </w:num>
  <w:num w:numId="7" w16cid:durableId="1003170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BB"/>
    <w:rsid w:val="00014F7C"/>
    <w:rsid w:val="00030257"/>
    <w:rsid w:val="00037C94"/>
    <w:rsid w:val="0004573D"/>
    <w:rsid w:val="00061265"/>
    <w:rsid w:val="00063CAD"/>
    <w:rsid w:val="00065B55"/>
    <w:rsid w:val="000B4398"/>
    <w:rsid w:val="000C4F57"/>
    <w:rsid w:val="000E6EC8"/>
    <w:rsid w:val="001233CD"/>
    <w:rsid w:val="00154FB7"/>
    <w:rsid w:val="00160D60"/>
    <w:rsid w:val="001648A1"/>
    <w:rsid w:val="00165EB0"/>
    <w:rsid w:val="001723C7"/>
    <w:rsid w:val="001827E2"/>
    <w:rsid w:val="001865D2"/>
    <w:rsid w:val="00190D2D"/>
    <w:rsid w:val="00193E9F"/>
    <w:rsid w:val="001A1609"/>
    <w:rsid w:val="001A60EE"/>
    <w:rsid w:val="001B00C7"/>
    <w:rsid w:val="001D61A4"/>
    <w:rsid w:val="001E7636"/>
    <w:rsid w:val="0024316E"/>
    <w:rsid w:val="00252627"/>
    <w:rsid w:val="00277079"/>
    <w:rsid w:val="0028448C"/>
    <w:rsid w:val="00287772"/>
    <w:rsid w:val="0029244D"/>
    <w:rsid w:val="002B203E"/>
    <w:rsid w:val="002C3019"/>
    <w:rsid w:val="002F7D8D"/>
    <w:rsid w:val="00312F8B"/>
    <w:rsid w:val="0035047A"/>
    <w:rsid w:val="00353EC0"/>
    <w:rsid w:val="00355CD2"/>
    <w:rsid w:val="00392718"/>
    <w:rsid w:val="003B17F7"/>
    <w:rsid w:val="003C3246"/>
    <w:rsid w:val="003D3D4F"/>
    <w:rsid w:val="003E336B"/>
    <w:rsid w:val="004039AD"/>
    <w:rsid w:val="00411349"/>
    <w:rsid w:val="0043109A"/>
    <w:rsid w:val="0043246A"/>
    <w:rsid w:val="00442548"/>
    <w:rsid w:val="00445994"/>
    <w:rsid w:val="00460619"/>
    <w:rsid w:val="00472C6B"/>
    <w:rsid w:val="004879AA"/>
    <w:rsid w:val="004C74AD"/>
    <w:rsid w:val="00502EB6"/>
    <w:rsid w:val="005D2A4F"/>
    <w:rsid w:val="005F5D01"/>
    <w:rsid w:val="00603FB3"/>
    <w:rsid w:val="00613CD0"/>
    <w:rsid w:val="006350D4"/>
    <w:rsid w:val="00647C67"/>
    <w:rsid w:val="006525E9"/>
    <w:rsid w:val="00671AEE"/>
    <w:rsid w:val="006812AA"/>
    <w:rsid w:val="0068247C"/>
    <w:rsid w:val="00694FC7"/>
    <w:rsid w:val="006B4230"/>
    <w:rsid w:val="006B694C"/>
    <w:rsid w:val="006F38EA"/>
    <w:rsid w:val="007235AB"/>
    <w:rsid w:val="007651C1"/>
    <w:rsid w:val="00795F00"/>
    <w:rsid w:val="007A371C"/>
    <w:rsid w:val="007D01B6"/>
    <w:rsid w:val="007E5ECC"/>
    <w:rsid w:val="008747CA"/>
    <w:rsid w:val="00885DD7"/>
    <w:rsid w:val="008A09CC"/>
    <w:rsid w:val="008A2981"/>
    <w:rsid w:val="008B6836"/>
    <w:rsid w:val="008D173A"/>
    <w:rsid w:val="008D78A4"/>
    <w:rsid w:val="008F7038"/>
    <w:rsid w:val="00914320"/>
    <w:rsid w:val="00941949"/>
    <w:rsid w:val="00975A35"/>
    <w:rsid w:val="009C0AC5"/>
    <w:rsid w:val="009C3EDB"/>
    <w:rsid w:val="009E2F7F"/>
    <w:rsid w:val="00A14449"/>
    <w:rsid w:val="00A27074"/>
    <w:rsid w:val="00A318B5"/>
    <w:rsid w:val="00A530AF"/>
    <w:rsid w:val="00A80B25"/>
    <w:rsid w:val="00AA0CA0"/>
    <w:rsid w:val="00AD7888"/>
    <w:rsid w:val="00AE3543"/>
    <w:rsid w:val="00B01671"/>
    <w:rsid w:val="00B0671A"/>
    <w:rsid w:val="00B136B7"/>
    <w:rsid w:val="00B92FBB"/>
    <w:rsid w:val="00BB4ACD"/>
    <w:rsid w:val="00BC157A"/>
    <w:rsid w:val="00BD1931"/>
    <w:rsid w:val="00C108F2"/>
    <w:rsid w:val="00C15120"/>
    <w:rsid w:val="00C47248"/>
    <w:rsid w:val="00C60235"/>
    <w:rsid w:val="00C66BC8"/>
    <w:rsid w:val="00C6778E"/>
    <w:rsid w:val="00C864E8"/>
    <w:rsid w:val="00C90E01"/>
    <w:rsid w:val="00C92EE5"/>
    <w:rsid w:val="00CB66F1"/>
    <w:rsid w:val="00CC1CF9"/>
    <w:rsid w:val="00CE00B0"/>
    <w:rsid w:val="00D11EF7"/>
    <w:rsid w:val="00D13C7D"/>
    <w:rsid w:val="00D337D3"/>
    <w:rsid w:val="00D50996"/>
    <w:rsid w:val="00D616B7"/>
    <w:rsid w:val="00D6776D"/>
    <w:rsid w:val="00D82DE4"/>
    <w:rsid w:val="00DC74A5"/>
    <w:rsid w:val="00DD2B42"/>
    <w:rsid w:val="00DF44C3"/>
    <w:rsid w:val="00DF5C97"/>
    <w:rsid w:val="00E1245F"/>
    <w:rsid w:val="00E15521"/>
    <w:rsid w:val="00E16415"/>
    <w:rsid w:val="00E173EE"/>
    <w:rsid w:val="00E43354"/>
    <w:rsid w:val="00E44B69"/>
    <w:rsid w:val="00E54314"/>
    <w:rsid w:val="00EB010F"/>
    <w:rsid w:val="00EB19E9"/>
    <w:rsid w:val="00EC4521"/>
    <w:rsid w:val="00ED1E92"/>
    <w:rsid w:val="00ED79F3"/>
    <w:rsid w:val="00EF1412"/>
    <w:rsid w:val="00EF1F3D"/>
    <w:rsid w:val="00EF6BEE"/>
    <w:rsid w:val="00F36C13"/>
    <w:rsid w:val="00F65449"/>
    <w:rsid w:val="00F93671"/>
    <w:rsid w:val="00FA3A4F"/>
    <w:rsid w:val="00FB251C"/>
    <w:rsid w:val="00FC27BD"/>
    <w:rsid w:val="00FD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EAD02"/>
  <w15:docId w15:val="{1C38D60D-FEEB-423D-AE6E-3E51E2F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unhideWhenUsed/>
    <w:qFormat/>
    <w:pPr>
      <w:keepNext/>
      <w:keepLines/>
      <w:spacing w:before="360" w:after="120"/>
      <w:outlineLvl w:val="1"/>
    </w:pPr>
    <w:rPr>
      <w:sz w:val="32"/>
      <w:szCs w:val="32"/>
    </w:rPr>
  </w:style>
  <w:style w:type="paragraph" w:styleId="Naslov3">
    <w:name w:val="heading 3"/>
    <w:basedOn w:val="Normal"/>
    <w:next w:val="Normal"/>
    <w:uiPriority w:val="9"/>
    <w:unhideWhenUsed/>
    <w:qFormat/>
    <w:pPr>
      <w:keepNext/>
      <w:keepLines/>
      <w:spacing w:before="320" w:after="80"/>
      <w:outlineLvl w:val="2"/>
    </w:pPr>
    <w:rPr>
      <w:color w:val="434343"/>
      <w:sz w:val="28"/>
      <w:szCs w:val="28"/>
    </w:rPr>
  </w:style>
  <w:style w:type="paragraph" w:styleId="Naslov4">
    <w:name w:val="heading 4"/>
    <w:basedOn w:val="Normal"/>
    <w:next w:val="Normal"/>
    <w:uiPriority w:val="9"/>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pacing w:after="320"/>
    </w:pPr>
    <w:rPr>
      <w:color w:val="666666"/>
      <w:sz w:val="30"/>
      <w:szCs w:val="30"/>
    </w:rPr>
  </w:style>
  <w:style w:type="character" w:styleId="Referencakomentara">
    <w:name w:val="annotation reference"/>
    <w:basedOn w:val="Zadanifontodlomka"/>
    <w:uiPriority w:val="99"/>
    <w:semiHidden/>
    <w:unhideWhenUsed/>
    <w:rsid w:val="008A09CC"/>
    <w:rPr>
      <w:sz w:val="16"/>
      <w:szCs w:val="16"/>
    </w:rPr>
  </w:style>
  <w:style w:type="paragraph" w:styleId="Tekstkomentara">
    <w:name w:val="annotation text"/>
    <w:basedOn w:val="Normal"/>
    <w:link w:val="TekstkomentaraChar"/>
    <w:uiPriority w:val="99"/>
    <w:unhideWhenUsed/>
    <w:rsid w:val="008A09CC"/>
    <w:pPr>
      <w:spacing w:line="240" w:lineRule="auto"/>
    </w:pPr>
    <w:rPr>
      <w:sz w:val="20"/>
      <w:szCs w:val="20"/>
    </w:rPr>
  </w:style>
  <w:style w:type="character" w:customStyle="1" w:styleId="TekstkomentaraChar">
    <w:name w:val="Tekst komentara Char"/>
    <w:basedOn w:val="Zadanifontodlomka"/>
    <w:link w:val="Tekstkomentara"/>
    <w:uiPriority w:val="99"/>
    <w:rsid w:val="008A09CC"/>
    <w:rPr>
      <w:sz w:val="20"/>
      <w:szCs w:val="20"/>
    </w:rPr>
  </w:style>
  <w:style w:type="paragraph" w:styleId="Predmetkomentara">
    <w:name w:val="annotation subject"/>
    <w:basedOn w:val="Tekstkomentara"/>
    <w:next w:val="Tekstkomentara"/>
    <w:link w:val="PredmetkomentaraChar"/>
    <w:uiPriority w:val="99"/>
    <w:semiHidden/>
    <w:unhideWhenUsed/>
    <w:rsid w:val="008A09CC"/>
    <w:rPr>
      <w:b/>
      <w:bCs/>
    </w:rPr>
  </w:style>
  <w:style w:type="character" w:customStyle="1" w:styleId="PredmetkomentaraChar">
    <w:name w:val="Predmet komentara Char"/>
    <w:basedOn w:val="TekstkomentaraChar"/>
    <w:link w:val="Predmetkomentara"/>
    <w:uiPriority w:val="99"/>
    <w:semiHidden/>
    <w:rsid w:val="008A09CC"/>
    <w:rPr>
      <w:b/>
      <w:bCs/>
      <w:sz w:val="20"/>
      <w:szCs w:val="20"/>
    </w:rPr>
  </w:style>
  <w:style w:type="paragraph" w:styleId="Tekstbalonia">
    <w:name w:val="Balloon Text"/>
    <w:basedOn w:val="Normal"/>
    <w:link w:val="TekstbaloniaChar"/>
    <w:uiPriority w:val="99"/>
    <w:semiHidden/>
    <w:unhideWhenUsed/>
    <w:rsid w:val="008A09CC"/>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09CC"/>
    <w:rPr>
      <w:rFonts w:ascii="Segoe UI" w:hAnsi="Segoe UI" w:cs="Segoe UI"/>
      <w:sz w:val="18"/>
      <w:szCs w:val="18"/>
    </w:rPr>
  </w:style>
  <w:style w:type="character" w:styleId="Hiperveza">
    <w:name w:val="Hyperlink"/>
    <w:basedOn w:val="Zadanifontodlomka"/>
    <w:uiPriority w:val="99"/>
    <w:unhideWhenUsed/>
    <w:rsid w:val="00FB251C"/>
    <w:rPr>
      <w:color w:val="0000FF" w:themeColor="hyperlink"/>
      <w:u w:val="single"/>
    </w:rPr>
  </w:style>
  <w:style w:type="character" w:styleId="Nerijeenospominjanje">
    <w:name w:val="Unresolved Mention"/>
    <w:basedOn w:val="Zadanifontodlomka"/>
    <w:uiPriority w:val="99"/>
    <w:semiHidden/>
    <w:unhideWhenUsed/>
    <w:rsid w:val="00FB251C"/>
    <w:rPr>
      <w:color w:val="605E5C"/>
      <w:shd w:val="clear" w:color="auto" w:fill="E1DFDD"/>
    </w:rPr>
  </w:style>
  <w:style w:type="paragraph" w:styleId="Revizija">
    <w:name w:val="Revision"/>
    <w:hidden/>
    <w:uiPriority w:val="99"/>
    <w:semiHidden/>
    <w:rsid w:val="0035047A"/>
    <w:pPr>
      <w:spacing w:line="240" w:lineRule="auto"/>
    </w:pPr>
  </w:style>
  <w:style w:type="paragraph" w:styleId="TOCNaslov">
    <w:name w:val="TOC Heading"/>
    <w:basedOn w:val="Naslov1"/>
    <w:next w:val="Normal"/>
    <w:uiPriority w:val="39"/>
    <w:unhideWhenUsed/>
    <w:qFormat/>
    <w:rsid w:val="00F65449"/>
    <w:pPr>
      <w:spacing w:before="240" w:after="0" w:line="259" w:lineRule="auto"/>
      <w:outlineLvl w:val="9"/>
    </w:pPr>
    <w:rPr>
      <w:rFonts w:asciiTheme="majorHAnsi" w:eastAsiaTheme="majorEastAsia" w:hAnsiTheme="majorHAnsi" w:cstheme="majorBidi"/>
      <w:color w:val="365F91" w:themeColor="accent1" w:themeShade="BF"/>
      <w:sz w:val="32"/>
      <w:szCs w:val="32"/>
      <w:lang w:val="hr-HR" w:eastAsia="hr-HR"/>
    </w:rPr>
  </w:style>
  <w:style w:type="paragraph" w:styleId="Sadraj2">
    <w:name w:val="toc 2"/>
    <w:basedOn w:val="Normal"/>
    <w:next w:val="Normal"/>
    <w:autoRedefine/>
    <w:uiPriority w:val="39"/>
    <w:unhideWhenUsed/>
    <w:rsid w:val="00F65449"/>
    <w:pPr>
      <w:spacing w:after="100"/>
      <w:ind w:left="220"/>
    </w:pPr>
  </w:style>
  <w:style w:type="paragraph" w:styleId="Sadraj3">
    <w:name w:val="toc 3"/>
    <w:basedOn w:val="Normal"/>
    <w:next w:val="Normal"/>
    <w:autoRedefine/>
    <w:uiPriority w:val="39"/>
    <w:unhideWhenUsed/>
    <w:rsid w:val="00F65449"/>
    <w:pPr>
      <w:spacing w:after="100"/>
      <w:ind w:left="440"/>
    </w:pPr>
  </w:style>
  <w:style w:type="paragraph" w:styleId="Zaglavlje">
    <w:name w:val="header"/>
    <w:basedOn w:val="Normal"/>
    <w:link w:val="ZaglavljeChar"/>
    <w:uiPriority w:val="99"/>
    <w:unhideWhenUsed/>
    <w:rsid w:val="00F65449"/>
    <w:pPr>
      <w:tabs>
        <w:tab w:val="center" w:pos="4536"/>
        <w:tab w:val="right" w:pos="9072"/>
      </w:tabs>
      <w:spacing w:line="240" w:lineRule="auto"/>
    </w:pPr>
  </w:style>
  <w:style w:type="character" w:customStyle="1" w:styleId="ZaglavljeChar">
    <w:name w:val="Zaglavlje Char"/>
    <w:basedOn w:val="Zadanifontodlomka"/>
    <w:link w:val="Zaglavlje"/>
    <w:uiPriority w:val="99"/>
    <w:rsid w:val="00F65449"/>
  </w:style>
  <w:style w:type="paragraph" w:styleId="Podnoje">
    <w:name w:val="footer"/>
    <w:basedOn w:val="Normal"/>
    <w:link w:val="PodnojeChar"/>
    <w:uiPriority w:val="99"/>
    <w:unhideWhenUsed/>
    <w:rsid w:val="00F65449"/>
    <w:pPr>
      <w:tabs>
        <w:tab w:val="center" w:pos="4536"/>
        <w:tab w:val="right" w:pos="9072"/>
      </w:tabs>
      <w:spacing w:line="240" w:lineRule="auto"/>
    </w:pPr>
  </w:style>
  <w:style w:type="character" w:customStyle="1" w:styleId="PodnojeChar">
    <w:name w:val="Podnožje Char"/>
    <w:basedOn w:val="Zadanifontodlomka"/>
    <w:link w:val="Podnoje"/>
    <w:uiPriority w:val="99"/>
    <w:rsid w:val="00F65449"/>
  </w:style>
  <w:style w:type="character" w:styleId="SlijeenaHiperveza">
    <w:name w:val="FollowedHyperlink"/>
    <w:basedOn w:val="Zadanifontodlomka"/>
    <w:uiPriority w:val="99"/>
    <w:semiHidden/>
    <w:unhideWhenUsed/>
    <w:rsid w:val="003B17F7"/>
    <w:rPr>
      <w:color w:val="800080" w:themeColor="followedHyperlink"/>
      <w:u w:val="single"/>
    </w:rPr>
  </w:style>
  <w:style w:type="paragraph" w:styleId="Odlomakpopisa">
    <w:name w:val="List Paragraph"/>
    <w:basedOn w:val="Normal"/>
    <w:uiPriority w:val="34"/>
    <w:qFormat/>
    <w:rsid w:val="003B17F7"/>
    <w:pPr>
      <w:ind w:left="720"/>
      <w:contextualSpacing/>
    </w:pPr>
  </w:style>
  <w:style w:type="paragraph" w:styleId="Opisslike">
    <w:name w:val="caption"/>
    <w:basedOn w:val="Normal"/>
    <w:next w:val="Normal"/>
    <w:uiPriority w:val="35"/>
    <w:unhideWhenUsed/>
    <w:qFormat/>
    <w:rsid w:val="00BB4ACD"/>
    <w:pPr>
      <w:spacing w:after="200" w:line="240" w:lineRule="auto"/>
    </w:pPr>
    <w:rPr>
      <w:i/>
      <w:iCs/>
      <w:color w:val="1F497D" w:themeColor="text2"/>
      <w:sz w:val="18"/>
      <w:szCs w:val="18"/>
    </w:rPr>
  </w:style>
  <w:style w:type="paragraph" w:styleId="Tablicaslika">
    <w:name w:val="table of figures"/>
    <w:basedOn w:val="Normal"/>
    <w:next w:val="Normal"/>
    <w:uiPriority w:val="99"/>
    <w:unhideWhenUsed/>
    <w:rsid w:val="00941949"/>
  </w:style>
  <w:style w:type="paragraph" w:styleId="Sadraj1">
    <w:name w:val="toc 1"/>
    <w:basedOn w:val="Normal"/>
    <w:next w:val="Normal"/>
    <w:autoRedefine/>
    <w:uiPriority w:val="39"/>
    <w:unhideWhenUsed/>
    <w:rsid w:val="00C602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imf.org/en/Publications/CR/Issues/2021/09/10/Republic-of-Croatia-2021-Article-IV-Consultation-Press-Release-Staff-Report-and-Statement-465424"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podaci.dzs.hr/2024/hr/7697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bis.org/publ/bisbull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odaci.dzs.hr/hr/podaci/bdp-i-nacionalni-racuni/" TargetMode="External"/><Relationship Id="rId32" Type="http://schemas.openxmlformats.org/officeDocument/2006/relationships/hyperlink" Target="https://hrcak.srce.hr/file/225882"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bioenergyeurope.org/sr-22-pellets/" TargetMode="External"/><Relationship Id="rId28" Type="http://schemas.openxmlformats.org/officeDocument/2006/relationships/hyperlink" Target="https://pellets.hr/hr/o-nama/"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econstor.eu/bitstream/10419/105313/1/76668849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aluprotekt.hr/" TargetMode="External"/><Relationship Id="rId27" Type="http://schemas.openxmlformats.org/officeDocument/2006/relationships/hyperlink" Target="https://www.rrif.hr/standardi/" TargetMode="External"/><Relationship Id="rId30" Type="http://schemas.openxmlformats.org/officeDocument/2006/relationships/hyperlink" Target="https://sciendo.com/article/10.2478/v10305-012-0005-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71A2-ECDC-41FD-B59C-71E3EAFA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81</Pages>
  <Words>19932</Words>
  <Characters>113616</Characters>
  <Application>Microsoft Office Word</Application>
  <DocSecurity>0</DocSecurity>
  <Lines>946</Lines>
  <Paragraphs>266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Petra Taradi</cp:lastModifiedBy>
  <cp:revision>91</cp:revision>
  <dcterms:created xsi:type="dcterms:W3CDTF">2025-08-27T10:56:00Z</dcterms:created>
  <dcterms:modified xsi:type="dcterms:W3CDTF">2025-08-28T10:17:00Z</dcterms:modified>
</cp:coreProperties>
</file>