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DA7" w:rsidRDefault="00166C07" w:rsidP="00575DA7">
      <w:pPr>
        <w:spacing w:line="360" w:lineRule="auto"/>
        <w:jc w:val="center"/>
        <w:rPr>
          <w:rFonts w:cs="Times New Roman"/>
          <w:szCs w:val="24"/>
        </w:rPr>
      </w:pPr>
      <w:r>
        <w:rPr>
          <w:rFonts w:cs="Times New Roman"/>
          <w:szCs w:val="24"/>
        </w:rPr>
        <w:t>SVEUČILIŠTE U ZAGREBU</w:t>
      </w:r>
      <w:r>
        <w:rPr>
          <w:rFonts w:cs="Times New Roman"/>
          <w:szCs w:val="24"/>
        </w:rPr>
        <w:br/>
        <w:t>MEDICINSKI FAKULTET</w:t>
      </w:r>
    </w:p>
    <w:p w:rsidR="00575DA7" w:rsidRPr="00575DA7" w:rsidRDefault="00166C07" w:rsidP="00575DA7">
      <w:pPr>
        <w:spacing w:before="5000" w:line="360" w:lineRule="auto"/>
        <w:jc w:val="center"/>
        <w:rPr>
          <w:rFonts w:cs="Times New Roman"/>
          <w:b/>
          <w:szCs w:val="24"/>
        </w:rPr>
      </w:pPr>
      <w:r>
        <w:rPr>
          <w:rFonts w:cs="Times New Roman"/>
          <w:szCs w:val="24"/>
        </w:rPr>
        <w:br/>
        <w:t>Mira Knežić</w:t>
      </w:r>
      <w:r>
        <w:rPr>
          <w:rFonts w:cs="Times New Roman"/>
          <w:szCs w:val="24"/>
        </w:rPr>
        <w:br/>
      </w:r>
      <w:r w:rsidR="00CA2E1E">
        <w:rPr>
          <w:rFonts w:cs="Times New Roman"/>
          <w:b/>
          <w:szCs w:val="24"/>
        </w:rPr>
        <w:t>IZRAŽENOST PROTEINA</w:t>
      </w:r>
      <w:r w:rsidR="00BD25A9">
        <w:rPr>
          <w:rFonts w:cs="Times New Roman"/>
          <w:b/>
          <w:szCs w:val="24"/>
        </w:rPr>
        <w:t xml:space="preserve"> </w:t>
      </w:r>
      <w:r w:rsidR="00CA2E1E">
        <w:rPr>
          <w:rFonts w:cs="Times New Roman"/>
          <w:b/>
          <w:szCs w:val="24"/>
        </w:rPr>
        <w:t>PENTRAXIN 3 U DIFUZNIM KARCINOMIMA</w:t>
      </w:r>
      <w:r w:rsidRPr="00575DA7">
        <w:rPr>
          <w:rFonts w:cs="Times New Roman"/>
          <w:b/>
          <w:szCs w:val="24"/>
        </w:rPr>
        <w:t xml:space="preserve"> ŽELUCA</w:t>
      </w:r>
    </w:p>
    <w:p w:rsidR="009652A5" w:rsidRDefault="00166C07" w:rsidP="00575DA7">
      <w:pPr>
        <w:spacing w:before="5000" w:line="360" w:lineRule="auto"/>
        <w:jc w:val="center"/>
        <w:rPr>
          <w:rFonts w:cs="Times New Roman"/>
          <w:szCs w:val="24"/>
        </w:rPr>
      </w:pPr>
      <w:r w:rsidRPr="00575DA7">
        <w:rPr>
          <w:rFonts w:cs="Times New Roman"/>
          <w:b/>
          <w:szCs w:val="24"/>
        </w:rPr>
        <w:br/>
      </w:r>
      <w:r>
        <w:rPr>
          <w:rFonts w:cs="Times New Roman"/>
          <w:szCs w:val="24"/>
        </w:rPr>
        <w:t>Zagreb, 2019.</w:t>
      </w:r>
    </w:p>
    <w:p w:rsidR="009652A5" w:rsidRDefault="009652A5">
      <w:pPr>
        <w:rPr>
          <w:rFonts w:cs="Times New Roman"/>
          <w:szCs w:val="24"/>
        </w:rPr>
      </w:pPr>
      <w:r>
        <w:rPr>
          <w:rFonts w:cs="Times New Roman"/>
          <w:szCs w:val="24"/>
        </w:rPr>
        <w:br w:type="page"/>
      </w:r>
    </w:p>
    <w:p w:rsidR="009652A5" w:rsidRPr="00FC5A3E" w:rsidRDefault="009652A5" w:rsidP="00B8442B">
      <w:pPr>
        <w:spacing w:before="5000" w:line="360" w:lineRule="auto"/>
        <w:jc w:val="both"/>
        <w:rPr>
          <w:rFonts w:cs="Times New Roman"/>
          <w:sz w:val="20"/>
          <w:szCs w:val="20"/>
        </w:rPr>
      </w:pPr>
      <w:r w:rsidRPr="00FC5A3E">
        <w:rPr>
          <w:rFonts w:cs="Times New Roman"/>
          <w:sz w:val="20"/>
          <w:szCs w:val="20"/>
        </w:rPr>
        <w:lastRenderedPageBreak/>
        <w:t>Ova</w:t>
      </w:r>
      <w:r w:rsidR="00544C06" w:rsidRPr="00FC5A3E">
        <w:rPr>
          <w:rFonts w:cs="Times New Roman"/>
          <w:sz w:val="20"/>
          <w:szCs w:val="20"/>
        </w:rPr>
        <w:t>j rad izrađen je na Katedri za m</w:t>
      </w:r>
      <w:r w:rsidRPr="00FC5A3E">
        <w:rPr>
          <w:rFonts w:cs="Times New Roman"/>
          <w:sz w:val="20"/>
          <w:szCs w:val="20"/>
        </w:rPr>
        <w:t xml:space="preserve">edicinsku biologiju Medicinskog fakulteta Sveučilišta u Zagrebu pod vodstvom </w:t>
      </w:r>
      <w:r w:rsidR="009C7568">
        <w:rPr>
          <w:rFonts w:cs="Times New Roman"/>
          <w:sz w:val="20"/>
          <w:szCs w:val="20"/>
        </w:rPr>
        <w:t xml:space="preserve">izv. </w:t>
      </w:r>
      <w:r w:rsidR="00E12B98">
        <w:rPr>
          <w:rFonts w:cs="Times New Roman"/>
          <w:sz w:val="20"/>
          <w:szCs w:val="20"/>
        </w:rPr>
        <w:t xml:space="preserve">prof. dr. sc. Tamare Nikuševa </w:t>
      </w:r>
      <w:r w:rsidRPr="00FC5A3E">
        <w:rPr>
          <w:rFonts w:cs="Times New Roman"/>
          <w:sz w:val="20"/>
          <w:szCs w:val="20"/>
        </w:rPr>
        <w:t>Martić</w:t>
      </w:r>
      <w:r w:rsidR="006C24C0" w:rsidRPr="00FC5A3E">
        <w:rPr>
          <w:rFonts w:cs="Times New Roman"/>
          <w:sz w:val="20"/>
          <w:szCs w:val="20"/>
        </w:rPr>
        <w:t xml:space="preserve"> u sklopu</w:t>
      </w:r>
      <w:r w:rsidR="00544C06" w:rsidRPr="00FC5A3E">
        <w:rPr>
          <w:rFonts w:cs="Times New Roman"/>
          <w:sz w:val="20"/>
          <w:szCs w:val="20"/>
        </w:rPr>
        <w:t xml:space="preserve"> projekta</w:t>
      </w:r>
      <w:r w:rsidR="006C24C0" w:rsidRPr="00FC5A3E">
        <w:rPr>
          <w:rFonts w:cs="Times New Roman"/>
          <w:sz w:val="20"/>
          <w:szCs w:val="20"/>
        </w:rPr>
        <w:t xml:space="preserve"> potpore Sveučilišta u Zagrebu „Izraženost komponenti Wnt signalnog p</w:t>
      </w:r>
      <w:r w:rsidR="0088624C">
        <w:rPr>
          <w:rFonts w:cs="Times New Roman"/>
          <w:sz w:val="20"/>
          <w:szCs w:val="20"/>
        </w:rPr>
        <w:t>uta u difuznim karcinomima</w:t>
      </w:r>
      <w:r w:rsidR="00544C06" w:rsidRPr="00FC5A3E">
        <w:rPr>
          <w:rFonts w:cs="Times New Roman"/>
          <w:sz w:val="20"/>
          <w:szCs w:val="20"/>
        </w:rPr>
        <w:t xml:space="preserve"> želuca“, čija je voditeljica </w:t>
      </w:r>
      <w:r w:rsidR="009C7568">
        <w:rPr>
          <w:rFonts w:cs="Times New Roman"/>
          <w:sz w:val="20"/>
          <w:szCs w:val="20"/>
        </w:rPr>
        <w:t xml:space="preserve">izv. </w:t>
      </w:r>
      <w:r w:rsidR="00E12B98">
        <w:rPr>
          <w:rFonts w:cs="Times New Roman"/>
          <w:sz w:val="20"/>
          <w:szCs w:val="20"/>
        </w:rPr>
        <w:t xml:space="preserve">prof. dr. sc. Tamara Nikuševa </w:t>
      </w:r>
      <w:r w:rsidR="00544C06" w:rsidRPr="00FC5A3E">
        <w:rPr>
          <w:rFonts w:cs="Times New Roman"/>
          <w:sz w:val="20"/>
          <w:szCs w:val="20"/>
        </w:rPr>
        <w:t>Martić,</w:t>
      </w:r>
      <w:r w:rsidRPr="00FC5A3E">
        <w:rPr>
          <w:rFonts w:cs="Times New Roman"/>
          <w:sz w:val="20"/>
          <w:szCs w:val="20"/>
        </w:rPr>
        <w:t xml:space="preserve"> i predan je na natječaj za dodjelu Rektorove nagrade u akademskoj godini 2018./2019.</w:t>
      </w:r>
    </w:p>
    <w:p w:rsidR="009652A5" w:rsidRPr="009454A4" w:rsidRDefault="009652A5" w:rsidP="00B8442B">
      <w:pPr>
        <w:jc w:val="both"/>
        <w:rPr>
          <w:rFonts w:cs="Times New Roman"/>
          <w:sz w:val="22"/>
        </w:rPr>
      </w:pPr>
      <w:r w:rsidRPr="009454A4">
        <w:rPr>
          <w:rFonts w:cs="Times New Roman"/>
          <w:sz w:val="22"/>
        </w:rPr>
        <w:br w:type="page"/>
      </w:r>
    </w:p>
    <w:p w:rsidR="00F46EEB" w:rsidRDefault="0046118F">
      <w:pPr>
        <w:rPr>
          <w:rStyle w:val="Strong"/>
          <w:rFonts w:cs="Times New Roman"/>
          <w:szCs w:val="24"/>
        </w:rPr>
      </w:pPr>
      <w:r>
        <w:rPr>
          <w:rStyle w:val="Strong"/>
          <w:rFonts w:cs="Times New Roman"/>
          <w:szCs w:val="24"/>
        </w:rPr>
        <w:lastRenderedPageBreak/>
        <w:t>Popis i objašnjenje kratica</w:t>
      </w:r>
    </w:p>
    <w:p w:rsidR="00C43A89" w:rsidRDefault="00C43A89">
      <w:pPr>
        <w:rPr>
          <w:rStyle w:val="Strong"/>
          <w:rFonts w:cs="Times New Roman"/>
          <w:b w:val="0"/>
          <w:sz w:val="20"/>
          <w:szCs w:val="20"/>
        </w:rPr>
      </w:pPr>
      <w:r>
        <w:rPr>
          <w:rStyle w:val="Strong"/>
          <w:rFonts w:cs="Times New Roman"/>
          <w:b w:val="0"/>
          <w:sz w:val="20"/>
          <w:szCs w:val="20"/>
        </w:rPr>
        <w:t>WHO: World Health Organization</w:t>
      </w:r>
    </w:p>
    <w:p w:rsidR="00C43A89" w:rsidRDefault="00C43A89">
      <w:pPr>
        <w:rPr>
          <w:rStyle w:val="Strong"/>
          <w:rFonts w:cs="Times New Roman"/>
          <w:b w:val="0"/>
          <w:sz w:val="20"/>
          <w:szCs w:val="20"/>
        </w:rPr>
      </w:pPr>
      <w:r>
        <w:rPr>
          <w:rStyle w:val="Strong"/>
          <w:rFonts w:cs="Times New Roman"/>
          <w:b w:val="0"/>
          <w:sz w:val="20"/>
          <w:szCs w:val="20"/>
        </w:rPr>
        <w:t>HDGC: hereditary diffuse gastric cancer</w:t>
      </w:r>
    </w:p>
    <w:p w:rsidR="00C43A89" w:rsidRDefault="00C43A89">
      <w:pPr>
        <w:rPr>
          <w:rStyle w:val="Strong"/>
          <w:rFonts w:cs="Times New Roman"/>
          <w:b w:val="0"/>
          <w:sz w:val="20"/>
          <w:szCs w:val="20"/>
        </w:rPr>
      </w:pPr>
      <w:r>
        <w:rPr>
          <w:rStyle w:val="Strong"/>
          <w:rFonts w:cs="Times New Roman"/>
          <w:b w:val="0"/>
          <w:sz w:val="20"/>
          <w:szCs w:val="20"/>
        </w:rPr>
        <w:t>CDH1: kadherin-1</w:t>
      </w:r>
    </w:p>
    <w:p w:rsidR="00C43A89" w:rsidRDefault="00C43A89">
      <w:pPr>
        <w:rPr>
          <w:rStyle w:val="Strong"/>
          <w:rFonts w:cs="Times New Roman"/>
          <w:b w:val="0"/>
          <w:sz w:val="20"/>
          <w:szCs w:val="20"/>
        </w:rPr>
      </w:pPr>
      <w:r>
        <w:rPr>
          <w:rStyle w:val="Strong"/>
          <w:rFonts w:cs="Times New Roman"/>
          <w:b w:val="0"/>
          <w:sz w:val="20"/>
          <w:szCs w:val="20"/>
        </w:rPr>
        <w:t xml:space="preserve">APC: </w:t>
      </w:r>
      <w:proofErr w:type="spellStart"/>
      <w:r w:rsidR="00283A25" w:rsidRPr="00283A25">
        <w:rPr>
          <w:rStyle w:val="Strong"/>
          <w:rFonts w:cs="Times New Roman"/>
          <w:b w:val="0"/>
          <w:sz w:val="20"/>
          <w:szCs w:val="20"/>
        </w:rPr>
        <w:t>adenomatous</w:t>
      </w:r>
      <w:proofErr w:type="spellEnd"/>
      <w:r w:rsidR="00283A25" w:rsidRPr="00283A25">
        <w:rPr>
          <w:rStyle w:val="Strong"/>
          <w:rFonts w:cs="Times New Roman"/>
          <w:b w:val="0"/>
          <w:sz w:val="20"/>
          <w:szCs w:val="20"/>
        </w:rPr>
        <w:t xml:space="preserve"> </w:t>
      </w:r>
      <w:proofErr w:type="spellStart"/>
      <w:r w:rsidR="00283A25" w:rsidRPr="00283A25">
        <w:rPr>
          <w:rStyle w:val="Strong"/>
          <w:rFonts w:cs="Times New Roman"/>
          <w:b w:val="0"/>
          <w:sz w:val="20"/>
          <w:szCs w:val="20"/>
        </w:rPr>
        <w:t>polyposis</w:t>
      </w:r>
      <w:proofErr w:type="spellEnd"/>
      <w:r w:rsidR="00283A25" w:rsidRPr="00283A25">
        <w:rPr>
          <w:rStyle w:val="Strong"/>
          <w:rFonts w:cs="Times New Roman"/>
          <w:b w:val="0"/>
          <w:sz w:val="20"/>
          <w:szCs w:val="20"/>
        </w:rPr>
        <w:t xml:space="preserve"> </w:t>
      </w:r>
      <w:proofErr w:type="spellStart"/>
      <w:r w:rsidR="00283A25" w:rsidRPr="00283A25">
        <w:rPr>
          <w:rStyle w:val="Strong"/>
          <w:rFonts w:cs="Times New Roman"/>
          <w:b w:val="0"/>
          <w:sz w:val="20"/>
          <w:szCs w:val="20"/>
        </w:rPr>
        <w:t>coli</w:t>
      </w:r>
      <w:proofErr w:type="spellEnd"/>
    </w:p>
    <w:p w:rsidR="00C43A89" w:rsidRDefault="00C43A89">
      <w:pPr>
        <w:rPr>
          <w:rStyle w:val="Strong"/>
          <w:rFonts w:cs="Times New Roman"/>
          <w:b w:val="0"/>
          <w:sz w:val="20"/>
          <w:szCs w:val="20"/>
        </w:rPr>
      </w:pPr>
      <w:r>
        <w:rPr>
          <w:rStyle w:val="Strong"/>
          <w:rFonts w:cs="Times New Roman"/>
          <w:b w:val="0"/>
          <w:sz w:val="20"/>
          <w:szCs w:val="20"/>
        </w:rPr>
        <w:t>IL: interleukin</w:t>
      </w:r>
    </w:p>
    <w:p w:rsidR="00C43A89" w:rsidRDefault="00C43A89">
      <w:pPr>
        <w:rPr>
          <w:rStyle w:val="Strong"/>
          <w:rFonts w:cs="Times New Roman"/>
          <w:b w:val="0"/>
          <w:sz w:val="20"/>
          <w:szCs w:val="20"/>
        </w:rPr>
      </w:pPr>
      <w:r>
        <w:rPr>
          <w:rStyle w:val="Strong"/>
          <w:rFonts w:cs="Times New Roman"/>
          <w:b w:val="0"/>
          <w:sz w:val="20"/>
          <w:szCs w:val="20"/>
        </w:rPr>
        <w:t xml:space="preserve">TSG: </w:t>
      </w:r>
      <w:r w:rsidRPr="00C43A89">
        <w:rPr>
          <w:rStyle w:val="Strong"/>
          <w:rFonts w:cs="Times New Roman"/>
          <w:b w:val="0"/>
          <w:sz w:val="20"/>
          <w:szCs w:val="20"/>
        </w:rPr>
        <w:t>TNF-stimulated gene</w:t>
      </w:r>
    </w:p>
    <w:p w:rsidR="00C43A89" w:rsidRDefault="00C43A89">
      <w:pPr>
        <w:rPr>
          <w:rStyle w:val="Strong"/>
          <w:rFonts w:cs="Times New Roman"/>
          <w:b w:val="0"/>
          <w:sz w:val="20"/>
          <w:szCs w:val="20"/>
        </w:rPr>
      </w:pPr>
      <w:r>
        <w:rPr>
          <w:rStyle w:val="Strong"/>
          <w:rFonts w:cs="Times New Roman"/>
          <w:b w:val="0"/>
          <w:sz w:val="20"/>
          <w:szCs w:val="20"/>
        </w:rPr>
        <w:t>CRP: C-reaktivni protein</w:t>
      </w:r>
    </w:p>
    <w:p w:rsidR="00C43A89" w:rsidRDefault="00C43A89">
      <w:pPr>
        <w:rPr>
          <w:rStyle w:val="Strong"/>
          <w:rFonts w:cs="Times New Roman"/>
          <w:b w:val="0"/>
          <w:sz w:val="20"/>
          <w:szCs w:val="20"/>
        </w:rPr>
      </w:pPr>
      <w:r>
        <w:rPr>
          <w:rStyle w:val="Strong"/>
          <w:rFonts w:cs="Times New Roman"/>
          <w:b w:val="0"/>
          <w:sz w:val="20"/>
          <w:szCs w:val="20"/>
        </w:rPr>
        <w:t>SAP: serumska amiloidna P komponenta</w:t>
      </w:r>
    </w:p>
    <w:p w:rsidR="00C43A89" w:rsidRDefault="00C43A89">
      <w:pPr>
        <w:rPr>
          <w:rStyle w:val="Strong"/>
          <w:rFonts w:cs="Times New Roman"/>
          <w:b w:val="0"/>
          <w:sz w:val="20"/>
          <w:szCs w:val="20"/>
        </w:rPr>
      </w:pPr>
      <w:r>
        <w:rPr>
          <w:rStyle w:val="Strong"/>
          <w:rFonts w:cs="Times New Roman"/>
          <w:b w:val="0"/>
          <w:sz w:val="20"/>
          <w:szCs w:val="20"/>
        </w:rPr>
        <w:t>cDNA: copy DNA</w:t>
      </w:r>
    </w:p>
    <w:p w:rsidR="00C43A89" w:rsidRDefault="00C43A89">
      <w:pPr>
        <w:rPr>
          <w:rStyle w:val="Strong"/>
          <w:rFonts w:cs="Times New Roman"/>
          <w:b w:val="0"/>
          <w:sz w:val="20"/>
          <w:szCs w:val="20"/>
        </w:rPr>
      </w:pPr>
      <w:r>
        <w:rPr>
          <w:rStyle w:val="Strong"/>
          <w:rFonts w:cs="Times New Roman"/>
          <w:b w:val="0"/>
          <w:sz w:val="20"/>
          <w:szCs w:val="20"/>
        </w:rPr>
        <w:t>TNF-α: tumor necrosis factor α</w:t>
      </w:r>
    </w:p>
    <w:p w:rsidR="00C43A89" w:rsidRDefault="00C43A89">
      <w:pPr>
        <w:rPr>
          <w:rStyle w:val="Strong"/>
          <w:rFonts w:cs="Times New Roman"/>
          <w:b w:val="0"/>
          <w:sz w:val="20"/>
          <w:szCs w:val="20"/>
        </w:rPr>
      </w:pPr>
      <w:r>
        <w:rPr>
          <w:rStyle w:val="Strong"/>
          <w:rFonts w:cs="Times New Roman"/>
          <w:b w:val="0"/>
          <w:sz w:val="20"/>
          <w:szCs w:val="20"/>
        </w:rPr>
        <w:t>TLR: Toll-like receptor</w:t>
      </w:r>
    </w:p>
    <w:p w:rsidR="00C43A89" w:rsidRDefault="00C43A89">
      <w:pPr>
        <w:rPr>
          <w:rStyle w:val="Strong"/>
          <w:rFonts w:cs="Times New Roman"/>
          <w:b w:val="0"/>
          <w:sz w:val="20"/>
          <w:szCs w:val="20"/>
        </w:rPr>
      </w:pPr>
      <w:r>
        <w:rPr>
          <w:rStyle w:val="Strong"/>
          <w:rFonts w:cs="Times New Roman"/>
          <w:b w:val="0"/>
          <w:sz w:val="20"/>
          <w:szCs w:val="20"/>
        </w:rPr>
        <w:t>ng: nanogram</w:t>
      </w:r>
    </w:p>
    <w:p w:rsidR="00C43A89" w:rsidRDefault="00C43A89">
      <w:pPr>
        <w:rPr>
          <w:rStyle w:val="Strong"/>
          <w:rFonts w:cs="Times New Roman"/>
          <w:b w:val="0"/>
          <w:sz w:val="20"/>
          <w:szCs w:val="20"/>
        </w:rPr>
      </w:pPr>
      <w:r>
        <w:rPr>
          <w:rStyle w:val="Strong"/>
          <w:rFonts w:cs="Times New Roman"/>
          <w:b w:val="0"/>
          <w:sz w:val="20"/>
          <w:szCs w:val="20"/>
        </w:rPr>
        <w:t>ml: mililitar</w:t>
      </w:r>
    </w:p>
    <w:p w:rsidR="00C43A89" w:rsidRDefault="00C43A89">
      <w:pPr>
        <w:rPr>
          <w:rStyle w:val="Strong"/>
          <w:rFonts w:cs="Times New Roman"/>
          <w:b w:val="0"/>
          <w:sz w:val="20"/>
          <w:szCs w:val="20"/>
        </w:rPr>
      </w:pPr>
      <w:r>
        <w:rPr>
          <w:rStyle w:val="Strong"/>
          <w:rFonts w:cs="Times New Roman"/>
          <w:b w:val="0"/>
          <w:sz w:val="20"/>
          <w:szCs w:val="20"/>
        </w:rPr>
        <w:t>IFNγ: interferon γ</w:t>
      </w:r>
    </w:p>
    <w:p w:rsidR="00C43A89" w:rsidRDefault="00C43A89">
      <w:pPr>
        <w:rPr>
          <w:rStyle w:val="Strong"/>
          <w:rFonts w:cs="Times New Roman"/>
          <w:b w:val="0"/>
          <w:sz w:val="20"/>
          <w:szCs w:val="20"/>
        </w:rPr>
      </w:pPr>
      <w:r>
        <w:rPr>
          <w:rStyle w:val="Strong"/>
          <w:rFonts w:cs="Times New Roman"/>
          <w:b w:val="0"/>
          <w:sz w:val="20"/>
          <w:szCs w:val="20"/>
        </w:rPr>
        <w:t>FGF: fibroblast growth factor</w:t>
      </w:r>
    </w:p>
    <w:p w:rsidR="00C43A89" w:rsidRDefault="00C43A89">
      <w:pPr>
        <w:rPr>
          <w:rStyle w:val="Strong"/>
          <w:rFonts w:cs="Times New Roman"/>
          <w:b w:val="0"/>
          <w:sz w:val="20"/>
          <w:szCs w:val="20"/>
        </w:rPr>
      </w:pPr>
      <w:r>
        <w:rPr>
          <w:rStyle w:val="Strong"/>
          <w:rFonts w:cs="Times New Roman"/>
          <w:b w:val="0"/>
          <w:sz w:val="20"/>
          <w:szCs w:val="20"/>
        </w:rPr>
        <w:t>FGFR: receptor za FGF</w:t>
      </w:r>
    </w:p>
    <w:p w:rsidR="00C43A89" w:rsidRDefault="00C43A89">
      <w:pPr>
        <w:rPr>
          <w:rStyle w:val="Strong"/>
          <w:rFonts w:cs="Times New Roman"/>
          <w:b w:val="0"/>
          <w:sz w:val="20"/>
          <w:szCs w:val="20"/>
        </w:rPr>
      </w:pPr>
      <w:r>
        <w:rPr>
          <w:rStyle w:val="Strong"/>
          <w:rFonts w:cs="Times New Roman"/>
          <w:b w:val="0"/>
          <w:sz w:val="20"/>
          <w:szCs w:val="20"/>
        </w:rPr>
        <w:t>IαI: iner-α-tripsin inhibitor</w:t>
      </w:r>
    </w:p>
    <w:p w:rsidR="00C43A89" w:rsidRDefault="00C43A89">
      <w:pPr>
        <w:rPr>
          <w:rStyle w:val="Strong"/>
          <w:rFonts w:cs="Times New Roman"/>
          <w:b w:val="0"/>
          <w:sz w:val="20"/>
          <w:szCs w:val="20"/>
        </w:rPr>
      </w:pPr>
      <w:r>
        <w:rPr>
          <w:rStyle w:val="Strong"/>
          <w:rFonts w:cs="Times New Roman"/>
          <w:b w:val="0"/>
          <w:sz w:val="20"/>
          <w:szCs w:val="20"/>
        </w:rPr>
        <w:t>TNM: tumor node metastasis</w:t>
      </w:r>
    </w:p>
    <w:p w:rsidR="00C43A89" w:rsidRDefault="00C43A89">
      <w:pPr>
        <w:rPr>
          <w:rStyle w:val="Strong"/>
          <w:rFonts w:cs="Times New Roman"/>
          <w:b w:val="0"/>
          <w:sz w:val="20"/>
          <w:szCs w:val="20"/>
        </w:rPr>
      </w:pPr>
      <w:r>
        <w:rPr>
          <w:rStyle w:val="Strong"/>
          <w:rFonts w:cs="Times New Roman"/>
          <w:b w:val="0"/>
          <w:sz w:val="20"/>
          <w:szCs w:val="20"/>
        </w:rPr>
        <w:t>EtOH: etanol</w:t>
      </w:r>
    </w:p>
    <w:p w:rsidR="00C43A89" w:rsidRDefault="00C43A89">
      <w:pPr>
        <w:rPr>
          <w:rStyle w:val="Strong"/>
          <w:rFonts w:cs="Times New Roman"/>
          <w:b w:val="0"/>
          <w:sz w:val="20"/>
          <w:szCs w:val="20"/>
        </w:rPr>
      </w:pPr>
      <w:r>
        <w:rPr>
          <w:rStyle w:val="Strong"/>
          <w:rFonts w:cs="Times New Roman"/>
          <w:b w:val="0"/>
          <w:sz w:val="20"/>
          <w:szCs w:val="20"/>
        </w:rPr>
        <w:t>HRP: horseradish peroxidase</w:t>
      </w:r>
    </w:p>
    <w:p w:rsidR="00C43A89" w:rsidRDefault="00C43A89">
      <w:pPr>
        <w:rPr>
          <w:rStyle w:val="Strong"/>
          <w:rFonts w:cs="Times New Roman"/>
          <w:b w:val="0"/>
          <w:sz w:val="20"/>
          <w:szCs w:val="20"/>
        </w:rPr>
      </w:pPr>
      <w:r>
        <w:rPr>
          <w:rStyle w:val="Strong"/>
          <w:rFonts w:cs="Times New Roman"/>
          <w:b w:val="0"/>
          <w:sz w:val="20"/>
          <w:szCs w:val="20"/>
        </w:rPr>
        <w:t xml:space="preserve">DAB: </w:t>
      </w:r>
      <w:r w:rsidRPr="00C43A89">
        <w:rPr>
          <w:rStyle w:val="Strong"/>
          <w:rFonts w:cs="Times New Roman"/>
          <w:b w:val="0"/>
          <w:sz w:val="20"/>
          <w:szCs w:val="20"/>
        </w:rPr>
        <w:t>3,3'-diaminobenzidin tetrahidroklorid</w:t>
      </w:r>
    </w:p>
    <w:p w:rsidR="00C43A89" w:rsidRDefault="00C43A89">
      <w:pPr>
        <w:rPr>
          <w:rStyle w:val="Strong"/>
          <w:rFonts w:cs="Times New Roman"/>
          <w:b w:val="0"/>
          <w:sz w:val="20"/>
          <w:szCs w:val="20"/>
        </w:rPr>
      </w:pPr>
      <w:r>
        <w:rPr>
          <w:rStyle w:val="Strong"/>
          <w:rFonts w:cs="Times New Roman"/>
          <w:b w:val="0"/>
          <w:sz w:val="20"/>
          <w:szCs w:val="20"/>
        </w:rPr>
        <w:t>IRS: immunoreactive score</w:t>
      </w:r>
    </w:p>
    <w:p w:rsidR="00C43A89" w:rsidRDefault="00C43A89">
      <w:pPr>
        <w:rPr>
          <w:rStyle w:val="Strong"/>
          <w:rFonts w:cs="Times New Roman"/>
          <w:b w:val="0"/>
          <w:sz w:val="20"/>
          <w:szCs w:val="20"/>
        </w:rPr>
      </w:pPr>
      <w:r>
        <w:rPr>
          <w:rStyle w:val="Strong"/>
          <w:rFonts w:cs="Times New Roman"/>
          <w:b w:val="0"/>
          <w:sz w:val="20"/>
          <w:szCs w:val="20"/>
        </w:rPr>
        <w:t>SI: staining intensity</w:t>
      </w:r>
    </w:p>
    <w:p w:rsidR="00C43A89" w:rsidRPr="00C43A89" w:rsidRDefault="00C43A89">
      <w:pPr>
        <w:rPr>
          <w:rStyle w:val="Strong"/>
          <w:rFonts w:cs="Times New Roman"/>
          <w:b w:val="0"/>
          <w:sz w:val="20"/>
          <w:szCs w:val="20"/>
        </w:rPr>
      </w:pPr>
      <w:r>
        <w:rPr>
          <w:rStyle w:val="Strong"/>
          <w:rFonts w:cs="Times New Roman"/>
          <w:b w:val="0"/>
          <w:sz w:val="20"/>
          <w:szCs w:val="20"/>
        </w:rPr>
        <w:t>PP: percentage of positive cells</w:t>
      </w:r>
    </w:p>
    <w:p w:rsidR="003C662F" w:rsidRDefault="003C662F">
      <w:pPr>
        <w:rPr>
          <w:rStyle w:val="Strong"/>
          <w:rFonts w:cs="Times New Roman"/>
          <w:szCs w:val="24"/>
        </w:rPr>
      </w:pPr>
      <w:r>
        <w:rPr>
          <w:rStyle w:val="Strong"/>
          <w:rFonts w:cs="Times New Roman"/>
          <w:szCs w:val="24"/>
        </w:rPr>
        <w:br w:type="page"/>
      </w:r>
    </w:p>
    <w:sdt>
      <w:sdtPr>
        <w:rPr>
          <w:rFonts w:asciiTheme="minorHAnsi" w:eastAsiaTheme="minorHAnsi" w:hAnsiTheme="minorHAnsi" w:cstheme="minorBidi"/>
          <w:b w:val="0"/>
          <w:bCs w:val="0"/>
          <w:sz w:val="22"/>
          <w:szCs w:val="22"/>
          <w:lang w:val="hr-HR" w:eastAsia="en-US"/>
        </w:rPr>
        <w:id w:val="1833479954"/>
        <w:docPartObj>
          <w:docPartGallery w:val="Table of Contents"/>
          <w:docPartUnique/>
        </w:docPartObj>
      </w:sdtPr>
      <w:sdtEndPr>
        <w:rPr>
          <w:rFonts w:ascii="Times New Roman" w:hAnsi="Times New Roman"/>
          <w:noProof/>
          <w:sz w:val="24"/>
        </w:rPr>
      </w:sdtEndPr>
      <w:sdtContent>
        <w:p w:rsidR="00382CC4" w:rsidRDefault="00382CC4">
          <w:pPr>
            <w:pStyle w:val="TOCHeading"/>
          </w:pPr>
          <w:proofErr w:type="spellStart"/>
          <w:r>
            <w:t>Sadržaj</w:t>
          </w:r>
          <w:proofErr w:type="spellEnd"/>
          <w:r>
            <w:t xml:space="preserve"> </w:t>
          </w:r>
          <w:proofErr w:type="spellStart"/>
          <w:r>
            <w:t>rada</w:t>
          </w:r>
          <w:proofErr w:type="spellEnd"/>
        </w:p>
        <w:p w:rsidR="00DC211A" w:rsidRDefault="00382CC4">
          <w:pPr>
            <w:pStyle w:val="TOC1"/>
            <w:tabs>
              <w:tab w:val="right" w:leader="dot" w:pos="9062"/>
            </w:tabs>
            <w:rPr>
              <w:rFonts w:asciiTheme="minorHAnsi" w:hAnsiTheme="minorHAnsi"/>
              <w:noProof/>
              <w:sz w:val="22"/>
              <w:lang w:val="hr-HR" w:eastAsia="hr-HR"/>
            </w:rPr>
          </w:pPr>
          <w:r>
            <w:fldChar w:fldCharType="begin"/>
          </w:r>
          <w:r>
            <w:instrText xml:space="preserve"> TOC \o "1-3" \h \z \u </w:instrText>
          </w:r>
          <w:r>
            <w:fldChar w:fldCharType="separate"/>
          </w:r>
          <w:hyperlink w:anchor="_Toc7695559" w:history="1">
            <w:r w:rsidR="00DC211A" w:rsidRPr="0023587F">
              <w:rPr>
                <w:rStyle w:val="Hyperlink"/>
                <w:noProof/>
              </w:rPr>
              <w:t>1. UVOD</w:t>
            </w:r>
            <w:r w:rsidR="00DC211A">
              <w:rPr>
                <w:noProof/>
                <w:webHidden/>
              </w:rPr>
              <w:tab/>
            </w:r>
            <w:r w:rsidR="00DC211A">
              <w:rPr>
                <w:noProof/>
                <w:webHidden/>
              </w:rPr>
              <w:fldChar w:fldCharType="begin"/>
            </w:r>
            <w:r w:rsidR="00DC211A">
              <w:rPr>
                <w:noProof/>
                <w:webHidden/>
              </w:rPr>
              <w:instrText xml:space="preserve"> PAGEREF _Toc7695559 \h </w:instrText>
            </w:r>
            <w:r w:rsidR="00DC211A">
              <w:rPr>
                <w:noProof/>
                <w:webHidden/>
              </w:rPr>
            </w:r>
            <w:r w:rsidR="00DC211A">
              <w:rPr>
                <w:noProof/>
                <w:webHidden/>
              </w:rPr>
              <w:fldChar w:fldCharType="separate"/>
            </w:r>
            <w:r w:rsidR="00B23F9B">
              <w:rPr>
                <w:noProof/>
                <w:webHidden/>
              </w:rPr>
              <w:t>1</w:t>
            </w:r>
            <w:r w:rsidR="00DC211A">
              <w:rPr>
                <w:noProof/>
                <w:webHidden/>
              </w:rPr>
              <w:fldChar w:fldCharType="end"/>
            </w:r>
          </w:hyperlink>
        </w:p>
        <w:p w:rsidR="00DC211A" w:rsidRDefault="005669A4">
          <w:pPr>
            <w:pStyle w:val="TOC2"/>
            <w:tabs>
              <w:tab w:val="left" w:pos="880"/>
              <w:tab w:val="right" w:leader="dot" w:pos="9062"/>
            </w:tabs>
            <w:rPr>
              <w:rFonts w:asciiTheme="minorHAnsi" w:eastAsiaTheme="minorEastAsia" w:hAnsiTheme="minorHAnsi"/>
              <w:noProof/>
              <w:sz w:val="22"/>
              <w:lang w:eastAsia="hr-HR"/>
            </w:rPr>
          </w:pPr>
          <w:hyperlink w:anchor="_Toc7695560" w:history="1">
            <w:r w:rsidR="00DC211A" w:rsidRPr="0023587F">
              <w:rPr>
                <w:rStyle w:val="Hyperlink"/>
                <w:noProof/>
              </w:rPr>
              <w:t>1.1.</w:t>
            </w:r>
            <w:r w:rsidR="00DC211A">
              <w:rPr>
                <w:rFonts w:asciiTheme="minorHAnsi" w:eastAsiaTheme="minorEastAsia" w:hAnsiTheme="minorHAnsi"/>
                <w:noProof/>
                <w:sz w:val="22"/>
                <w:lang w:eastAsia="hr-HR"/>
              </w:rPr>
              <w:tab/>
            </w:r>
            <w:r w:rsidR="00DC211A" w:rsidRPr="0023587F">
              <w:rPr>
                <w:rStyle w:val="Hyperlink"/>
                <w:noProof/>
              </w:rPr>
              <w:t>Karcinom želuca</w:t>
            </w:r>
            <w:r w:rsidR="00DC211A">
              <w:rPr>
                <w:noProof/>
                <w:webHidden/>
              </w:rPr>
              <w:tab/>
            </w:r>
            <w:r w:rsidR="00DC211A">
              <w:rPr>
                <w:noProof/>
                <w:webHidden/>
              </w:rPr>
              <w:fldChar w:fldCharType="begin"/>
            </w:r>
            <w:r w:rsidR="00DC211A">
              <w:rPr>
                <w:noProof/>
                <w:webHidden/>
              </w:rPr>
              <w:instrText xml:space="preserve"> PAGEREF _Toc7695560 \h </w:instrText>
            </w:r>
            <w:r w:rsidR="00DC211A">
              <w:rPr>
                <w:noProof/>
                <w:webHidden/>
              </w:rPr>
            </w:r>
            <w:r w:rsidR="00DC211A">
              <w:rPr>
                <w:noProof/>
                <w:webHidden/>
              </w:rPr>
              <w:fldChar w:fldCharType="separate"/>
            </w:r>
            <w:r w:rsidR="00B23F9B">
              <w:rPr>
                <w:noProof/>
                <w:webHidden/>
              </w:rPr>
              <w:t>1</w:t>
            </w:r>
            <w:r w:rsidR="00DC211A">
              <w:rPr>
                <w:noProof/>
                <w:webHidden/>
              </w:rPr>
              <w:fldChar w:fldCharType="end"/>
            </w:r>
          </w:hyperlink>
        </w:p>
        <w:p w:rsidR="00DC211A" w:rsidRDefault="005669A4">
          <w:pPr>
            <w:pStyle w:val="TOC2"/>
            <w:tabs>
              <w:tab w:val="left" w:pos="880"/>
              <w:tab w:val="right" w:leader="dot" w:pos="9062"/>
            </w:tabs>
            <w:rPr>
              <w:rFonts w:asciiTheme="minorHAnsi" w:eastAsiaTheme="minorEastAsia" w:hAnsiTheme="minorHAnsi"/>
              <w:noProof/>
              <w:sz w:val="22"/>
              <w:lang w:eastAsia="hr-HR"/>
            </w:rPr>
          </w:pPr>
          <w:hyperlink w:anchor="_Toc7695561" w:history="1">
            <w:r w:rsidR="00DC211A" w:rsidRPr="0023587F">
              <w:rPr>
                <w:rStyle w:val="Hyperlink"/>
                <w:noProof/>
              </w:rPr>
              <w:t>1.2.</w:t>
            </w:r>
            <w:r w:rsidR="00DC211A">
              <w:rPr>
                <w:rFonts w:asciiTheme="minorHAnsi" w:eastAsiaTheme="minorEastAsia" w:hAnsiTheme="minorHAnsi"/>
                <w:noProof/>
                <w:sz w:val="22"/>
                <w:lang w:eastAsia="hr-HR"/>
              </w:rPr>
              <w:tab/>
            </w:r>
            <w:r w:rsidR="00DC211A" w:rsidRPr="0023587F">
              <w:rPr>
                <w:rStyle w:val="Hyperlink"/>
                <w:noProof/>
              </w:rPr>
              <w:t>Pentraxin 3</w:t>
            </w:r>
            <w:r w:rsidR="00DC211A">
              <w:rPr>
                <w:noProof/>
                <w:webHidden/>
              </w:rPr>
              <w:tab/>
            </w:r>
            <w:r w:rsidR="00DC211A">
              <w:rPr>
                <w:noProof/>
                <w:webHidden/>
              </w:rPr>
              <w:fldChar w:fldCharType="begin"/>
            </w:r>
            <w:r w:rsidR="00DC211A">
              <w:rPr>
                <w:noProof/>
                <w:webHidden/>
              </w:rPr>
              <w:instrText xml:space="preserve"> PAGEREF _Toc7695561 \h </w:instrText>
            </w:r>
            <w:r w:rsidR="00DC211A">
              <w:rPr>
                <w:noProof/>
                <w:webHidden/>
              </w:rPr>
            </w:r>
            <w:r w:rsidR="00DC211A">
              <w:rPr>
                <w:noProof/>
                <w:webHidden/>
              </w:rPr>
              <w:fldChar w:fldCharType="separate"/>
            </w:r>
            <w:r w:rsidR="00B23F9B">
              <w:rPr>
                <w:noProof/>
                <w:webHidden/>
              </w:rPr>
              <w:t>2</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62" w:history="1">
            <w:r w:rsidR="00DC211A" w:rsidRPr="0023587F">
              <w:rPr>
                <w:rStyle w:val="Hyperlink"/>
                <w:noProof/>
              </w:rPr>
              <w:t>2. HIPOTEZA</w:t>
            </w:r>
            <w:r w:rsidR="00DC211A">
              <w:rPr>
                <w:noProof/>
                <w:webHidden/>
              </w:rPr>
              <w:tab/>
            </w:r>
            <w:r w:rsidR="00DC211A">
              <w:rPr>
                <w:noProof/>
                <w:webHidden/>
              </w:rPr>
              <w:fldChar w:fldCharType="begin"/>
            </w:r>
            <w:r w:rsidR="00DC211A">
              <w:rPr>
                <w:noProof/>
                <w:webHidden/>
              </w:rPr>
              <w:instrText xml:space="preserve"> PAGEREF _Toc7695562 \h </w:instrText>
            </w:r>
            <w:r w:rsidR="00DC211A">
              <w:rPr>
                <w:noProof/>
                <w:webHidden/>
              </w:rPr>
            </w:r>
            <w:r w:rsidR="00DC211A">
              <w:rPr>
                <w:noProof/>
                <w:webHidden/>
              </w:rPr>
              <w:fldChar w:fldCharType="separate"/>
            </w:r>
            <w:r w:rsidR="00B23F9B">
              <w:rPr>
                <w:noProof/>
                <w:webHidden/>
              </w:rPr>
              <w:t>5</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63" w:history="1">
            <w:r w:rsidR="00DC211A" w:rsidRPr="0023587F">
              <w:rPr>
                <w:rStyle w:val="Hyperlink"/>
                <w:noProof/>
              </w:rPr>
              <w:t>3. OPĆI CILJEVI RADA</w:t>
            </w:r>
            <w:r w:rsidR="00DC211A">
              <w:rPr>
                <w:noProof/>
                <w:webHidden/>
              </w:rPr>
              <w:tab/>
            </w:r>
            <w:r w:rsidR="00DC211A">
              <w:rPr>
                <w:noProof/>
                <w:webHidden/>
              </w:rPr>
              <w:fldChar w:fldCharType="begin"/>
            </w:r>
            <w:r w:rsidR="00DC211A">
              <w:rPr>
                <w:noProof/>
                <w:webHidden/>
              </w:rPr>
              <w:instrText xml:space="preserve"> PAGEREF _Toc7695563 \h </w:instrText>
            </w:r>
            <w:r w:rsidR="00DC211A">
              <w:rPr>
                <w:noProof/>
                <w:webHidden/>
              </w:rPr>
            </w:r>
            <w:r w:rsidR="00DC211A">
              <w:rPr>
                <w:noProof/>
                <w:webHidden/>
              </w:rPr>
              <w:fldChar w:fldCharType="separate"/>
            </w:r>
            <w:r w:rsidR="00B23F9B">
              <w:rPr>
                <w:noProof/>
                <w:webHidden/>
              </w:rPr>
              <w:t>5</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64" w:history="1">
            <w:r w:rsidR="00DC211A" w:rsidRPr="0023587F">
              <w:rPr>
                <w:rStyle w:val="Hyperlink"/>
                <w:noProof/>
              </w:rPr>
              <w:t>4. ISPITANICI I METODE</w:t>
            </w:r>
            <w:r w:rsidR="00DC211A">
              <w:rPr>
                <w:noProof/>
                <w:webHidden/>
              </w:rPr>
              <w:tab/>
            </w:r>
            <w:r w:rsidR="00DC211A">
              <w:rPr>
                <w:noProof/>
                <w:webHidden/>
              </w:rPr>
              <w:fldChar w:fldCharType="begin"/>
            </w:r>
            <w:r w:rsidR="00DC211A">
              <w:rPr>
                <w:noProof/>
                <w:webHidden/>
              </w:rPr>
              <w:instrText xml:space="preserve"> PAGEREF _Toc7695564 \h </w:instrText>
            </w:r>
            <w:r w:rsidR="00DC211A">
              <w:rPr>
                <w:noProof/>
                <w:webHidden/>
              </w:rPr>
            </w:r>
            <w:r w:rsidR="00DC211A">
              <w:rPr>
                <w:noProof/>
                <w:webHidden/>
              </w:rPr>
              <w:fldChar w:fldCharType="separate"/>
            </w:r>
            <w:r w:rsidR="00B23F9B">
              <w:rPr>
                <w:noProof/>
                <w:webHidden/>
              </w:rPr>
              <w:t>6</w:t>
            </w:r>
            <w:r w:rsidR="00DC211A">
              <w:rPr>
                <w:noProof/>
                <w:webHidden/>
              </w:rPr>
              <w:fldChar w:fldCharType="end"/>
            </w:r>
          </w:hyperlink>
        </w:p>
        <w:p w:rsidR="00DC211A" w:rsidRDefault="005669A4">
          <w:pPr>
            <w:pStyle w:val="TOC2"/>
            <w:tabs>
              <w:tab w:val="right" w:leader="dot" w:pos="9062"/>
            </w:tabs>
            <w:rPr>
              <w:rFonts w:asciiTheme="minorHAnsi" w:eastAsiaTheme="minorEastAsia" w:hAnsiTheme="minorHAnsi"/>
              <w:noProof/>
              <w:sz w:val="22"/>
              <w:lang w:eastAsia="hr-HR"/>
            </w:rPr>
          </w:pPr>
          <w:hyperlink w:anchor="_Toc7695565" w:history="1">
            <w:r w:rsidR="00DC211A" w:rsidRPr="0023587F">
              <w:rPr>
                <w:rStyle w:val="Hyperlink"/>
                <w:noProof/>
              </w:rPr>
              <w:t>4.1. Uzorci tkiva</w:t>
            </w:r>
            <w:r w:rsidR="00DC211A">
              <w:rPr>
                <w:noProof/>
                <w:webHidden/>
              </w:rPr>
              <w:tab/>
            </w:r>
            <w:r w:rsidR="00DC211A">
              <w:rPr>
                <w:noProof/>
                <w:webHidden/>
              </w:rPr>
              <w:fldChar w:fldCharType="begin"/>
            </w:r>
            <w:r w:rsidR="00DC211A">
              <w:rPr>
                <w:noProof/>
                <w:webHidden/>
              </w:rPr>
              <w:instrText xml:space="preserve"> PAGEREF _Toc7695565 \h </w:instrText>
            </w:r>
            <w:r w:rsidR="00DC211A">
              <w:rPr>
                <w:noProof/>
                <w:webHidden/>
              </w:rPr>
            </w:r>
            <w:r w:rsidR="00DC211A">
              <w:rPr>
                <w:noProof/>
                <w:webHidden/>
              </w:rPr>
              <w:fldChar w:fldCharType="separate"/>
            </w:r>
            <w:r w:rsidR="00B23F9B">
              <w:rPr>
                <w:noProof/>
                <w:webHidden/>
              </w:rPr>
              <w:t>6</w:t>
            </w:r>
            <w:r w:rsidR="00DC211A">
              <w:rPr>
                <w:noProof/>
                <w:webHidden/>
              </w:rPr>
              <w:fldChar w:fldCharType="end"/>
            </w:r>
          </w:hyperlink>
        </w:p>
        <w:p w:rsidR="00DC211A" w:rsidRDefault="005669A4">
          <w:pPr>
            <w:pStyle w:val="TOC2"/>
            <w:tabs>
              <w:tab w:val="right" w:leader="dot" w:pos="9062"/>
            </w:tabs>
            <w:rPr>
              <w:rFonts w:asciiTheme="minorHAnsi" w:eastAsiaTheme="minorEastAsia" w:hAnsiTheme="minorHAnsi"/>
              <w:noProof/>
              <w:sz w:val="22"/>
              <w:lang w:eastAsia="hr-HR"/>
            </w:rPr>
          </w:pPr>
          <w:hyperlink w:anchor="_Toc7695566" w:history="1">
            <w:r w:rsidR="00DC211A" w:rsidRPr="0023587F">
              <w:rPr>
                <w:rStyle w:val="Hyperlink"/>
                <w:noProof/>
              </w:rPr>
              <w:t>4.2. Imunohistokemijska analiza</w:t>
            </w:r>
            <w:r w:rsidR="00DC211A">
              <w:rPr>
                <w:noProof/>
                <w:webHidden/>
              </w:rPr>
              <w:tab/>
            </w:r>
            <w:r w:rsidR="00DC211A">
              <w:rPr>
                <w:noProof/>
                <w:webHidden/>
              </w:rPr>
              <w:fldChar w:fldCharType="begin"/>
            </w:r>
            <w:r w:rsidR="00DC211A">
              <w:rPr>
                <w:noProof/>
                <w:webHidden/>
              </w:rPr>
              <w:instrText xml:space="preserve"> PAGEREF _Toc7695566 \h </w:instrText>
            </w:r>
            <w:r w:rsidR="00DC211A">
              <w:rPr>
                <w:noProof/>
                <w:webHidden/>
              </w:rPr>
            </w:r>
            <w:r w:rsidR="00DC211A">
              <w:rPr>
                <w:noProof/>
                <w:webHidden/>
              </w:rPr>
              <w:fldChar w:fldCharType="separate"/>
            </w:r>
            <w:r w:rsidR="00B23F9B">
              <w:rPr>
                <w:noProof/>
                <w:webHidden/>
              </w:rPr>
              <w:t>6</w:t>
            </w:r>
            <w:r w:rsidR="00DC211A">
              <w:rPr>
                <w:noProof/>
                <w:webHidden/>
              </w:rPr>
              <w:fldChar w:fldCharType="end"/>
            </w:r>
          </w:hyperlink>
        </w:p>
        <w:p w:rsidR="00DC211A" w:rsidRDefault="005669A4">
          <w:pPr>
            <w:pStyle w:val="TOC3"/>
            <w:tabs>
              <w:tab w:val="right" w:leader="dot" w:pos="9062"/>
            </w:tabs>
            <w:rPr>
              <w:rFonts w:asciiTheme="minorHAnsi" w:hAnsiTheme="minorHAnsi"/>
              <w:noProof/>
              <w:sz w:val="22"/>
              <w:lang w:val="hr-HR" w:eastAsia="hr-HR"/>
            </w:rPr>
          </w:pPr>
          <w:hyperlink w:anchor="_Toc7695567" w:history="1">
            <w:r w:rsidR="00DC211A" w:rsidRPr="0023587F">
              <w:rPr>
                <w:rStyle w:val="Hyperlink"/>
                <w:noProof/>
              </w:rPr>
              <w:t>4.2.1. Priprema uzoraka</w:t>
            </w:r>
            <w:r w:rsidR="00DC211A">
              <w:rPr>
                <w:noProof/>
                <w:webHidden/>
              </w:rPr>
              <w:tab/>
            </w:r>
            <w:r w:rsidR="00DC211A">
              <w:rPr>
                <w:noProof/>
                <w:webHidden/>
              </w:rPr>
              <w:fldChar w:fldCharType="begin"/>
            </w:r>
            <w:r w:rsidR="00DC211A">
              <w:rPr>
                <w:noProof/>
                <w:webHidden/>
              </w:rPr>
              <w:instrText xml:space="preserve"> PAGEREF _Toc7695567 \h </w:instrText>
            </w:r>
            <w:r w:rsidR="00DC211A">
              <w:rPr>
                <w:noProof/>
                <w:webHidden/>
              </w:rPr>
            </w:r>
            <w:r w:rsidR="00DC211A">
              <w:rPr>
                <w:noProof/>
                <w:webHidden/>
              </w:rPr>
              <w:fldChar w:fldCharType="separate"/>
            </w:r>
            <w:r w:rsidR="00B23F9B">
              <w:rPr>
                <w:noProof/>
                <w:webHidden/>
              </w:rPr>
              <w:t>6</w:t>
            </w:r>
            <w:r w:rsidR="00DC211A">
              <w:rPr>
                <w:noProof/>
                <w:webHidden/>
              </w:rPr>
              <w:fldChar w:fldCharType="end"/>
            </w:r>
          </w:hyperlink>
        </w:p>
        <w:p w:rsidR="00DC211A" w:rsidRDefault="005669A4">
          <w:pPr>
            <w:pStyle w:val="TOC3"/>
            <w:tabs>
              <w:tab w:val="right" w:leader="dot" w:pos="9062"/>
            </w:tabs>
            <w:rPr>
              <w:rFonts w:asciiTheme="minorHAnsi" w:hAnsiTheme="minorHAnsi"/>
              <w:noProof/>
              <w:sz w:val="22"/>
              <w:lang w:val="hr-HR" w:eastAsia="hr-HR"/>
            </w:rPr>
          </w:pPr>
          <w:hyperlink w:anchor="_Toc7695568" w:history="1">
            <w:r w:rsidR="00DC211A" w:rsidRPr="0023587F">
              <w:rPr>
                <w:rStyle w:val="Hyperlink"/>
                <w:noProof/>
              </w:rPr>
              <w:t>4.2.2. Postupak imunohistokemijskog bojenja</w:t>
            </w:r>
            <w:r w:rsidR="00DC211A">
              <w:rPr>
                <w:noProof/>
                <w:webHidden/>
              </w:rPr>
              <w:tab/>
            </w:r>
            <w:r w:rsidR="00DC211A">
              <w:rPr>
                <w:noProof/>
                <w:webHidden/>
              </w:rPr>
              <w:fldChar w:fldCharType="begin"/>
            </w:r>
            <w:r w:rsidR="00DC211A">
              <w:rPr>
                <w:noProof/>
                <w:webHidden/>
              </w:rPr>
              <w:instrText xml:space="preserve"> PAGEREF _Toc7695568 \h </w:instrText>
            </w:r>
            <w:r w:rsidR="00DC211A">
              <w:rPr>
                <w:noProof/>
                <w:webHidden/>
              </w:rPr>
            </w:r>
            <w:r w:rsidR="00DC211A">
              <w:rPr>
                <w:noProof/>
                <w:webHidden/>
              </w:rPr>
              <w:fldChar w:fldCharType="separate"/>
            </w:r>
            <w:r w:rsidR="00B23F9B">
              <w:rPr>
                <w:noProof/>
                <w:webHidden/>
              </w:rPr>
              <w:t>6</w:t>
            </w:r>
            <w:r w:rsidR="00DC211A">
              <w:rPr>
                <w:noProof/>
                <w:webHidden/>
              </w:rPr>
              <w:fldChar w:fldCharType="end"/>
            </w:r>
          </w:hyperlink>
        </w:p>
        <w:p w:rsidR="00DC211A" w:rsidRDefault="005669A4">
          <w:pPr>
            <w:pStyle w:val="TOC3"/>
            <w:tabs>
              <w:tab w:val="right" w:leader="dot" w:pos="9062"/>
            </w:tabs>
            <w:rPr>
              <w:rFonts w:asciiTheme="minorHAnsi" w:hAnsiTheme="minorHAnsi"/>
              <w:noProof/>
              <w:sz w:val="22"/>
              <w:lang w:val="hr-HR" w:eastAsia="hr-HR"/>
            </w:rPr>
          </w:pPr>
          <w:hyperlink w:anchor="_Toc7695569" w:history="1">
            <w:r w:rsidR="00DC211A" w:rsidRPr="0023587F">
              <w:rPr>
                <w:rStyle w:val="Hyperlink"/>
                <w:noProof/>
              </w:rPr>
              <w:t>4.2.3. Semikvantitativna analiza imunohistokemijske ekspresije PTX3 proteina</w:t>
            </w:r>
            <w:r w:rsidR="00DC211A">
              <w:rPr>
                <w:noProof/>
                <w:webHidden/>
              </w:rPr>
              <w:tab/>
            </w:r>
            <w:r w:rsidR="00DC211A">
              <w:rPr>
                <w:noProof/>
                <w:webHidden/>
              </w:rPr>
              <w:fldChar w:fldCharType="begin"/>
            </w:r>
            <w:r w:rsidR="00DC211A">
              <w:rPr>
                <w:noProof/>
                <w:webHidden/>
              </w:rPr>
              <w:instrText xml:space="preserve"> PAGEREF _Toc7695569 \h </w:instrText>
            </w:r>
            <w:r w:rsidR="00DC211A">
              <w:rPr>
                <w:noProof/>
                <w:webHidden/>
              </w:rPr>
            </w:r>
            <w:r w:rsidR="00DC211A">
              <w:rPr>
                <w:noProof/>
                <w:webHidden/>
              </w:rPr>
              <w:fldChar w:fldCharType="separate"/>
            </w:r>
            <w:r w:rsidR="00B23F9B">
              <w:rPr>
                <w:noProof/>
                <w:webHidden/>
              </w:rPr>
              <w:t>7</w:t>
            </w:r>
            <w:r w:rsidR="00DC211A">
              <w:rPr>
                <w:noProof/>
                <w:webHidden/>
              </w:rPr>
              <w:fldChar w:fldCharType="end"/>
            </w:r>
          </w:hyperlink>
        </w:p>
        <w:p w:rsidR="00DC211A" w:rsidRDefault="005669A4">
          <w:pPr>
            <w:pStyle w:val="TOC2"/>
            <w:tabs>
              <w:tab w:val="right" w:leader="dot" w:pos="9062"/>
            </w:tabs>
            <w:rPr>
              <w:rFonts w:asciiTheme="minorHAnsi" w:eastAsiaTheme="minorEastAsia" w:hAnsiTheme="minorHAnsi"/>
              <w:noProof/>
              <w:sz w:val="22"/>
              <w:lang w:eastAsia="hr-HR"/>
            </w:rPr>
          </w:pPr>
          <w:hyperlink w:anchor="_Toc7695570" w:history="1">
            <w:r w:rsidR="00DC211A" w:rsidRPr="0023587F">
              <w:rPr>
                <w:rStyle w:val="Hyperlink"/>
                <w:noProof/>
              </w:rPr>
              <w:t>4.4. Izolacija RNA, reverzna transkripcija i qRT-PCR</w:t>
            </w:r>
            <w:r w:rsidR="00DC211A">
              <w:rPr>
                <w:noProof/>
                <w:webHidden/>
              </w:rPr>
              <w:tab/>
            </w:r>
            <w:r w:rsidR="00DC211A">
              <w:rPr>
                <w:noProof/>
                <w:webHidden/>
              </w:rPr>
              <w:fldChar w:fldCharType="begin"/>
            </w:r>
            <w:r w:rsidR="00DC211A">
              <w:rPr>
                <w:noProof/>
                <w:webHidden/>
              </w:rPr>
              <w:instrText xml:space="preserve"> PAGEREF _Toc7695570 \h </w:instrText>
            </w:r>
            <w:r w:rsidR="00DC211A">
              <w:rPr>
                <w:noProof/>
                <w:webHidden/>
              </w:rPr>
            </w:r>
            <w:r w:rsidR="00DC211A">
              <w:rPr>
                <w:noProof/>
                <w:webHidden/>
              </w:rPr>
              <w:fldChar w:fldCharType="separate"/>
            </w:r>
            <w:r w:rsidR="00B23F9B">
              <w:rPr>
                <w:noProof/>
                <w:webHidden/>
              </w:rPr>
              <w:t>7</w:t>
            </w:r>
            <w:r w:rsidR="00DC211A">
              <w:rPr>
                <w:noProof/>
                <w:webHidden/>
              </w:rPr>
              <w:fldChar w:fldCharType="end"/>
            </w:r>
          </w:hyperlink>
        </w:p>
        <w:p w:rsidR="00DC211A" w:rsidRDefault="005669A4">
          <w:pPr>
            <w:pStyle w:val="TOC2"/>
            <w:tabs>
              <w:tab w:val="right" w:leader="dot" w:pos="9062"/>
            </w:tabs>
            <w:rPr>
              <w:rFonts w:asciiTheme="minorHAnsi" w:eastAsiaTheme="minorEastAsia" w:hAnsiTheme="minorHAnsi"/>
              <w:noProof/>
              <w:sz w:val="22"/>
              <w:lang w:eastAsia="hr-HR"/>
            </w:rPr>
          </w:pPr>
          <w:hyperlink w:anchor="_Toc7695571" w:history="1">
            <w:r w:rsidR="00DC211A" w:rsidRPr="0023587F">
              <w:rPr>
                <w:rStyle w:val="Hyperlink"/>
                <w:noProof/>
              </w:rPr>
              <w:t>4.5. Statistička obrada podataka</w:t>
            </w:r>
            <w:r w:rsidR="00DC211A">
              <w:rPr>
                <w:noProof/>
                <w:webHidden/>
              </w:rPr>
              <w:tab/>
            </w:r>
            <w:r w:rsidR="00DC211A">
              <w:rPr>
                <w:noProof/>
                <w:webHidden/>
              </w:rPr>
              <w:fldChar w:fldCharType="begin"/>
            </w:r>
            <w:r w:rsidR="00DC211A">
              <w:rPr>
                <w:noProof/>
                <w:webHidden/>
              </w:rPr>
              <w:instrText xml:space="preserve"> PAGEREF _Toc7695571 \h </w:instrText>
            </w:r>
            <w:r w:rsidR="00DC211A">
              <w:rPr>
                <w:noProof/>
                <w:webHidden/>
              </w:rPr>
            </w:r>
            <w:r w:rsidR="00DC211A">
              <w:rPr>
                <w:noProof/>
                <w:webHidden/>
              </w:rPr>
              <w:fldChar w:fldCharType="separate"/>
            </w:r>
            <w:r w:rsidR="00B23F9B">
              <w:rPr>
                <w:noProof/>
                <w:webHidden/>
              </w:rPr>
              <w:t>8</w:t>
            </w:r>
            <w:r w:rsidR="00DC211A">
              <w:rPr>
                <w:noProof/>
                <w:webHidden/>
              </w:rPr>
              <w:fldChar w:fldCharType="end"/>
            </w:r>
          </w:hyperlink>
        </w:p>
        <w:p w:rsidR="00DC211A" w:rsidRDefault="005669A4">
          <w:pPr>
            <w:pStyle w:val="TOC2"/>
            <w:tabs>
              <w:tab w:val="right" w:leader="dot" w:pos="9062"/>
            </w:tabs>
            <w:rPr>
              <w:rFonts w:asciiTheme="minorHAnsi" w:eastAsiaTheme="minorEastAsia" w:hAnsiTheme="minorHAnsi"/>
              <w:noProof/>
              <w:sz w:val="22"/>
              <w:lang w:eastAsia="hr-HR"/>
            </w:rPr>
          </w:pPr>
          <w:hyperlink w:anchor="_Toc7695572" w:history="1">
            <w:r w:rsidR="00DC211A" w:rsidRPr="0023587F">
              <w:rPr>
                <w:rStyle w:val="Hyperlink"/>
                <w:noProof/>
              </w:rPr>
              <w:t>5. REZULTATI</w:t>
            </w:r>
            <w:r w:rsidR="00DC211A">
              <w:rPr>
                <w:noProof/>
                <w:webHidden/>
              </w:rPr>
              <w:tab/>
            </w:r>
            <w:r w:rsidR="00DC211A">
              <w:rPr>
                <w:noProof/>
                <w:webHidden/>
              </w:rPr>
              <w:fldChar w:fldCharType="begin"/>
            </w:r>
            <w:r w:rsidR="00DC211A">
              <w:rPr>
                <w:noProof/>
                <w:webHidden/>
              </w:rPr>
              <w:instrText xml:space="preserve"> PAGEREF _Toc7695572 \h </w:instrText>
            </w:r>
            <w:r w:rsidR="00DC211A">
              <w:rPr>
                <w:noProof/>
                <w:webHidden/>
              </w:rPr>
            </w:r>
            <w:r w:rsidR="00DC211A">
              <w:rPr>
                <w:noProof/>
                <w:webHidden/>
              </w:rPr>
              <w:fldChar w:fldCharType="separate"/>
            </w:r>
            <w:r w:rsidR="00B23F9B">
              <w:rPr>
                <w:noProof/>
                <w:webHidden/>
              </w:rPr>
              <w:t>9</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73" w:history="1">
            <w:r w:rsidR="00DC211A" w:rsidRPr="0023587F">
              <w:rPr>
                <w:rStyle w:val="Hyperlink"/>
                <w:noProof/>
              </w:rPr>
              <w:t>6. RASPRAVA</w:t>
            </w:r>
            <w:r w:rsidR="00DC211A">
              <w:rPr>
                <w:noProof/>
                <w:webHidden/>
              </w:rPr>
              <w:tab/>
            </w:r>
            <w:r w:rsidR="00DC211A">
              <w:rPr>
                <w:noProof/>
                <w:webHidden/>
              </w:rPr>
              <w:fldChar w:fldCharType="begin"/>
            </w:r>
            <w:r w:rsidR="00DC211A">
              <w:rPr>
                <w:noProof/>
                <w:webHidden/>
              </w:rPr>
              <w:instrText xml:space="preserve"> PAGEREF _Toc7695573 \h </w:instrText>
            </w:r>
            <w:r w:rsidR="00DC211A">
              <w:rPr>
                <w:noProof/>
                <w:webHidden/>
              </w:rPr>
            </w:r>
            <w:r w:rsidR="00DC211A">
              <w:rPr>
                <w:noProof/>
                <w:webHidden/>
              </w:rPr>
              <w:fldChar w:fldCharType="separate"/>
            </w:r>
            <w:r w:rsidR="00B23F9B">
              <w:rPr>
                <w:noProof/>
                <w:webHidden/>
              </w:rPr>
              <w:t>16</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74" w:history="1">
            <w:r w:rsidR="00DC211A" w:rsidRPr="0023587F">
              <w:rPr>
                <w:rStyle w:val="Hyperlink"/>
                <w:noProof/>
              </w:rPr>
              <w:t>7. ZAKLJUČCI</w:t>
            </w:r>
            <w:r w:rsidR="00DC211A">
              <w:rPr>
                <w:noProof/>
                <w:webHidden/>
              </w:rPr>
              <w:tab/>
            </w:r>
            <w:r w:rsidR="00DC211A">
              <w:rPr>
                <w:noProof/>
                <w:webHidden/>
              </w:rPr>
              <w:fldChar w:fldCharType="begin"/>
            </w:r>
            <w:r w:rsidR="00DC211A">
              <w:rPr>
                <w:noProof/>
                <w:webHidden/>
              </w:rPr>
              <w:instrText xml:space="preserve"> PAGEREF _Toc7695574 \h </w:instrText>
            </w:r>
            <w:r w:rsidR="00DC211A">
              <w:rPr>
                <w:noProof/>
                <w:webHidden/>
              </w:rPr>
            </w:r>
            <w:r w:rsidR="00DC211A">
              <w:rPr>
                <w:noProof/>
                <w:webHidden/>
              </w:rPr>
              <w:fldChar w:fldCharType="separate"/>
            </w:r>
            <w:r w:rsidR="00B23F9B">
              <w:rPr>
                <w:noProof/>
                <w:webHidden/>
              </w:rPr>
              <w:t>18</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75" w:history="1">
            <w:r w:rsidR="00DC211A" w:rsidRPr="0023587F">
              <w:rPr>
                <w:rStyle w:val="Hyperlink"/>
                <w:noProof/>
              </w:rPr>
              <w:t>8. ZAHVALE</w:t>
            </w:r>
            <w:r w:rsidR="00DC211A">
              <w:rPr>
                <w:noProof/>
                <w:webHidden/>
              </w:rPr>
              <w:tab/>
            </w:r>
            <w:r w:rsidR="00DC211A">
              <w:rPr>
                <w:noProof/>
                <w:webHidden/>
              </w:rPr>
              <w:fldChar w:fldCharType="begin"/>
            </w:r>
            <w:r w:rsidR="00DC211A">
              <w:rPr>
                <w:noProof/>
                <w:webHidden/>
              </w:rPr>
              <w:instrText xml:space="preserve"> PAGEREF _Toc7695575 \h </w:instrText>
            </w:r>
            <w:r w:rsidR="00DC211A">
              <w:rPr>
                <w:noProof/>
                <w:webHidden/>
              </w:rPr>
            </w:r>
            <w:r w:rsidR="00DC211A">
              <w:rPr>
                <w:noProof/>
                <w:webHidden/>
              </w:rPr>
              <w:fldChar w:fldCharType="separate"/>
            </w:r>
            <w:r w:rsidR="00B23F9B">
              <w:rPr>
                <w:noProof/>
                <w:webHidden/>
              </w:rPr>
              <w:t>19</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76" w:history="1">
            <w:r w:rsidR="00DC211A" w:rsidRPr="0023587F">
              <w:rPr>
                <w:rStyle w:val="Hyperlink"/>
                <w:noProof/>
              </w:rPr>
              <w:t>9. POPIS LITERATURE</w:t>
            </w:r>
            <w:r w:rsidR="00DC211A">
              <w:rPr>
                <w:noProof/>
                <w:webHidden/>
              </w:rPr>
              <w:tab/>
            </w:r>
            <w:r w:rsidR="00DC211A">
              <w:rPr>
                <w:noProof/>
                <w:webHidden/>
              </w:rPr>
              <w:fldChar w:fldCharType="begin"/>
            </w:r>
            <w:r w:rsidR="00DC211A">
              <w:rPr>
                <w:noProof/>
                <w:webHidden/>
              </w:rPr>
              <w:instrText xml:space="preserve"> PAGEREF _Toc7695576 \h </w:instrText>
            </w:r>
            <w:r w:rsidR="00DC211A">
              <w:rPr>
                <w:noProof/>
                <w:webHidden/>
              </w:rPr>
            </w:r>
            <w:r w:rsidR="00DC211A">
              <w:rPr>
                <w:noProof/>
                <w:webHidden/>
              </w:rPr>
              <w:fldChar w:fldCharType="separate"/>
            </w:r>
            <w:r w:rsidR="00B23F9B">
              <w:rPr>
                <w:noProof/>
                <w:webHidden/>
              </w:rPr>
              <w:t>20</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77" w:history="1">
            <w:r w:rsidR="00DC211A" w:rsidRPr="0023587F">
              <w:rPr>
                <w:rStyle w:val="Hyperlink"/>
                <w:noProof/>
              </w:rPr>
              <w:t>10. SAŽETAK</w:t>
            </w:r>
            <w:r w:rsidR="00DC211A">
              <w:rPr>
                <w:noProof/>
                <w:webHidden/>
              </w:rPr>
              <w:tab/>
            </w:r>
            <w:r w:rsidR="00DC211A">
              <w:rPr>
                <w:noProof/>
                <w:webHidden/>
              </w:rPr>
              <w:fldChar w:fldCharType="begin"/>
            </w:r>
            <w:r w:rsidR="00DC211A">
              <w:rPr>
                <w:noProof/>
                <w:webHidden/>
              </w:rPr>
              <w:instrText xml:space="preserve"> PAGEREF _Toc7695577 \h </w:instrText>
            </w:r>
            <w:r w:rsidR="00DC211A">
              <w:rPr>
                <w:noProof/>
                <w:webHidden/>
              </w:rPr>
            </w:r>
            <w:r w:rsidR="00DC211A">
              <w:rPr>
                <w:noProof/>
                <w:webHidden/>
              </w:rPr>
              <w:fldChar w:fldCharType="separate"/>
            </w:r>
            <w:r w:rsidR="00B23F9B">
              <w:rPr>
                <w:noProof/>
                <w:webHidden/>
              </w:rPr>
              <w:t>24</w:t>
            </w:r>
            <w:r w:rsidR="00DC211A">
              <w:rPr>
                <w:noProof/>
                <w:webHidden/>
              </w:rPr>
              <w:fldChar w:fldCharType="end"/>
            </w:r>
          </w:hyperlink>
        </w:p>
        <w:p w:rsidR="00DC211A" w:rsidRDefault="005669A4">
          <w:pPr>
            <w:pStyle w:val="TOC1"/>
            <w:tabs>
              <w:tab w:val="right" w:leader="dot" w:pos="9062"/>
            </w:tabs>
            <w:rPr>
              <w:rFonts w:asciiTheme="minorHAnsi" w:hAnsiTheme="minorHAnsi"/>
              <w:noProof/>
              <w:sz w:val="22"/>
              <w:lang w:val="hr-HR" w:eastAsia="hr-HR"/>
            </w:rPr>
          </w:pPr>
          <w:hyperlink w:anchor="_Toc7695578" w:history="1">
            <w:r w:rsidR="00DC211A" w:rsidRPr="0023587F">
              <w:rPr>
                <w:rStyle w:val="Hyperlink"/>
                <w:noProof/>
              </w:rPr>
              <w:t>11. ABSTRACT</w:t>
            </w:r>
            <w:r w:rsidR="00DC211A">
              <w:rPr>
                <w:noProof/>
                <w:webHidden/>
              </w:rPr>
              <w:tab/>
            </w:r>
            <w:r w:rsidR="00DC211A">
              <w:rPr>
                <w:noProof/>
                <w:webHidden/>
              </w:rPr>
              <w:fldChar w:fldCharType="begin"/>
            </w:r>
            <w:r w:rsidR="00DC211A">
              <w:rPr>
                <w:noProof/>
                <w:webHidden/>
              </w:rPr>
              <w:instrText xml:space="preserve"> PAGEREF _Toc7695578 \h </w:instrText>
            </w:r>
            <w:r w:rsidR="00DC211A">
              <w:rPr>
                <w:noProof/>
                <w:webHidden/>
              </w:rPr>
            </w:r>
            <w:r w:rsidR="00DC211A">
              <w:rPr>
                <w:noProof/>
                <w:webHidden/>
              </w:rPr>
              <w:fldChar w:fldCharType="separate"/>
            </w:r>
            <w:r w:rsidR="00B23F9B">
              <w:rPr>
                <w:noProof/>
                <w:webHidden/>
              </w:rPr>
              <w:t>25</w:t>
            </w:r>
            <w:r w:rsidR="00DC211A">
              <w:rPr>
                <w:noProof/>
                <w:webHidden/>
              </w:rPr>
              <w:fldChar w:fldCharType="end"/>
            </w:r>
          </w:hyperlink>
        </w:p>
        <w:p w:rsidR="00382CC4" w:rsidRDefault="00382CC4">
          <w:r>
            <w:rPr>
              <w:b/>
              <w:bCs/>
              <w:noProof/>
            </w:rPr>
            <w:fldChar w:fldCharType="end"/>
          </w:r>
        </w:p>
      </w:sdtContent>
    </w:sdt>
    <w:p w:rsidR="003C662F" w:rsidRPr="0046118F" w:rsidRDefault="0046118F" w:rsidP="0046118F">
      <w:pPr>
        <w:pStyle w:val="Heading1"/>
        <w:rPr>
          <w:rStyle w:val="Strong"/>
        </w:rPr>
      </w:pPr>
      <w:r>
        <w:rPr>
          <w:rStyle w:val="Strong"/>
        </w:rPr>
        <w:br/>
      </w:r>
      <w:r w:rsidR="003C662F" w:rsidRPr="0046118F">
        <w:rPr>
          <w:rStyle w:val="Strong"/>
        </w:rPr>
        <w:br w:type="page"/>
      </w:r>
    </w:p>
    <w:p w:rsidR="00C57D02" w:rsidRDefault="00C57D02" w:rsidP="003C662F">
      <w:pPr>
        <w:jc w:val="both"/>
        <w:rPr>
          <w:rStyle w:val="Strong"/>
          <w:rFonts w:cs="Times New Roman"/>
          <w:szCs w:val="24"/>
        </w:rPr>
        <w:sectPr w:rsidR="00C57D02" w:rsidSect="00C57D02">
          <w:footerReference w:type="default" r:id="rId9"/>
          <w:pgSz w:w="11906" w:h="16838"/>
          <w:pgMar w:top="1417" w:right="1417" w:bottom="1417" w:left="1417" w:header="708" w:footer="708" w:gutter="0"/>
          <w:pgNumType w:start="1"/>
          <w:cols w:space="708"/>
          <w:docGrid w:linePitch="360"/>
        </w:sectPr>
      </w:pPr>
    </w:p>
    <w:p w:rsidR="00E732FF" w:rsidRPr="00E732FF" w:rsidRDefault="00E732FF" w:rsidP="00E732FF">
      <w:pPr>
        <w:pStyle w:val="Heading1"/>
      </w:pPr>
      <w:bookmarkStart w:id="0" w:name="_Toc7695559"/>
      <w:r>
        <w:lastRenderedPageBreak/>
        <w:t>1. UVOD</w:t>
      </w:r>
      <w:bookmarkEnd w:id="0"/>
    </w:p>
    <w:p w:rsidR="00E732FF" w:rsidRDefault="00E732FF" w:rsidP="00E732FF">
      <w:pPr>
        <w:pStyle w:val="Heading2"/>
        <w:numPr>
          <w:ilvl w:val="1"/>
          <w:numId w:val="18"/>
        </w:numPr>
        <w:spacing w:after="300"/>
        <w:ind w:left="641" w:hanging="357"/>
      </w:pPr>
      <w:bookmarkStart w:id="1" w:name="_Toc7695560"/>
      <w:r>
        <w:t>Karcinom želuca</w:t>
      </w:r>
      <w:bookmarkEnd w:id="1"/>
    </w:p>
    <w:p w:rsidR="00F529BC" w:rsidRPr="00FC5A3E" w:rsidRDefault="00DB17EF" w:rsidP="00E67E82">
      <w:pPr>
        <w:spacing w:line="360" w:lineRule="auto"/>
        <w:jc w:val="both"/>
        <w:rPr>
          <w:rStyle w:val="Strong"/>
          <w:b w:val="0"/>
          <w:sz w:val="20"/>
          <w:szCs w:val="20"/>
        </w:rPr>
      </w:pPr>
      <w:r w:rsidRPr="00FC5A3E">
        <w:rPr>
          <w:rStyle w:val="Strong"/>
          <w:b w:val="0"/>
          <w:sz w:val="20"/>
          <w:szCs w:val="20"/>
        </w:rPr>
        <w:t>Prema GLOBOCAN podacima za 2018. godinu u svijetu se godišnje dijagnosticira preko m</w:t>
      </w:r>
      <w:r w:rsidR="00753810" w:rsidRPr="00FC5A3E">
        <w:rPr>
          <w:rStyle w:val="Strong"/>
          <w:b w:val="0"/>
          <w:sz w:val="20"/>
          <w:szCs w:val="20"/>
        </w:rPr>
        <w:t>ilijun novih slučajeva raka</w:t>
      </w:r>
      <w:r w:rsidRPr="00FC5A3E">
        <w:rPr>
          <w:rStyle w:val="Strong"/>
          <w:b w:val="0"/>
          <w:sz w:val="20"/>
          <w:szCs w:val="20"/>
        </w:rPr>
        <w:t xml:space="preserve"> želuca. Procjenjuje se da je oko </w:t>
      </w:r>
      <w:r w:rsidR="00753810" w:rsidRPr="00FC5A3E">
        <w:rPr>
          <w:rStyle w:val="Strong"/>
          <w:b w:val="0"/>
          <w:sz w:val="20"/>
          <w:szCs w:val="20"/>
        </w:rPr>
        <w:t>783 000 ljudi umrlo od raka</w:t>
      </w:r>
      <w:r w:rsidRPr="00FC5A3E">
        <w:rPr>
          <w:rStyle w:val="Strong"/>
          <w:b w:val="0"/>
          <w:sz w:val="20"/>
          <w:szCs w:val="20"/>
        </w:rPr>
        <w:t xml:space="preserve"> želuca u 2018. godini. </w:t>
      </w:r>
      <w:r w:rsidR="00753810" w:rsidRPr="00FC5A3E">
        <w:rPr>
          <w:rStyle w:val="Strong"/>
          <w:b w:val="0"/>
          <w:sz w:val="20"/>
          <w:szCs w:val="20"/>
        </w:rPr>
        <w:t xml:space="preserve">Rak želuca peta je najčešća zloćudna novotvorina u svijetu, a  ujedno je i treći najčešći uzrok </w:t>
      </w:r>
      <w:r w:rsidR="00700306" w:rsidRPr="00FC5A3E">
        <w:rPr>
          <w:rStyle w:val="Strong"/>
          <w:b w:val="0"/>
          <w:sz w:val="20"/>
          <w:szCs w:val="20"/>
        </w:rPr>
        <w:t>smrti od zloćudnih novotvorina</w:t>
      </w:r>
      <w:r w:rsidR="002D159D" w:rsidRPr="00FC5A3E">
        <w:rPr>
          <w:rStyle w:val="Strong"/>
          <w:b w:val="0"/>
          <w:sz w:val="20"/>
          <w:szCs w:val="20"/>
        </w:rPr>
        <w:t xml:space="preserve"> </w:t>
      </w:r>
      <w:r w:rsidR="002D159D" w:rsidRPr="00FC5A3E">
        <w:rPr>
          <w:rStyle w:val="Strong"/>
          <w:b w:val="0"/>
          <w:sz w:val="20"/>
          <w:szCs w:val="20"/>
        </w:rPr>
        <w:fldChar w:fldCharType="begin" w:fldLock="1"/>
      </w:r>
      <w:r w:rsidR="00BD6497" w:rsidRPr="00FC5A3E">
        <w:rPr>
          <w:rStyle w:val="Strong"/>
          <w:b w:val="0"/>
          <w:sz w:val="20"/>
          <w:szCs w:val="20"/>
        </w:rPr>
        <w:instrText>ADDIN CSL_CITATION {"citationItems":[{"id":"ITEM-1","itemData":{"DOI":"10.3322/caac.21492","ISSN":"1542-4863","PMID":"30207593","abstract":"This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clinicians","id":"ITEM-1","issue":"6","issued":{"date-parts":[["2018"]]},"page":"394-424","title":"Global cancer statistics 2018: GLOBOCAN estimates of incidence and mortality worldwide for 36 cancers in 185 countries.","type":"article-journal","volume":"68"},"uris":["http://www.mendeley.com/documents/?uuid=f8768d8d-7990-43e4-bdc6-3ee8dcda3945"]}],"mendeley":{"formattedCitation":"(Bray &lt;i&gt;et al.&lt;/i&gt;, 2018)","manualFormatting":"(Bray i sur., 2018)","plainTextFormattedCitation":"(Bray et al., 2018)","previouslyFormattedCitation":"(Bray &lt;i&gt;et al.&lt;/i&gt;, 2018)"},"properties":{"noteIndex":0},"schema":"https://github.com/citation-style-language/schema/raw/master/csl-citation.json"}</w:instrText>
      </w:r>
      <w:r w:rsidR="002D159D" w:rsidRPr="00FC5A3E">
        <w:rPr>
          <w:rStyle w:val="Strong"/>
          <w:b w:val="0"/>
          <w:sz w:val="20"/>
          <w:szCs w:val="20"/>
        </w:rPr>
        <w:fldChar w:fldCharType="separate"/>
      </w:r>
      <w:r w:rsidR="002D159D" w:rsidRPr="00FC5A3E">
        <w:rPr>
          <w:rStyle w:val="Strong"/>
          <w:b w:val="0"/>
          <w:noProof/>
          <w:sz w:val="20"/>
          <w:szCs w:val="20"/>
        </w:rPr>
        <w:t xml:space="preserve">(Bray </w:t>
      </w:r>
      <w:r w:rsidR="002D159D" w:rsidRPr="00FC5A3E">
        <w:rPr>
          <w:rStyle w:val="Strong"/>
          <w:b w:val="0"/>
          <w:i/>
          <w:noProof/>
          <w:sz w:val="20"/>
          <w:szCs w:val="20"/>
        </w:rPr>
        <w:t>i sur.,</w:t>
      </w:r>
      <w:r w:rsidR="002D159D" w:rsidRPr="00FC5A3E">
        <w:rPr>
          <w:rStyle w:val="Strong"/>
          <w:b w:val="0"/>
          <w:noProof/>
          <w:sz w:val="20"/>
          <w:szCs w:val="20"/>
        </w:rPr>
        <w:t xml:space="preserve"> 2018)</w:t>
      </w:r>
      <w:r w:rsidR="002D159D" w:rsidRPr="00FC5A3E">
        <w:rPr>
          <w:rStyle w:val="Strong"/>
          <w:b w:val="0"/>
          <w:sz w:val="20"/>
          <w:szCs w:val="20"/>
        </w:rPr>
        <w:fldChar w:fldCharType="end"/>
      </w:r>
      <w:r w:rsidR="00700306" w:rsidRPr="00FC5A3E">
        <w:rPr>
          <w:rStyle w:val="Strong"/>
          <w:b w:val="0"/>
          <w:sz w:val="20"/>
          <w:szCs w:val="20"/>
        </w:rPr>
        <w:t>.</w:t>
      </w:r>
      <w:r w:rsidR="00793D01" w:rsidRPr="00FC5A3E">
        <w:rPr>
          <w:rStyle w:val="Strong"/>
          <w:b w:val="0"/>
          <w:sz w:val="20"/>
          <w:szCs w:val="20"/>
        </w:rPr>
        <w:t xml:space="preserve"> Incidencija karcinoma želuca jako varira u ovisnosti o regionalnoj i kulturološkoj pripadnosti. </w:t>
      </w:r>
      <w:r w:rsidR="00703583" w:rsidRPr="00FC5A3E">
        <w:rPr>
          <w:rStyle w:val="Strong"/>
          <w:b w:val="0"/>
          <w:sz w:val="20"/>
          <w:szCs w:val="20"/>
        </w:rPr>
        <w:t>Najveće stope incidencije i mortaliteta bilježe se</w:t>
      </w:r>
      <w:r w:rsidR="00793D01" w:rsidRPr="00FC5A3E">
        <w:rPr>
          <w:rStyle w:val="Strong"/>
          <w:b w:val="0"/>
          <w:sz w:val="20"/>
          <w:szCs w:val="20"/>
        </w:rPr>
        <w:t xml:space="preserve"> </w:t>
      </w:r>
      <w:r w:rsidR="00703583" w:rsidRPr="00FC5A3E">
        <w:rPr>
          <w:rStyle w:val="Strong"/>
          <w:b w:val="0"/>
          <w:sz w:val="20"/>
          <w:szCs w:val="20"/>
        </w:rPr>
        <w:t>u Istočnoj i S</w:t>
      </w:r>
      <w:r w:rsidR="00793D01" w:rsidRPr="00FC5A3E">
        <w:rPr>
          <w:rStyle w:val="Strong"/>
          <w:b w:val="0"/>
          <w:sz w:val="20"/>
          <w:szCs w:val="20"/>
        </w:rPr>
        <w:t>redišn</w:t>
      </w:r>
      <w:r w:rsidR="00703583" w:rsidRPr="00FC5A3E">
        <w:rPr>
          <w:rStyle w:val="Strong"/>
          <w:b w:val="0"/>
          <w:sz w:val="20"/>
          <w:szCs w:val="20"/>
        </w:rPr>
        <w:t>joj Aziji te u Latinskoj Americi</w:t>
      </w:r>
      <w:r w:rsidR="00BD6497" w:rsidRPr="00FC5A3E">
        <w:rPr>
          <w:rStyle w:val="Strong"/>
          <w:b w:val="0"/>
          <w:sz w:val="20"/>
          <w:szCs w:val="20"/>
        </w:rPr>
        <w:t xml:space="preserve"> </w:t>
      </w:r>
      <w:r w:rsidR="00BD6497" w:rsidRPr="00FC5A3E">
        <w:rPr>
          <w:rStyle w:val="Strong"/>
          <w:b w:val="0"/>
          <w:sz w:val="20"/>
          <w:szCs w:val="20"/>
        </w:rPr>
        <w:fldChar w:fldCharType="begin" w:fldLock="1"/>
      </w:r>
      <w:r w:rsidR="00BD6497" w:rsidRPr="00FC5A3E">
        <w:rPr>
          <w:rStyle w:val="Strong"/>
          <w:b w:val="0"/>
          <w:sz w:val="20"/>
          <w:szCs w:val="20"/>
        </w:rPr>
        <w:instrText>ADDIN CSL_CITATION {"citationItems":[{"id":"ITEM-1","itemData":{"DOI":"10.1007/s11894-017-0575-8","ISBN":"1189401705758","ISSN":"1534312X","abstract":"The paper aims to discuss the global trends in gastric cancer incidence in relation to important factors involved in the pathogenesis of gastric cancer.","author":[{"dropping-particle":"","family":"Balakrishnan","given":"Maya","non-dropping-particle":"","parse-names":false,"suffix":""},{"dropping-particle":"","family":"George","given":"Rollin","non-dropping-particle":"","parse-names":false,"suffix":""},{"dropping-particle":"","family":"Sharma","given":"Ashish","non-dropping-particle":"","parse-names":false,"suffix":""},{"dropping-particle":"","family":"Graham","given":"David Y.","non-dropping-particle":"","parse-names":false,"suffix":""}],"container-title":"Current Gastroenterology Reports","id":"ITEM-1","issue":"8","issued":{"date-parts":[["2017"]]},"publisher":"Current Gastroenterology Reports","title":"Changing Trends in Stomach Cancer Throughout the World","type":"article-journal","volume":"19"},"uris":["http://www.mendeley.com/documents/?uuid=17371c8b-3b97-42b0-8e66-9a13376f93c4"]}],"mendeley":{"formattedCitation":"(Balakrishnan &lt;i&gt;et al.&lt;/i&gt;, 2017)","manualFormatting":"(Balakrishnan i sur., 2017)","plainTextFormattedCitation":"(Balakrishnan et al., 2017)","previouslyFormattedCitation":"(Balakrishnan &lt;i&gt;et al.&lt;/i&gt;, 2017)"},"properties":{"noteIndex":0},"schema":"https://github.com/citation-style-language/schema/raw/master/csl-citation.json"}</w:instrText>
      </w:r>
      <w:r w:rsidR="00BD6497" w:rsidRPr="00FC5A3E">
        <w:rPr>
          <w:rStyle w:val="Strong"/>
          <w:b w:val="0"/>
          <w:sz w:val="20"/>
          <w:szCs w:val="20"/>
        </w:rPr>
        <w:fldChar w:fldCharType="separate"/>
      </w:r>
      <w:r w:rsidR="00BD6497" w:rsidRPr="00FC5A3E">
        <w:rPr>
          <w:rStyle w:val="Strong"/>
          <w:b w:val="0"/>
          <w:noProof/>
          <w:sz w:val="20"/>
          <w:szCs w:val="20"/>
        </w:rPr>
        <w:t xml:space="preserve">(Balakrishnan </w:t>
      </w:r>
      <w:r w:rsidR="00BD6497" w:rsidRPr="00FC5A3E">
        <w:rPr>
          <w:rStyle w:val="Strong"/>
          <w:b w:val="0"/>
          <w:i/>
          <w:noProof/>
          <w:sz w:val="20"/>
          <w:szCs w:val="20"/>
        </w:rPr>
        <w:t>i sur.,</w:t>
      </w:r>
      <w:r w:rsidR="00BD6497" w:rsidRPr="00FC5A3E">
        <w:rPr>
          <w:rStyle w:val="Strong"/>
          <w:b w:val="0"/>
          <w:noProof/>
          <w:sz w:val="20"/>
          <w:szCs w:val="20"/>
        </w:rPr>
        <w:t xml:space="preserve"> 2017)</w:t>
      </w:r>
      <w:r w:rsidR="00BD6497" w:rsidRPr="00FC5A3E">
        <w:rPr>
          <w:rStyle w:val="Strong"/>
          <w:b w:val="0"/>
          <w:sz w:val="20"/>
          <w:szCs w:val="20"/>
        </w:rPr>
        <w:fldChar w:fldCharType="end"/>
      </w:r>
      <w:r w:rsidR="00703583" w:rsidRPr="00FC5A3E">
        <w:rPr>
          <w:rStyle w:val="Strong"/>
          <w:b w:val="0"/>
          <w:sz w:val="20"/>
          <w:szCs w:val="20"/>
        </w:rPr>
        <w:t>.</w:t>
      </w:r>
      <w:r w:rsidR="00793D01" w:rsidRPr="00FC5A3E">
        <w:rPr>
          <w:rStyle w:val="Strong"/>
          <w:b w:val="0"/>
          <w:sz w:val="20"/>
          <w:szCs w:val="20"/>
        </w:rPr>
        <w:t xml:space="preserve"> </w:t>
      </w:r>
      <w:r w:rsidR="00E732FF" w:rsidRPr="00FC5A3E">
        <w:rPr>
          <w:rStyle w:val="Strong"/>
          <w:b w:val="0"/>
          <w:sz w:val="20"/>
          <w:szCs w:val="20"/>
        </w:rPr>
        <w:t>U Hrvatskoj je u 2016. godini od raka želuca oboljelo 576 muškaraca i 372 žene. Stopa incidencije za muškarce iznosila je 28.6/100 000, a za žene 17.2/100 000. Dakle, rak želuca šesto je najčešće sijelo raka kod muškaraca i deveto najčešće sijelo raka kod žena u</w:t>
      </w:r>
      <w:r w:rsidR="00793D01" w:rsidRPr="00FC5A3E">
        <w:rPr>
          <w:rStyle w:val="Strong"/>
          <w:b w:val="0"/>
          <w:sz w:val="20"/>
          <w:szCs w:val="20"/>
        </w:rPr>
        <w:t xml:space="preserve"> Republici Hrvatskoj </w:t>
      </w:r>
      <w:r w:rsidR="00BD6497" w:rsidRPr="00FC5A3E">
        <w:rPr>
          <w:rStyle w:val="Strong"/>
          <w:b w:val="0"/>
          <w:sz w:val="20"/>
          <w:szCs w:val="20"/>
        </w:rPr>
        <w:fldChar w:fldCharType="begin" w:fldLock="1"/>
      </w:r>
      <w:r w:rsidR="00BD6497" w:rsidRPr="00FC5A3E">
        <w:rPr>
          <w:rStyle w:val="Strong"/>
          <w:b w:val="0"/>
          <w:sz w:val="20"/>
          <w:szCs w:val="20"/>
        </w:rPr>
        <w:instrText>ADDIN CSL_CITATION {"citationItems":[{"id":"ITEM-1","itemData":{"author":[{"dropping-particle":"","family":"Hrvatski zavod za javno zdravstvo","given":"","non-dropping-particle":"","parse-names":false,"suffix":""}],"id":"ITEM-1","issue":"41","issued":{"date-parts":[["2016"]]},"title":"Registar za rak Republike Hrvatske. Incidencija raka u Hrvatskoj 2014.","type":"article-journal"},"uris":["http://www.mendeley.com/documents/?uuid=6410f755-608d-47dc-9a77-1370dd89657a"]}],"mendeley":{"formattedCitation":"(Hrvatski zavod za javno zdravstvo, 2016)","plainTextFormattedCitation":"(Hrvatski zavod za javno zdravstvo, 2016)","previouslyFormattedCitation":"(Hrvatski zavod za javno zdravstvo, 2016)"},"properties":{"noteIndex":0},"schema":"https://github.com/citation-style-language/schema/raw/master/csl-citation.json"}</w:instrText>
      </w:r>
      <w:r w:rsidR="00BD6497" w:rsidRPr="00FC5A3E">
        <w:rPr>
          <w:rStyle w:val="Strong"/>
          <w:b w:val="0"/>
          <w:sz w:val="20"/>
          <w:szCs w:val="20"/>
        </w:rPr>
        <w:fldChar w:fldCharType="separate"/>
      </w:r>
      <w:r w:rsidR="00BD6497" w:rsidRPr="00FC5A3E">
        <w:rPr>
          <w:rStyle w:val="Strong"/>
          <w:b w:val="0"/>
          <w:noProof/>
          <w:sz w:val="20"/>
          <w:szCs w:val="20"/>
        </w:rPr>
        <w:t>(Hrvatski zavod za javno zdravstvo, 2016)</w:t>
      </w:r>
      <w:r w:rsidR="00BD6497" w:rsidRPr="00FC5A3E">
        <w:rPr>
          <w:rStyle w:val="Strong"/>
          <w:b w:val="0"/>
          <w:sz w:val="20"/>
          <w:szCs w:val="20"/>
        </w:rPr>
        <w:fldChar w:fldCharType="end"/>
      </w:r>
      <w:r w:rsidR="00BD6497" w:rsidRPr="00FC5A3E">
        <w:rPr>
          <w:rStyle w:val="Strong"/>
          <w:b w:val="0"/>
          <w:sz w:val="20"/>
          <w:szCs w:val="20"/>
        </w:rPr>
        <w:t xml:space="preserve">. </w:t>
      </w:r>
      <w:r w:rsidR="00C92C5B" w:rsidRPr="00FC5A3E">
        <w:rPr>
          <w:rStyle w:val="Strong"/>
          <w:b w:val="0"/>
          <w:sz w:val="20"/>
          <w:szCs w:val="20"/>
        </w:rPr>
        <w:t>Oko 95% svih zloćudnih novotvorina</w:t>
      </w:r>
      <w:r w:rsidR="00E732FF" w:rsidRPr="00FC5A3E">
        <w:rPr>
          <w:rStyle w:val="Strong"/>
          <w:b w:val="0"/>
          <w:sz w:val="20"/>
          <w:szCs w:val="20"/>
        </w:rPr>
        <w:t xml:space="preserve"> želuca </w:t>
      </w:r>
      <w:r w:rsidR="00C92C5B" w:rsidRPr="00FC5A3E">
        <w:rPr>
          <w:rStyle w:val="Strong"/>
          <w:b w:val="0"/>
          <w:sz w:val="20"/>
          <w:szCs w:val="20"/>
        </w:rPr>
        <w:t xml:space="preserve">su </w:t>
      </w:r>
      <w:r w:rsidR="00E732FF" w:rsidRPr="00FC5A3E">
        <w:rPr>
          <w:rStyle w:val="Strong"/>
          <w:b w:val="0"/>
          <w:sz w:val="20"/>
          <w:szCs w:val="20"/>
        </w:rPr>
        <w:t>adenokarcinom</w:t>
      </w:r>
      <w:r w:rsidR="00C92C5B" w:rsidRPr="00FC5A3E">
        <w:rPr>
          <w:rStyle w:val="Strong"/>
          <w:b w:val="0"/>
          <w:sz w:val="20"/>
          <w:szCs w:val="20"/>
        </w:rPr>
        <w:t>i</w:t>
      </w:r>
      <w:r w:rsidR="00793D01" w:rsidRPr="00FC5A3E">
        <w:rPr>
          <w:rStyle w:val="Strong"/>
          <w:b w:val="0"/>
          <w:sz w:val="20"/>
          <w:szCs w:val="20"/>
        </w:rPr>
        <w:t>, a</w:t>
      </w:r>
      <w:r w:rsidR="00C92C5B" w:rsidRPr="00FC5A3E">
        <w:rPr>
          <w:rStyle w:val="Strong"/>
          <w:b w:val="0"/>
          <w:sz w:val="20"/>
          <w:szCs w:val="20"/>
        </w:rPr>
        <w:t xml:space="preserve"> od ostalih najčešći je</w:t>
      </w:r>
      <w:r w:rsidR="00703583" w:rsidRPr="00FC5A3E">
        <w:rPr>
          <w:rStyle w:val="Strong"/>
          <w:b w:val="0"/>
          <w:sz w:val="20"/>
          <w:szCs w:val="20"/>
        </w:rPr>
        <w:t xml:space="preserve"> primarni </w:t>
      </w:r>
      <w:r w:rsidR="00793D01" w:rsidRPr="00FC5A3E">
        <w:rPr>
          <w:rStyle w:val="Strong"/>
          <w:b w:val="0"/>
          <w:sz w:val="20"/>
          <w:szCs w:val="20"/>
        </w:rPr>
        <w:t>limfom</w:t>
      </w:r>
      <w:r w:rsidR="00BD6497" w:rsidRPr="00FC5A3E">
        <w:rPr>
          <w:rStyle w:val="Strong"/>
          <w:b w:val="0"/>
          <w:sz w:val="20"/>
          <w:szCs w:val="20"/>
        </w:rPr>
        <w:t xml:space="preserve"> želuca </w:t>
      </w:r>
      <w:r w:rsidR="00BD6497" w:rsidRPr="00FC5A3E">
        <w:rPr>
          <w:rStyle w:val="Strong"/>
          <w:b w:val="0"/>
          <w:sz w:val="20"/>
          <w:szCs w:val="20"/>
        </w:rPr>
        <w:fldChar w:fldCharType="begin" w:fldLock="1"/>
      </w:r>
      <w:r w:rsidR="00D45472" w:rsidRPr="00FC5A3E">
        <w:rPr>
          <w:rStyle w:val="Strong"/>
          <w:b w:val="0"/>
          <w:sz w:val="20"/>
          <w:szCs w:val="20"/>
        </w:rPr>
        <w:instrText>ADDIN CSL_CITATION {"citationItems":[{"id":"ITEM-1","itemData":{"DOI":"10.5114/pg.2018.80001","abstract":"Gastric cancer remains one of the most common and deadly cancers worldwide, especially among older males. Based on GLOBOCAN 2018 data, stomach cancer is the 5 th most common neoplasm and the 3 rd most deadly cancer, with an estimated 783,000 deaths in 2018. Gastric cancer incidence and mortality are highly variable by region and highly dependent on diet and Helicobacter pylori infection. While strides in preventing and treating H. pylori infection have decreased the overall incidence of gastric cancer, they have also contributed to an increase in the incidence of cardia gastric cancer, a rare subtype of the neoplasm that has grown 7-fold in the past decades. A better understanding of the etiology and risk factors of the disease can help reach a consensus in approaching H. pylori infection. Dietary modification, smoking cessation, and exercise hold promise in preventing gastric cancer, while genetic testing is enabling earlier diagnosis and thus greater survival.","author":[{"dropping-particle":"","family":"Rawla","given":"Prashanth","non-dropping-particle":"","parse-names":false,"suffix":""},{"dropping-particle":"","family":"Barsouk","given":"Adam","non-dropping-particle":"","parse-names":false,"suffix":""}],"container-title":"Gastroenterology Review","id":"ITEM-1","issue":"1","issued":{"date-parts":[["2019"]]},"title":"Epidemiology of gastric cancer: global trends, risk factors and prevention","type":"article-journal","volume":"14"},"uris":["http://www.mendeley.com/documents/?uuid=f8509313-4910-43ab-abb0-ed9e80a3a9de"]}],"mendeley":{"formattedCitation":"(Rawla and Barsouk, 2019)","manualFormatting":"(Rawla i Barsouk, 2019)","plainTextFormattedCitation":"(Rawla and Barsouk, 2019)","previouslyFormattedCitation":"(Rawla and Barsouk, 2019)"},"properties":{"noteIndex":0},"schema":"https://github.com/citation-style-language/schema/raw/master/csl-citation.json"}</w:instrText>
      </w:r>
      <w:r w:rsidR="00BD6497" w:rsidRPr="00FC5A3E">
        <w:rPr>
          <w:rStyle w:val="Strong"/>
          <w:b w:val="0"/>
          <w:sz w:val="20"/>
          <w:szCs w:val="20"/>
        </w:rPr>
        <w:fldChar w:fldCharType="separate"/>
      </w:r>
      <w:r w:rsidR="00BD6497" w:rsidRPr="00FC5A3E">
        <w:rPr>
          <w:rStyle w:val="Strong"/>
          <w:b w:val="0"/>
          <w:noProof/>
          <w:sz w:val="20"/>
          <w:szCs w:val="20"/>
        </w:rPr>
        <w:t xml:space="preserve">(Rawla </w:t>
      </w:r>
      <w:r w:rsidR="00D45472" w:rsidRPr="00FC5A3E">
        <w:rPr>
          <w:rStyle w:val="Strong"/>
          <w:b w:val="0"/>
          <w:noProof/>
          <w:sz w:val="20"/>
          <w:szCs w:val="20"/>
        </w:rPr>
        <w:t>i</w:t>
      </w:r>
      <w:r w:rsidR="00BD6497" w:rsidRPr="00FC5A3E">
        <w:rPr>
          <w:rStyle w:val="Strong"/>
          <w:b w:val="0"/>
          <w:noProof/>
          <w:sz w:val="20"/>
          <w:szCs w:val="20"/>
        </w:rPr>
        <w:t xml:space="preserve"> Barsouk, 2019)</w:t>
      </w:r>
      <w:r w:rsidR="00BD6497" w:rsidRPr="00FC5A3E">
        <w:rPr>
          <w:rStyle w:val="Strong"/>
          <w:b w:val="0"/>
          <w:sz w:val="20"/>
          <w:szCs w:val="20"/>
        </w:rPr>
        <w:fldChar w:fldCharType="end"/>
      </w:r>
      <w:r w:rsidR="00BD6497" w:rsidRPr="00FC5A3E">
        <w:rPr>
          <w:rStyle w:val="Strong"/>
          <w:b w:val="0"/>
          <w:sz w:val="20"/>
          <w:szCs w:val="20"/>
        </w:rPr>
        <w:t xml:space="preserve">. </w:t>
      </w:r>
      <w:r w:rsidR="00A822FF" w:rsidRPr="00FC5A3E">
        <w:rPr>
          <w:rStyle w:val="Strong"/>
          <w:b w:val="0"/>
          <w:sz w:val="20"/>
          <w:szCs w:val="20"/>
        </w:rPr>
        <w:t>Postoji nekoliko klasifikacija karcinoma želuca. Laurén  je 1965. godine karcinom želuca podijelio na dva glavna histološka tipa: intestinalni i difuzni.</w:t>
      </w:r>
      <w:r w:rsidR="009B2E53" w:rsidRPr="00FC5A3E">
        <w:rPr>
          <w:rStyle w:val="Strong"/>
          <w:b w:val="0"/>
          <w:sz w:val="20"/>
          <w:szCs w:val="20"/>
        </w:rPr>
        <w:t xml:space="preserve"> Intestinalni tip karakterizira uglavnom žljezdana struktura, veliki i dobro definirani lumeni žlijezda, veće i morfološki varijabilnije stanice i jezgre, hiperkromazija jezgara te česte mitotske figure. Nasuprot tomu, difuzni tip karcinoma želuca građen je od pojedinačnih raspršenih stanica ili stanica u malim nakupinama koje su slabo povezane.</w:t>
      </w:r>
      <w:r w:rsidR="00A60287" w:rsidRPr="00FC5A3E">
        <w:rPr>
          <w:sz w:val="20"/>
          <w:szCs w:val="20"/>
        </w:rPr>
        <w:t xml:space="preserve"> </w:t>
      </w:r>
      <w:r w:rsidR="00A60287" w:rsidRPr="00FC5A3E">
        <w:rPr>
          <w:rStyle w:val="Strong"/>
          <w:b w:val="0"/>
          <w:sz w:val="20"/>
          <w:szCs w:val="20"/>
        </w:rPr>
        <w:t xml:space="preserve">Lumeni žlijezda rijetko su vidljivi, a i tad su mali i nejasni. </w:t>
      </w:r>
      <w:r w:rsidR="009B2E53" w:rsidRPr="00FC5A3E">
        <w:rPr>
          <w:rStyle w:val="Strong"/>
          <w:b w:val="0"/>
          <w:sz w:val="20"/>
          <w:szCs w:val="20"/>
        </w:rPr>
        <w:t xml:space="preserve"> Stanice su morfološki uniformnije, a jezgre manje, također uniformnije, često i piknotične.</w:t>
      </w:r>
      <w:r w:rsidR="00A60287" w:rsidRPr="00FC5A3E">
        <w:rPr>
          <w:rStyle w:val="Strong"/>
          <w:b w:val="0"/>
          <w:sz w:val="20"/>
          <w:szCs w:val="20"/>
        </w:rPr>
        <w:t xml:space="preserve"> Jezgre potisnute na periferiju obilnom intracelularnom sluzi stanicama daju izgled prstena pečatnjaka. Intestinalni tip češće se javlja kod muškaraca, dok kod difuznog tipa nema razlike prema spolu, a javlja se kod mlađih osoba. Intestinalni tip karcinoma želuca češće je povezan s kroničnim atrofičnim gastritisom i intestinalnom metaplazijom </w:t>
      </w:r>
      <w:r w:rsidR="00A60287" w:rsidRPr="00FC5A3E">
        <w:rPr>
          <w:rStyle w:val="Strong"/>
          <w:b w:val="0"/>
          <w:sz w:val="20"/>
          <w:szCs w:val="20"/>
        </w:rPr>
        <w:fldChar w:fldCharType="begin" w:fldLock="1"/>
      </w:r>
      <w:r w:rsidR="00A60287" w:rsidRPr="00FC5A3E">
        <w:rPr>
          <w:rStyle w:val="Strong"/>
          <w:b w:val="0"/>
          <w:sz w:val="20"/>
          <w:szCs w:val="20"/>
        </w:rPr>
        <w:instrText>ADDIN CSL_CITATION {"citationItems":[{"id":"ITEM-1","itemData":{"DOI":"10.1111/apm.1965.64.1.31","abstract":"Laurén P. The two histological main types of gastric carcinoma: diffuse and so-called intestinal-type carcinoma. Acta Pathol. Microbiol. Scand. 64:31-49, 1965. [Department of Pathological Anatomy, University of Turku. Finland] The classification of gastric carcinoma into the intestinal-type (IT) and the diffuse-type has been shown to be important for evaluation of prog-noses of patients as well as for epidemiologic and pathogenetic studies. The declining inci-dence of gastric cancer seen in many countries is connected with decreasing frequency of IT. [The SCI® indicates that this paper has been cited in more than 715 publications.] In the 1960s, under the leadershipof Osmo Jarvi, the Department of Pathology at the University of Turku was investigating the histology of gastric cancer, which was by that time the most common malignancy in Finland. The traditional classifications of gastric cancer were not satisfactory, as dif-ferent histologic structures could be found in a single tumor. After thorough examina-tion of the 1,344 cases of gastric cancer seen in the laboratory I noticed that a majority of them could be classified into two main types. One of them, the intestinal type (IT), was structurally similar to colonic cancer, but the other, the diffuse type (DT), was seen only in the stomach. There were even bio-logic differences between the main types: DT started in younger people than IT, and it was more common in females. IT was al-ways preceded by chronic gastritis with in-testinal metaplasia, DT started often from a mucosa of normal appearance. These differ-ences indicated different etiology and patho-genesis and probably also different histogen-esis of IT and DT.","author":[{"dropping-particle":"","family":"LAURÉN","given":"PEKKA","non-dropping-particle":"","parse-names":false,"suffix":""}],"container-title":"Acta Pathologica Microbiologica Scandinavica","id":"ITEM-1","issue":"1","issued":{"date-parts":[["2017"]]},"page":"31-49","title":"the Two Histological Main Types of Gastric Carcinoma: Diffuse and So-Called Intestinal-Type Carcinoma","type":"article-journal","volume":"64"},"uris":["http://www.mendeley.com/documents/?uuid=cf7a7c68-8d0a-4cd3-9518-d2e201b535a8"]}],"mendeley":{"formattedCitation":"(LAURÉN, 2017)","plainTextFormattedCitation":"(LAURÉN, 2017)","previouslyFormattedCitation":"(LAURÉN, 2017)"},"properties":{"noteIndex":0},"schema":"https://github.com/citation-style-language/schema/raw/master/csl-citation.json"}</w:instrText>
      </w:r>
      <w:r w:rsidR="00A60287" w:rsidRPr="00FC5A3E">
        <w:rPr>
          <w:rStyle w:val="Strong"/>
          <w:b w:val="0"/>
          <w:sz w:val="20"/>
          <w:szCs w:val="20"/>
        </w:rPr>
        <w:fldChar w:fldCharType="separate"/>
      </w:r>
      <w:r w:rsidR="00A60287" w:rsidRPr="00FC5A3E">
        <w:rPr>
          <w:rStyle w:val="Strong"/>
          <w:b w:val="0"/>
          <w:noProof/>
          <w:sz w:val="20"/>
          <w:szCs w:val="20"/>
        </w:rPr>
        <w:t>(LAURÉN, 2017)</w:t>
      </w:r>
      <w:r w:rsidR="00A60287" w:rsidRPr="00FC5A3E">
        <w:rPr>
          <w:rStyle w:val="Strong"/>
          <w:b w:val="0"/>
          <w:sz w:val="20"/>
          <w:szCs w:val="20"/>
        </w:rPr>
        <w:fldChar w:fldCharType="end"/>
      </w:r>
      <w:r w:rsidR="00A60287" w:rsidRPr="00FC5A3E">
        <w:rPr>
          <w:rStyle w:val="Strong"/>
          <w:b w:val="0"/>
          <w:sz w:val="20"/>
          <w:szCs w:val="20"/>
        </w:rPr>
        <w:t>. Ming je 1977. godine karcinome želuca prema načinu rasta podijelio na ekspanzivne i infiltrativne</w:t>
      </w:r>
      <w:r w:rsidR="00206632" w:rsidRPr="00FC5A3E">
        <w:rPr>
          <w:rStyle w:val="Strong"/>
          <w:b w:val="0"/>
          <w:sz w:val="20"/>
          <w:szCs w:val="20"/>
        </w:rPr>
        <w:t xml:space="preserve"> </w:t>
      </w:r>
      <w:r w:rsidR="00206632" w:rsidRPr="00FC5A3E">
        <w:rPr>
          <w:rStyle w:val="Strong"/>
          <w:b w:val="0"/>
          <w:sz w:val="20"/>
          <w:szCs w:val="20"/>
        </w:rPr>
        <w:fldChar w:fldCharType="begin" w:fldLock="1"/>
      </w:r>
      <w:r w:rsidR="00DF726A" w:rsidRPr="00FC5A3E">
        <w:rPr>
          <w:rStyle w:val="Strong"/>
          <w:b w:val="0"/>
          <w:sz w:val="20"/>
          <w:szCs w:val="20"/>
        </w:rPr>
        <w:instrText>ADDIN CSL_CITATION {"citationItems":[{"id":"ITEM-1","itemData":{"DOI":"10.1002/1097-0142(197706)39:6&lt;2475::AID-CNCR2820390626&gt;3.0.CO;2-L","ISSN":"10970142","abstract":"Gastric carcinomas had various pathological features. Based on patterns of growth and invasiveness, however, they fell into two types; expanding type and infiltrative type. These types were readily recognizable histologically: expanding carcinomas grew en masse and by expansion, resulting in the formation of discrete tumor nodules, whereas in infiltrative carcinoma tumor cells invaded individuality. Both types showed varying degrees of cell maturation, but glands were much more common in expanding carcinoma. The difference in growth pattern was reflected partly by gross appearance of the tumors. These two types of carcinoma appeared to be different in their histogenetic origins. Intestinal metaplasia probably played a role in the development of expanding, but not infiltrative, carcinoma. There were differences also in the sex and age of the patients, survival rate, and epidemiological distribution. Thus, this classification provided a simple basis for evaluation of various aspects of gastric cancer.","author":[{"dropping-particle":"","family":"Ming","given":"Si</w:instrText>
      </w:r>
      <w:r w:rsidR="00DF726A" w:rsidRPr="00FC5A3E">
        <w:rPr>
          <w:rStyle w:val="Strong"/>
          <w:rFonts w:ascii="Cambria Math" w:hAnsi="Cambria Math" w:cs="Cambria Math"/>
          <w:b w:val="0"/>
          <w:sz w:val="20"/>
          <w:szCs w:val="20"/>
        </w:rPr>
        <w:instrText>‐</w:instrText>
      </w:r>
      <w:r w:rsidR="00DF726A" w:rsidRPr="00FC5A3E">
        <w:rPr>
          <w:rStyle w:val="Strong"/>
          <w:b w:val="0"/>
          <w:sz w:val="20"/>
          <w:szCs w:val="20"/>
        </w:rPr>
        <w:instrText xml:space="preserve">Chun </w:instrText>
      </w:r>
      <w:r w:rsidR="00DF726A" w:rsidRPr="00FC5A3E">
        <w:rPr>
          <w:rStyle w:val="Strong"/>
          <w:rFonts w:ascii="Cambria Math" w:hAnsi="Cambria Math" w:cs="Cambria Math"/>
          <w:b w:val="0"/>
          <w:sz w:val="20"/>
          <w:szCs w:val="20"/>
        </w:rPr>
        <w:instrText>‐</w:instrText>
      </w:r>
      <w:r w:rsidR="00DF726A" w:rsidRPr="00FC5A3E">
        <w:rPr>
          <w:rStyle w:val="Strong"/>
          <w:b w:val="0"/>
          <w:sz w:val="20"/>
          <w:szCs w:val="20"/>
        </w:rPr>
        <w:instrText>C","non-dropping-particle":"","parse-names":false,"suffix":""}],"container-title":"Cancer","id":"ITEM-1","issue":"6","issued":{"date-parts":[["1977"]]},"page":"2475-2485","title":"Gastric carcinoma: A pathobiological classification","type":"article-journal","volume":"39"},"uris":["http://www.mendeley.com/documents/?uuid=c070c7a5-c5be-4a07-a1e7-b57342170a54"]}],"mendeley":{"formattedCitation":"(Ming, 1977)","plainTextFormattedCitation":"(Ming, 1977)","previouslyFormattedCitation":"(Ming, 1977)"},"properties":{"noteIndex":0},"schema":"https://github.com/citation-style-language/schema/raw/master/csl-citation.json"}</w:instrText>
      </w:r>
      <w:r w:rsidR="00206632" w:rsidRPr="00FC5A3E">
        <w:rPr>
          <w:rStyle w:val="Strong"/>
          <w:b w:val="0"/>
          <w:sz w:val="20"/>
          <w:szCs w:val="20"/>
        </w:rPr>
        <w:fldChar w:fldCharType="separate"/>
      </w:r>
      <w:r w:rsidR="00206632" w:rsidRPr="00FC5A3E">
        <w:rPr>
          <w:rStyle w:val="Strong"/>
          <w:b w:val="0"/>
          <w:noProof/>
          <w:sz w:val="20"/>
          <w:szCs w:val="20"/>
        </w:rPr>
        <w:t>(Ming, 1977)</w:t>
      </w:r>
      <w:r w:rsidR="00206632" w:rsidRPr="00FC5A3E">
        <w:rPr>
          <w:rStyle w:val="Strong"/>
          <w:b w:val="0"/>
          <w:sz w:val="20"/>
          <w:szCs w:val="20"/>
        </w:rPr>
        <w:fldChar w:fldCharType="end"/>
      </w:r>
      <w:r w:rsidR="00206632" w:rsidRPr="00FC5A3E">
        <w:rPr>
          <w:rStyle w:val="Strong"/>
          <w:b w:val="0"/>
          <w:sz w:val="20"/>
          <w:szCs w:val="20"/>
        </w:rPr>
        <w:t>. Prema histološkoj klasifikaciji Svjetske zdravstvene organizacije karcinomi želuca dijele se na papilarni, tubularni i mucinozni adenokarcinom</w:t>
      </w:r>
      <w:r w:rsidR="00732B41" w:rsidRPr="00FC5A3E">
        <w:rPr>
          <w:rStyle w:val="Strong"/>
          <w:b w:val="0"/>
          <w:sz w:val="20"/>
          <w:szCs w:val="20"/>
        </w:rPr>
        <w:t>, na</w:t>
      </w:r>
      <w:r w:rsidR="00206632" w:rsidRPr="00FC5A3E">
        <w:rPr>
          <w:rStyle w:val="Strong"/>
          <w:b w:val="0"/>
          <w:sz w:val="20"/>
          <w:szCs w:val="20"/>
        </w:rPr>
        <w:t xml:space="preserve"> slabo kohezivne karcinome</w:t>
      </w:r>
      <w:r w:rsidR="00732B41" w:rsidRPr="00FC5A3E">
        <w:rPr>
          <w:rStyle w:val="Strong"/>
          <w:b w:val="0"/>
          <w:sz w:val="20"/>
          <w:szCs w:val="20"/>
        </w:rPr>
        <w:t xml:space="preserve"> (uključujući</w:t>
      </w:r>
      <w:r w:rsidR="00732B41" w:rsidRPr="00FC5A3E">
        <w:rPr>
          <w:sz w:val="20"/>
          <w:szCs w:val="20"/>
        </w:rPr>
        <w:t xml:space="preserve"> </w:t>
      </w:r>
      <w:r w:rsidR="00732B41" w:rsidRPr="00FC5A3E">
        <w:rPr>
          <w:rStyle w:val="Strong"/>
          <w:b w:val="0"/>
          <w:sz w:val="20"/>
          <w:szCs w:val="20"/>
        </w:rPr>
        <w:t xml:space="preserve">karcinom stanica prstena pečatnjaka)  </w:t>
      </w:r>
      <w:r w:rsidR="00206632" w:rsidRPr="00FC5A3E">
        <w:rPr>
          <w:rStyle w:val="Strong"/>
          <w:b w:val="0"/>
          <w:sz w:val="20"/>
          <w:szCs w:val="20"/>
        </w:rPr>
        <w:t>te na mješovite</w:t>
      </w:r>
      <w:r w:rsidR="00732B41" w:rsidRPr="00FC5A3E">
        <w:rPr>
          <w:rStyle w:val="Strong"/>
          <w:b w:val="0"/>
          <w:sz w:val="20"/>
          <w:szCs w:val="20"/>
        </w:rPr>
        <w:t xml:space="preserve"> i ostale</w:t>
      </w:r>
      <w:r w:rsidR="00206632" w:rsidRPr="00FC5A3E">
        <w:rPr>
          <w:rStyle w:val="Strong"/>
          <w:b w:val="0"/>
          <w:sz w:val="20"/>
          <w:szCs w:val="20"/>
        </w:rPr>
        <w:t xml:space="preserve"> karcinome</w:t>
      </w:r>
      <w:r w:rsidR="00DF726A" w:rsidRPr="00FC5A3E">
        <w:rPr>
          <w:rStyle w:val="Strong"/>
          <w:b w:val="0"/>
          <w:sz w:val="20"/>
          <w:szCs w:val="20"/>
        </w:rPr>
        <w:t xml:space="preserve"> </w:t>
      </w:r>
      <w:r w:rsidR="00DF726A" w:rsidRPr="00FC5A3E">
        <w:rPr>
          <w:rStyle w:val="Strong"/>
          <w:b w:val="0"/>
          <w:sz w:val="20"/>
          <w:szCs w:val="20"/>
        </w:rPr>
        <w:fldChar w:fldCharType="begin" w:fldLock="1"/>
      </w:r>
      <w:r w:rsidR="00F41B60">
        <w:rPr>
          <w:rStyle w:val="Strong"/>
          <w:b w:val="0"/>
          <w:sz w:val="20"/>
          <w:szCs w:val="20"/>
        </w:rPr>
        <w:instrText>ADDIN CSL_CITATION {"citationItems":[{"id":"ITEM-1","itemData":{"abstract":"The WHO histological tumour type must be recorded. CS3.02a The histological type of the tumour should be recorded based on the current WHO classification 23 (refer to Appendix 4). These types are: • Tubular adenocarcinoma • Papillary adenocarcinoma • Mucinous adenocarcinoma (requires more than 50% of the tumour to be mucinous) • Poorly cohesive carcinomas, including signet-ring cell carcinoma • Mixed carcinoma • Other (specify)","author":[{"dropping-particle":"","family":"Who","given":"The","non-dropping-particle":"","parse-names":false,"suffix":""},{"dropping-particle":"","family":"Intraepithelial","given":"Adenoma","non-dropping-particle":"","parse-names":false,"suffix":""},{"dropping-particle":"","family":"Papillary","given":"Carcinoma Adenocarcinoma","non-dropping-particle":"","parse-names":false,"suffix":""},{"dropping-particle":"","family":"Small","given":"N E C","non-dropping-particle":"","parse-names":false,"suffix":""},{"dropping-particle":"","family":"Mixed","given":"N E C","non-dropping-particle":"","parse-names":false,"suffix":""},{"dropping-particle":"","family":"Net","given":"N E T Gastrin-producing","non-dropping-particle":"","parse-names":false,"suffix":""},{"dropping-particle":"","family":"Plexiform","given":"Leiomyoma","non-dropping-particle":"","parse-names":false,"suffix":""}],"id":"ITEM-1","issued":{"date-parts":[["0"]]},"title":"Appendix 4: WHO Classification a of Gastric Tumours 4 th edition","type":"article-journal","volume":"23"},"uris":["http://www.mendeley.com/documents/?uuid=35c20866-186c-429f-84ab-2d25afdbe882"]}],"mendeley":{"formattedCitation":"(Who &lt;i&gt;et al.&lt;/i&gt;, no date)","manualFormatting":"(Who i sur., no date)","plainTextFormattedCitation":"(Who et al., no date)","previouslyFormattedCitation":"(Who &lt;i&gt;et al.&lt;/i&gt;, no date)"},"properties":{"noteIndex":0},"schema":"https://github.com/citation-style-language/schema/raw/master/csl-citation.json"}</w:instrText>
      </w:r>
      <w:r w:rsidR="00DF726A" w:rsidRPr="00FC5A3E">
        <w:rPr>
          <w:rStyle w:val="Strong"/>
          <w:b w:val="0"/>
          <w:sz w:val="20"/>
          <w:szCs w:val="20"/>
        </w:rPr>
        <w:fldChar w:fldCharType="separate"/>
      </w:r>
      <w:r w:rsidR="00DF726A" w:rsidRPr="00FC5A3E">
        <w:rPr>
          <w:rStyle w:val="Strong"/>
          <w:b w:val="0"/>
          <w:noProof/>
          <w:sz w:val="20"/>
          <w:szCs w:val="20"/>
        </w:rPr>
        <w:t xml:space="preserve">(Who </w:t>
      </w:r>
      <w:r w:rsidR="003F4A87">
        <w:rPr>
          <w:rStyle w:val="Strong"/>
          <w:b w:val="0"/>
          <w:i/>
          <w:noProof/>
          <w:sz w:val="20"/>
          <w:szCs w:val="20"/>
        </w:rPr>
        <w:t>i sur.,</w:t>
      </w:r>
      <w:r w:rsidR="00DF726A" w:rsidRPr="00FC5A3E">
        <w:rPr>
          <w:rStyle w:val="Strong"/>
          <w:b w:val="0"/>
          <w:noProof/>
          <w:sz w:val="20"/>
          <w:szCs w:val="20"/>
        </w:rPr>
        <w:t xml:space="preserve"> no date)</w:t>
      </w:r>
      <w:r w:rsidR="00DF726A" w:rsidRPr="00FC5A3E">
        <w:rPr>
          <w:rStyle w:val="Strong"/>
          <w:b w:val="0"/>
          <w:sz w:val="20"/>
          <w:szCs w:val="20"/>
        </w:rPr>
        <w:fldChar w:fldCharType="end"/>
      </w:r>
      <w:r w:rsidR="00206632" w:rsidRPr="00FC5A3E">
        <w:rPr>
          <w:rStyle w:val="Strong"/>
          <w:b w:val="0"/>
          <w:sz w:val="20"/>
          <w:szCs w:val="20"/>
        </w:rPr>
        <w:t xml:space="preserve">. </w:t>
      </w:r>
      <w:r w:rsidR="00BD6497" w:rsidRPr="00FC5A3E">
        <w:rPr>
          <w:rStyle w:val="Strong"/>
          <w:b w:val="0"/>
          <w:sz w:val="20"/>
          <w:szCs w:val="20"/>
        </w:rPr>
        <w:t xml:space="preserve">Čimbenici rizika za karcinom želuca su mnogobrojni. </w:t>
      </w:r>
      <w:r w:rsidR="00C92C5B" w:rsidRPr="00FC5A3E">
        <w:rPr>
          <w:rStyle w:val="Strong"/>
          <w:b w:val="0"/>
          <w:sz w:val="20"/>
          <w:szCs w:val="20"/>
        </w:rPr>
        <w:t xml:space="preserve">Genetska predispozicija povezuje se s 1 do 3% karcinoma želuca </w:t>
      </w:r>
      <w:r w:rsidR="00C92C5B" w:rsidRPr="00FC5A3E">
        <w:rPr>
          <w:rStyle w:val="Strong"/>
          <w:b w:val="0"/>
          <w:sz w:val="20"/>
          <w:szCs w:val="20"/>
        </w:rPr>
        <w:fldChar w:fldCharType="begin" w:fldLock="1"/>
      </w:r>
      <w:r w:rsidR="00D45472" w:rsidRPr="00FC5A3E">
        <w:rPr>
          <w:rStyle w:val="Strong"/>
          <w:b w:val="0"/>
          <w:sz w:val="20"/>
          <w:szCs w:val="20"/>
        </w:rPr>
        <w:instrText>ADDIN CSL_CITATION {"citationItems":[{"id":"ITEM-1","itemData":{"DOI":"10.1016/j.scienta.2014.02.005","ISBN":"9781912259465","ISSN":"03044238","abstract":"A recent Foresight project report analyzes technological and policy priorities for meeting future challenges of infectious diseases affecting humans, plants, and animals. Infectious diseases account for a quarter of all human mortality and a similar fraction of morbidity (1). Infectious diseases of crops and livestock cost the global economy uncounted billions of euros every year. On top of this, sudden epidemics of infectious dis-eases can deliver humanitarian and economic shocks on a scale difficult to absorb. Ac-cording to the World Bank, the 2003 severe acute respiratory syndrome (SARS) epi-demic, which killed fewer then 1000 people, was responsible for an estimated 2% fall in gross domestic product (GDP) across East Asia, and an influenza pandemic could kill millions of people and cost € 700 billion (U.S. $900 billion) globally in a single year (2). In recent years, there have been numerous out-breaks of livestock and crop diseases costing individual countries billions of euros, for example, foot-and-mouth disease (FMD) in Taiwan and the United Kingdom; bovine spongiform encephalopathy (BSE) in the United Kingdom; classical swine fever (CSF) in the Netherlands; soybean rust in Brazil; Southern corn leaf blight in the United States; and, most recently, avian influenza in Egypt. The United Nations Millennium Develop-ment Goals, as well as having explicit targets for reducing the burden of human diseases (particularly HIV/AIDS, tuberculosis, and malaria), also have targets for reducing poverty and hunger, but these are compro-mised by crop and livestock diseases. In most developing regions, where the impacts of infectious disease are greatest, there is now little hope of meeting any of the Millennium Development Goals by 2015 (3). Governments and international agencies need a vision of how threats such as infectious diseases are likely to evolve in the future so that they can identify effective science and technology strategies to help meet the chal- lenge. Foresight programs, largely originating in Japan and the USA, were put in place pre-cisely to do this. The U.K.’s Foresight program established a series of cross-disciplinary proj-ects to study selected topics in depth, incorpo-rating two key principles (4). First, the work has to be based on peer-reviewed science pre-sented in a way that is accessible to nonscien-tists, and second, decision-makers and gov-ernment must be engaged from the outset in setting the direction and broad approach of each p…","author":[{"dropping-particle":"","family":"World Cancer Research Fund/American Institute for Cancer Research","given":"","non-dropping-particle":"","parse-names":false,"suffix":""}],"container-title":"American Institute for Cancer Research","id":"ITEM-1","issued":{"date-parts":[["2018"]]},"number-of-pages":"1-53","title":"Diet, Nutrition, Physical Activity and Cancer: a Global Perspective","type":"book","volume":"3"},"uris":["http://www.mendeley.com/documents/?uuid=b7f9fe82-33ad-47a5-ac26-62a925769991"]}],"mendeley":{"formattedCitation":"(World Cancer Research Fund/American Institute for Cancer Research, 2018)","plainTextFormattedCitation":"(World Cancer Research Fund/American Institute for Cancer Research, 2018)","previouslyFormattedCitation":"(World Cancer Research Fund/American Institute for Cancer Research, 2018)"},"properties":{"noteIndex":0},"schema":"https://github.com/citation-style-language/schema/raw/master/csl-citation.json"}</w:instrText>
      </w:r>
      <w:r w:rsidR="00C92C5B" w:rsidRPr="00FC5A3E">
        <w:rPr>
          <w:rStyle w:val="Strong"/>
          <w:b w:val="0"/>
          <w:sz w:val="20"/>
          <w:szCs w:val="20"/>
        </w:rPr>
        <w:fldChar w:fldCharType="separate"/>
      </w:r>
      <w:r w:rsidR="00C92C5B" w:rsidRPr="00FC5A3E">
        <w:rPr>
          <w:rStyle w:val="Strong"/>
          <w:b w:val="0"/>
          <w:noProof/>
          <w:sz w:val="20"/>
          <w:szCs w:val="20"/>
        </w:rPr>
        <w:t>(World Cancer Research Fund/American Institute for Cancer Research, 2018)</w:t>
      </w:r>
      <w:r w:rsidR="00C92C5B" w:rsidRPr="00FC5A3E">
        <w:rPr>
          <w:rStyle w:val="Strong"/>
          <w:b w:val="0"/>
          <w:sz w:val="20"/>
          <w:szCs w:val="20"/>
        </w:rPr>
        <w:fldChar w:fldCharType="end"/>
      </w:r>
      <w:r w:rsidR="00C92C5B" w:rsidRPr="00FC5A3E">
        <w:rPr>
          <w:rStyle w:val="Strong"/>
          <w:b w:val="0"/>
          <w:sz w:val="20"/>
          <w:szCs w:val="20"/>
        </w:rPr>
        <w:t xml:space="preserve">. Nasljedni difuzni karcinom želuca (HDGC, engl. hereditary diffuse gastric cancer) nasljeđuje se autosomno dominantno, a posljedica je gubitka jedne kopije </w:t>
      </w:r>
      <w:r w:rsidR="00C92C5B" w:rsidRPr="00FC5A3E">
        <w:rPr>
          <w:rStyle w:val="Strong"/>
          <w:b w:val="0"/>
          <w:i/>
          <w:sz w:val="20"/>
          <w:szCs w:val="20"/>
        </w:rPr>
        <w:t xml:space="preserve">CDH1 </w:t>
      </w:r>
      <w:r w:rsidR="00C92C5B" w:rsidRPr="00FC5A3E">
        <w:rPr>
          <w:rStyle w:val="Strong"/>
          <w:b w:val="0"/>
          <w:sz w:val="20"/>
          <w:szCs w:val="20"/>
        </w:rPr>
        <w:t xml:space="preserve">gena. </w:t>
      </w:r>
      <w:r w:rsidR="00D45472" w:rsidRPr="00FC5A3E">
        <w:rPr>
          <w:rStyle w:val="Strong"/>
          <w:b w:val="0"/>
          <w:sz w:val="20"/>
          <w:szCs w:val="20"/>
        </w:rPr>
        <w:t xml:space="preserve">Mutacije </w:t>
      </w:r>
      <w:r w:rsidR="00D45472" w:rsidRPr="00FC5A3E">
        <w:rPr>
          <w:rStyle w:val="Strong"/>
          <w:b w:val="0"/>
          <w:i/>
          <w:sz w:val="20"/>
          <w:szCs w:val="20"/>
        </w:rPr>
        <w:t xml:space="preserve">APC </w:t>
      </w:r>
      <w:r w:rsidR="00D45472" w:rsidRPr="00FC5A3E">
        <w:rPr>
          <w:rStyle w:val="Strong"/>
          <w:b w:val="0"/>
          <w:sz w:val="20"/>
          <w:szCs w:val="20"/>
        </w:rPr>
        <w:t xml:space="preserve">gena te polimorfizmi gena za IL-17 i IL-10 također povećavaju rizik za razvoj karcinoma želuca </w:t>
      </w:r>
      <w:r w:rsidR="00D45472" w:rsidRPr="00FC5A3E">
        <w:rPr>
          <w:rStyle w:val="Strong"/>
          <w:b w:val="0"/>
          <w:sz w:val="20"/>
          <w:szCs w:val="20"/>
        </w:rPr>
        <w:fldChar w:fldCharType="begin" w:fldLock="1"/>
      </w:r>
      <w:r w:rsidR="00AE18A0" w:rsidRPr="00FC5A3E">
        <w:rPr>
          <w:rStyle w:val="Strong"/>
          <w:b w:val="0"/>
          <w:sz w:val="20"/>
          <w:szCs w:val="20"/>
        </w:rPr>
        <w:instrText>ADDIN CSL_CITATION {"citationItems":[{"id":"ITEM-1","itemData":{"DOI":"10.1016/j.jcmgh.2016.12.003","ISSN":"2352345X","abstract":"Gastric cancer is a common disease worldwide, typically associated with acquired chronic inflammation in the stomach, related in most instances to infection by Helicobacter pylori. A small percentage of cases occurs in familial clusters, and some of these can be linked to specific germline mutations. This article reviews the historical background to the current understanding of familial gastric cancer, focuses on the entity of hereditary diffuse gastric cancer, and also reviews the risks for gastric cancer related to a number of other familial genetic diseases.","author":[{"dropping-particle":"","family":"Boland","given":"C. Richard","non-dropping-particle":"","parse-names":false,"suffix":""},{"dropping-particle":"","family":"Yurgelun","given":"Matthew B.","non-dropping-particle":"","parse-names":false,"suffix":""}],"container-title":"Cmgh","id":"ITEM-1","issue":"2","issued":{"date-parts":[["2017"]]},"page":"192-200","publisher":"Elsevier Inc","title":"Historical Perspective on Familial Gastric Cancer","type":"article-journal","volume":"3"},"uris":["http://www.mendeley.com/documents/?uuid=e51f2b3c-7996-4ebc-b724-e7c41912e14c"]}],"mendeley":{"formattedCitation":"(Boland and Yurgelun, 2017)","manualFormatting":"(Boli i Yurgelun, 2017)","plainTextFormattedCitation":"(Boland and Yurgelun, 2017)","previouslyFormattedCitation":"(Boland and Yurgelun, 2017)"},"properties":{"noteIndex":0},"schema":"https://github.com/citation-style-language/schema/raw/master/csl-citation.json"}</w:instrText>
      </w:r>
      <w:r w:rsidR="00D45472" w:rsidRPr="00FC5A3E">
        <w:rPr>
          <w:rStyle w:val="Strong"/>
          <w:b w:val="0"/>
          <w:sz w:val="20"/>
          <w:szCs w:val="20"/>
        </w:rPr>
        <w:fldChar w:fldCharType="separate"/>
      </w:r>
      <w:r w:rsidR="00AE18A0" w:rsidRPr="00FC5A3E">
        <w:rPr>
          <w:rStyle w:val="Strong"/>
          <w:b w:val="0"/>
          <w:noProof/>
          <w:sz w:val="20"/>
          <w:szCs w:val="20"/>
        </w:rPr>
        <w:t>(Boli i Yurgelun, 2017)</w:t>
      </w:r>
      <w:r w:rsidR="00D45472" w:rsidRPr="00FC5A3E">
        <w:rPr>
          <w:rStyle w:val="Strong"/>
          <w:b w:val="0"/>
          <w:sz w:val="20"/>
          <w:szCs w:val="20"/>
        </w:rPr>
        <w:fldChar w:fldCharType="end"/>
      </w:r>
      <w:r w:rsidR="00D45472" w:rsidRPr="00FC5A3E">
        <w:rPr>
          <w:rStyle w:val="Strong"/>
          <w:b w:val="0"/>
          <w:sz w:val="20"/>
          <w:szCs w:val="20"/>
        </w:rPr>
        <w:t>. Najveći broj karcinoma želuca povezan je s infekcijom bakterijom</w:t>
      </w:r>
      <w:r w:rsidR="00AE18A0" w:rsidRPr="00FC5A3E">
        <w:rPr>
          <w:rStyle w:val="Strong"/>
          <w:b w:val="0"/>
          <w:sz w:val="20"/>
          <w:szCs w:val="20"/>
        </w:rPr>
        <w:t xml:space="preserve"> </w:t>
      </w:r>
      <w:r w:rsidR="00AE18A0" w:rsidRPr="00FC5A3E">
        <w:rPr>
          <w:rStyle w:val="Strong"/>
          <w:b w:val="0"/>
          <w:i/>
          <w:sz w:val="20"/>
          <w:szCs w:val="20"/>
        </w:rPr>
        <w:t xml:space="preserve">Helicobacter pylori </w:t>
      </w:r>
      <w:r w:rsidR="00AE18A0" w:rsidRPr="00FC5A3E">
        <w:rPr>
          <w:rStyle w:val="Strong"/>
          <w:b w:val="0"/>
          <w:i/>
          <w:sz w:val="20"/>
          <w:szCs w:val="20"/>
        </w:rPr>
        <w:fldChar w:fldCharType="begin" w:fldLock="1"/>
      </w:r>
      <w:r w:rsidR="00C96EF9" w:rsidRPr="00FC5A3E">
        <w:rPr>
          <w:rStyle w:val="Strong"/>
          <w:b w:val="0"/>
          <w:i/>
          <w:sz w:val="20"/>
          <w:szCs w:val="20"/>
        </w:rPr>
        <w:instrText>ADDIN CSL_CITATION {"citationItems":[{"id":"ITEM-1","itemData":{"author":[{"dropping-particle":"","family":"Ernst","given":"Peter B","non-dropping-particle":"","parse-names":false,"suffix":""},{"dropping-particle":"","family":"Gold","given":"Benjamin D","non-dropping-particle":"","parse-names":false,"suffix":""}],"id":"ITEM-1","issued":{"date-parts":[["2000"]]},"title":"T HE D ISEASE S PECTRUM OF H ELICOBACTER P YLORI : The Immunopathogenesis of Gastroduodenal Ulcer and Gastric Cancer CONTENTS","type":"article-journal"},"uris":["http://www.mendeley.com/documents/?uuid=aefc5a57-e0b8-4ad8-ac3f-f6cb940e615b"]}],"mendeley":{"formattedCitation":"(Ernst and Gold, 2000)","manualFormatting":"(Ernst i Gold, 2000)","plainTextFormattedCitation":"(Ernst and Gold, 2000)","previouslyFormattedCitation":"(Ernst and Gold, 2000)"},"properties":{"noteIndex":0},"schema":"https://github.com/citation-style-language/schema/raw/master/csl-citation.json"}</w:instrText>
      </w:r>
      <w:r w:rsidR="00AE18A0" w:rsidRPr="00FC5A3E">
        <w:rPr>
          <w:rStyle w:val="Strong"/>
          <w:b w:val="0"/>
          <w:i/>
          <w:sz w:val="20"/>
          <w:szCs w:val="20"/>
        </w:rPr>
        <w:fldChar w:fldCharType="separate"/>
      </w:r>
      <w:r w:rsidR="00AE18A0" w:rsidRPr="00FC5A3E">
        <w:rPr>
          <w:rStyle w:val="Strong"/>
          <w:b w:val="0"/>
          <w:noProof/>
          <w:sz w:val="20"/>
          <w:szCs w:val="20"/>
        </w:rPr>
        <w:t>(Ernst i Gold, 2000)</w:t>
      </w:r>
      <w:r w:rsidR="00AE18A0" w:rsidRPr="00FC5A3E">
        <w:rPr>
          <w:rStyle w:val="Strong"/>
          <w:b w:val="0"/>
          <w:i/>
          <w:sz w:val="20"/>
          <w:szCs w:val="20"/>
        </w:rPr>
        <w:fldChar w:fldCharType="end"/>
      </w:r>
      <w:r w:rsidR="00AE18A0" w:rsidRPr="00FC5A3E">
        <w:rPr>
          <w:rStyle w:val="Strong"/>
          <w:b w:val="0"/>
          <w:sz w:val="20"/>
          <w:szCs w:val="20"/>
        </w:rPr>
        <w:t xml:space="preserve">, za čije su otkriće </w:t>
      </w:r>
      <w:r w:rsidR="00D45472" w:rsidRPr="00FC5A3E">
        <w:rPr>
          <w:rStyle w:val="Strong"/>
          <w:b w:val="0"/>
          <w:sz w:val="20"/>
          <w:szCs w:val="20"/>
        </w:rPr>
        <w:t xml:space="preserve"> </w:t>
      </w:r>
      <w:r w:rsidR="00AE18A0" w:rsidRPr="00FC5A3E">
        <w:rPr>
          <w:rStyle w:val="Strong"/>
          <w:b w:val="0"/>
          <w:sz w:val="20"/>
          <w:szCs w:val="20"/>
        </w:rPr>
        <w:t xml:space="preserve">Barry Marshall i Robin Warren dobili Nobelovu nagradu za fiziologiju ili medicinu 2005. godine. </w:t>
      </w:r>
      <w:r w:rsidR="00C96EF9" w:rsidRPr="00FC5A3E">
        <w:rPr>
          <w:rStyle w:val="Strong"/>
          <w:b w:val="0"/>
          <w:sz w:val="20"/>
          <w:szCs w:val="20"/>
        </w:rPr>
        <w:t xml:space="preserve">Rezultati metaanaliza pokazali su da su pušenje </w:t>
      </w:r>
      <w:r w:rsidR="00C96EF9" w:rsidRPr="00FC5A3E">
        <w:rPr>
          <w:rStyle w:val="Strong"/>
          <w:b w:val="0"/>
          <w:sz w:val="20"/>
          <w:szCs w:val="20"/>
        </w:rPr>
        <w:fldChar w:fldCharType="begin" w:fldLock="1"/>
      </w:r>
      <w:r w:rsidR="00C96EF9" w:rsidRPr="00FC5A3E">
        <w:rPr>
          <w:rStyle w:val="Strong"/>
          <w:b w:val="0"/>
          <w:sz w:val="20"/>
          <w:szCs w:val="20"/>
        </w:rPr>
        <w:instrText>ADDIN CSL_CITATION {"citationItems":[{"id":"ITEM-1","itemData":{"DOI":"10.1007/s10552-008-9132-y","ISSN":"09575243","abstract":"OBJECTIVE: We conducted a systematic review of studies addressing the relation between cigarette smoking and gastric cancer to estimate the magnitude of the association for different levels of exposure and cancer locations. METHODS: Published cohort, case-cohort, and nested case-control studies were identified through PubMed, Scopus, and Web of Science searches, from inception to July 2007. Relative risk (RR) estimates referring to the comparison of two categories of exposure (e.g., current smokers vs. never smokers) were combined using a random effects model. Generalized least squares regression was used for trend estimation. Heterogeneity was quantified using the I (2) statistic. RESULTS: Forty-two articles were considered for the systematic review. Comparing current smokers with never smokers: the summary RR estimates were 1.62 in males (95% CI: 1.50-1.75; I (2) = 46.0%; 18 studies) and 1.20 in females (95% CI: 1.01-1.43; I (2) = 49.8%; nine studies); the RR increased from 1.3 for the lowest consumptions to 1.7 for the smoking of approximately 30 cigarettes per day in the trend estimation analysis; smoking was significantly associated with both cardia (RR = 1.87; 95% CI: 1.31-2.67; I (2) = 73.2%; nine studies) and non-cardia (RR = 1.60; 95% CI: 1.41-1.80; I (2) = 18.9%; nine studies) cancers. CONCLUSION: Our study provides solid evidence to classify smoking as the most important behavioral risk factor for gastric cancer.","author":[{"dropping-particle":"","family":"Ladeiras-Lopes","given":"Ricardo","non-dropping-particle":"","parse-names":false,"suffix":""},{"dropping-particle":"","family":"Pereira","given":"Alexandre Kirchhofer","non-dropping-particle":"","parse-names":false,"suffix":""},{"dropping-particle":"","family":"Nogueira","given":"Amanda","non-dropping-particle":"","parse-names":false,"suffix":""},{"dropping-particle":"","family":"Pinheiro-Torres","given":"Tiago","non-dropping-particle":"","parse-names":false,"suffix":""},{"dropping-particle":"","family":"Pinto","given":"Isabel","non-dropping-particle":"","parse-names":false,"suffix":""},{"dropping-particle":"","family":"Santos-Pereira","given":"Ricardo","non-dropping-particle":"","parse-names":false,"suffix":""},{"dropping-particle":"","family":"Lunet","given":"Nuno","non-dropping-particle":"","parse-names":false,"suffix":""}],"container-title":"Cancer Causes and Control","id":"ITEM-1","issue":"7","issued":{"date-parts":[["2008"]]},"page":"689-701","title":"Smoking and gastric cancer: Systematic review and meta-analysis of cohort studies","type":"article-journal","volume":"19"},"uris":["http://www.mendeley.com/documents/?uuid=b029c3b6-8d06-483b-95d7-af150a212441"]}],"mendeley":{"formattedCitation":"(Ladeiras-Lopes &lt;i&gt;et al.&lt;/i&gt;, 2008)","manualFormatting":"(Ladeiras-Lopes i sur., 2008)","plainTextFormattedCitation":"(Ladeiras-Lopes et al., 2008)","previouslyFormattedCitation":"(Ladeiras-Lopes &lt;i&gt;et al.&lt;/i&gt;, 2008)"},"properties":{"noteIndex":0},"schema":"https://github.com/citation-style-language/schema/raw/master/csl-citation.json"}</w:instrText>
      </w:r>
      <w:r w:rsidR="00C96EF9" w:rsidRPr="00FC5A3E">
        <w:rPr>
          <w:rStyle w:val="Strong"/>
          <w:b w:val="0"/>
          <w:sz w:val="20"/>
          <w:szCs w:val="20"/>
        </w:rPr>
        <w:fldChar w:fldCharType="separate"/>
      </w:r>
      <w:r w:rsidR="00C96EF9" w:rsidRPr="00FC5A3E">
        <w:rPr>
          <w:rStyle w:val="Strong"/>
          <w:b w:val="0"/>
          <w:noProof/>
          <w:sz w:val="20"/>
          <w:szCs w:val="20"/>
        </w:rPr>
        <w:t xml:space="preserve">(Ladeiras-Lopes </w:t>
      </w:r>
      <w:r w:rsidR="00C96EF9" w:rsidRPr="00FC5A3E">
        <w:rPr>
          <w:rStyle w:val="Strong"/>
          <w:b w:val="0"/>
          <w:i/>
          <w:noProof/>
          <w:sz w:val="20"/>
          <w:szCs w:val="20"/>
        </w:rPr>
        <w:t>i sur.,</w:t>
      </w:r>
      <w:r w:rsidR="00C96EF9" w:rsidRPr="00FC5A3E">
        <w:rPr>
          <w:rStyle w:val="Strong"/>
          <w:b w:val="0"/>
          <w:noProof/>
          <w:sz w:val="20"/>
          <w:szCs w:val="20"/>
        </w:rPr>
        <w:t xml:space="preserve"> 2008)</w:t>
      </w:r>
      <w:r w:rsidR="00C96EF9" w:rsidRPr="00FC5A3E">
        <w:rPr>
          <w:rStyle w:val="Strong"/>
          <w:b w:val="0"/>
          <w:sz w:val="20"/>
          <w:szCs w:val="20"/>
        </w:rPr>
        <w:fldChar w:fldCharType="end"/>
      </w:r>
      <w:r w:rsidR="00C96EF9" w:rsidRPr="00FC5A3E">
        <w:rPr>
          <w:rStyle w:val="Strong"/>
          <w:b w:val="0"/>
          <w:sz w:val="20"/>
          <w:szCs w:val="20"/>
        </w:rPr>
        <w:t xml:space="preserve"> i konzumacija alkohola </w:t>
      </w:r>
      <w:r w:rsidR="00C96EF9" w:rsidRPr="00FC5A3E">
        <w:rPr>
          <w:rStyle w:val="Strong"/>
          <w:b w:val="0"/>
          <w:sz w:val="20"/>
          <w:szCs w:val="20"/>
        </w:rPr>
        <w:fldChar w:fldCharType="begin" w:fldLock="1"/>
      </w:r>
      <w:r w:rsidR="00FE0ADE" w:rsidRPr="00FC5A3E">
        <w:rPr>
          <w:rStyle w:val="Strong"/>
          <w:b w:val="0"/>
          <w:sz w:val="20"/>
          <w:szCs w:val="20"/>
        </w:rPr>
        <w:instrText>ADDIN CSL_CITATION {"citationItems":[{"id":"ITEM-1","itemData":{"DOI":"10.1093/annonc/mdr135","ISSN":"09237534","abstract":"Background: Whether an association between alcohol drinking and gastric cancer risk exists is an open question. In order to provide a definite quantification of the association between alcohol drinking and gastric cancer risk, we conducted a meta-analysis of available data.Patients and methods: We carried out a PubMed search of articles published up to June 2010 and identified 44 case–control and 15 cohort studies, including a total of 34 557 gastric cancer cases. We derived meta-analytic estimates using random-effects models, taking into account correlation between estimates. We carried out a dose–risk analysis using nonlinear random-effects meta-regression models.Results: Compared with nondrinkers, the pooled relative risk (RR) was 1.07 [95% confidence interval (CI) 1.01–1.13] for alcohol drinkers and 1.20 (95% CI 1.01–1.44) for heavy alcohol drinkers (≥4 drinks per day). The pooled estimates were apparently higher for gastric noncardia (RR for heavy drinkers = 1.17, 95% CI 0.78–1.75) than for gastric cardia (RR = 0.99, 95% CI 0.67–1.47) adenocarcinoma. The dose–risk model estimated a RR of 0.95 (95% CI 0.91–0.99) for 10 g/day and 1.14 (95% CI 1.08–1.21) for 50 g/day.Conclusions: This meta-analysis provides definite evidence of a lack of association between moderate alcohol drinking and gastric cancer risk. There was, however, a positive association with heavy alcohol drinking.","author":[{"dropping-particle":"","family":"Tramacere","given":"I.","non-dropping-particle":"","parse-names":false,"suffix":""},{"dropping-particle":"","family":"Negri","given":"E.","non-dropping-particle":"","parse-names":false,"suffix":""},{"dropping-particle":"","family":"Pelucchi","given":"C.","non-dropping-particle":"","parse-names":false,"suffix":""},{"dropping-particle":"","family":"Bagnardi","given":"V.","non-dropping-particle":"","parse-names":false,"suffix":""},{"dropping-particle":"","family":"Rota","given":"M.","non-dropping-particle":"","parse-names":false,"suffix":""},{"dropping-particle":"","family":"Scotti","given":"L.","non-dropping-particle":"","parse-names":false,"suffix":""},{"dropping-particle":"","family":"Islami","given":"F.","non-dropping-particle":"","parse-names":false,"suffix":""},{"dropping-particle":"","family":"Corrao","given":"G.","non-dropping-particle":"","parse-names":false,"suffix":""},{"dropping-particle":"","family":"vecchia","given":"C.","non-dropping-particle":"La","parse-names":false,"suffix":""},{"dropping-particle":"","family":"Boffetta","given":"P.","non-dropping-particle":"","parse-names":false,"suffix":""}],"container-title":"Annals of Oncology","id":"ITEM-1","issue":"1","issued":{"date-parts":[["2012"]]},"page":"28-36","title":"A meta-analysis on alcohol drinking and gastric cancer risk","type":"article-journal","volume":"23"},"uris":["http://www.mendeley.com/documents/?uuid=22af1b5c-c42e-4275-bf2a-2909c0a29066"]}],"mendeley":{"formattedCitation":"(Tramacere &lt;i&gt;et al.&lt;/i&gt;, 2012)","manualFormatting":"(Tramacere i sur., 2012)","plainTextFormattedCitation":"(Tramacere et al., 2012)","previouslyFormattedCitation":"(Tramacere &lt;i&gt;et al.&lt;/i&gt;, 2012)"},"properties":{"noteIndex":0},"schema":"https://github.com/citation-style-language/schema/raw/master/csl-citation.json"}</w:instrText>
      </w:r>
      <w:r w:rsidR="00C96EF9" w:rsidRPr="00FC5A3E">
        <w:rPr>
          <w:rStyle w:val="Strong"/>
          <w:b w:val="0"/>
          <w:sz w:val="20"/>
          <w:szCs w:val="20"/>
        </w:rPr>
        <w:fldChar w:fldCharType="separate"/>
      </w:r>
      <w:r w:rsidR="00C96EF9" w:rsidRPr="00FC5A3E">
        <w:rPr>
          <w:rStyle w:val="Strong"/>
          <w:b w:val="0"/>
          <w:noProof/>
          <w:sz w:val="20"/>
          <w:szCs w:val="20"/>
        </w:rPr>
        <w:t xml:space="preserve">(Tramacere </w:t>
      </w:r>
      <w:r w:rsidR="00C96EF9" w:rsidRPr="00FC5A3E">
        <w:rPr>
          <w:rStyle w:val="Strong"/>
          <w:b w:val="0"/>
          <w:i/>
          <w:noProof/>
          <w:sz w:val="20"/>
          <w:szCs w:val="20"/>
        </w:rPr>
        <w:t>i sur.,</w:t>
      </w:r>
      <w:r w:rsidR="00C96EF9" w:rsidRPr="00FC5A3E">
        <w:rPr>
          <w:rStyle w:val="Strong"/>
          <w:b w:val="0"/>
          <w:noProof/>
          <w:sz w:val="20"/>
          <w:szCs w:val="20"/>
        </w:rPr>
        <w:t xml:space="preserve"> 2012)</w:t>
      </w:r>
      <w:r w:rsidR="00C96EF9" w:rsidRPr="00FC5A3E">
        <w:rPr>
          <w:rStyle w:val="Strong"/>
          <w:b w:val="0"/>
          <w:sz w:val="20"/>
          <w:szCs w:val="20"/>
        </w:rPr>
        <w:fldChar w:fldCharType="end"/>
      </w:r>
      <w:r w:rsidR="00C96EF9" w:rsidRPr="00FC5A3E">
        <w:rPr>
          <w:rStyle w:val="Strong"/>
          <w:b w:val="0"/>
          <w:sz w:val="20"/>
          <w:szCs w:val="20"/>
        </w:rPr>
        <w:t xml:space="preserve"> važni čimbenici rizika za karcinom želuca. Prehrana bogata solju i </w:t>
      </w:r>
      <w:r w:rsidR="00FE0ADE" w:rsidRPr="00FC5A3E">
        <w:rPr>
          <w:rStyle w:val="Strong"/>
          <w:b w:val="0"/>
          <w:sz w:val="20"/>
          <w:szCs w:val="20"/>
        </w:rPr>
        <w:t>N-nitrozo</w:t>
      </w:r>
      <w:r w:rsidR="00CD48FB">
        <w:rPr>
          <w:rStyle w:val="Strong"/>
          <w:b w:val="0"/>
          <w:sz w:val="20"/>
          <w:szCs w:val="20"/>
        </w:rPr>
        <w:t xml:space="preserve"> </w:t>
      </w:r>
      <w:r w:rsidR="00FE0ADE" w:rsidRPr="00FC5A3E">
        <w:rPr>
          <w:rStyle w:val="Strong"/>
          <w:b w:val="0"/>
          <w:sz w:val="20"/>
          <w:szCs w:val="20"/>
        </w:rPr>
        <w:t xml:space="preserve">spojevima u konzerviranom mesu povećava rizik za razvoj karcinoma želuca, dok prehrana bazirana na voću i povrću taj rizik smanjuje </w:t>
      </w:r>
      <w:r w:rsidR="00FE0ADE" w:rsidRPr="00FC5A3E">
        <w:rPr>
          <w:rStyle w:val="Strong"/>
          <w:b w:val="0"/>
          <w:sz w:val="20"/>
          <w:szCs w:val="20"/>
        </w:rPr>
        <w:fldChar w:fldCharType="begin" w:fldLock="1"/>
      </w:r>
      <w:r w:rsidR="00A822FF" w:rsidRPr="00FC5A3E">
        <w:rPr>
          <w:rStyle w:val="Strong"/>
          <w:b w:val="0"/>
          <w:sz w:val="20"/>
          <w:szCs w:val="20"/>
        </w:rPr>
        <w:instrText>ADDIN CSL_CITATION {"citationItems":[{"id":"ITEM-1","itemData":{"DOI":"10.1007/s10120-007-0420-0","ISSN":"14363291","abstract":"There are geographic and ethnic differences in the incidence of gastric cancer around the world as well as with its trends for each population over time. The incidence patterns observed among immigrants change according to where they live. All of these factors serve to indicate the close association of gastric cancer with modifiable factors such as diet. This review presents epidemiological evidence on the association between dietary factors and gastric cancer based on previous systematic reviews and subsequent updates. Infection with Helicobacter pylori is a strong and established risk factor of gastric cancer but is not a sufficient cause for its development. Substantial evidence from ecological, case-control, and cohort studies strongly suggests that the risk may be increased with a high intake of various traditional salt-preserved foods and salt per se and decreased with a high intake of fruit and vegetables, particularly fruit. However, it remains unclear which constituents in fruit and vegetables play a significant role in gastric cancer prevention. Among them, vitamin C is a plausible candidate supported by a relatively large body of epidemiological evidence. Consumption of green tea is possibly associated with a decreased risk of gastric cancer, although the protective effects have been, for the most part, identified in Japanese women, most of whom are nonsmokers. In contrast, processed meat and N-nitroso compounds may be positively associated with the risk of gastric cancer. In conclusion, dietary modification by reducing salt and salted food intake, as well as by increasing intake of fruit and vitamin C, represents a practical strategy to prevent gastric cancer.","author":[{"dropping-particle":"","family":"Tsugane","given":"Shoichiro","non-dropping-particle":"","parse-names":false,"suffix":""},{"dropping-particle":"","family":"Sasazuki","given":"Shizuka","non-dropping-particle":"","parse-names":false,"suffix":""}],"container-title":"Gastric Cancer","id":"ITEM-1","issue":"2","issued":{"date-parts":[["2007"]]},"page":"75-83","title":"Diet and the risk of gastric cancer: Review of epidemiological evidence","type":"article-journal","volume":"10"},"uris":["http://www.mendeley.com/documents/?uuid=ff256a30-137a-4514-b31c-812b4857643b"]}],"mendeley":{"formattedCitation":"(Tsugane and Sasazuki, 2007)","manualFormatting":"(Tsugane i Sasazuki, 2007)","plainTextFormattedCitation":"(Tsugane and Sasazuki, 2007)","previouslyFormattedCitation":"(Tsugane and Sasazuki, 2007)"},"properties":{"noteIndex":0},"schema":"https://github.com/citation-style-language/schema/raw/master/csl-citation.json"}</w:instrText>
      </w:r>
      <w:r w:rsidR="00FE0ADE" w:rsidRPr="00FC5A3E">
        <w:rPr>
          <w:rStyle w:val="Strong"/>
          <w:b w:val="0"/>
          <w:sz w:val="20"/>
          <w:szCs w:val="20"/>
        </w:rPr>
        <w:fldChar w:fldCharType="separate"/>
      </w:r>
      <w:r w:rsidR="00D93F85" w:rsidRPr="00FC5A3E">
        <w:rPr>
          <w:rStyle w:val="Strong"/>
          <w:b w:val="0"/>
          <w:noProof/>
          <w:sz w:val="20"/>
          <w:szCs w:val="20"/>
        </w:rPr>
        <w:t xml:space="preserve">(Tsugane </w:t>
      </w:r>
      <w:r w:rsidR="00A822FF" w:rsidRPr="00FC5A3E">
        <w:rPr>
          <w:rStyle w:val="Strong"/>
          <w:b w:val="0"/>
          <w:noProof/>
          <w:sz w:val="20"/>
          <w:szCs w:val="20"/>
        </w:rPr>
        <w:t>i</w:t>
      </w:r>
      <w:r w:rsidR="00D93F85" w:rsidRPr="00FC5A3E">
        <w:rPr>
          <w:rStyle w:val="Strong"/>
          <w:b w:val="0"/>
          <w:noProof/>
          <w:sz w:val="20"/>
          <w:szCs w:val="20"/>
        </w:rPr>
        <w:t xml:space="preserve"> Sasazuki, 2007)</w:t>
      </w:r>
      <w:r w:rsidR="00FE0ADE" w:rsidRPr="00FC5A3E">
        <w:rPr>
          <w:rStyle w:val="Strong"/>
          <w:b w:val="0"/>
          <w:sz w:val="20"/>
          <w:szCs w:val="20"/>
        </w:rPr>
        <w:fldChar w:fldCharType="end"/>
      </w:r>
      <w:r w:rsidR="00FE0ADE" w:rsidRPr="00FC5A3E">
        <w:rPr>
          <w:rStyle w:val="Strong"/>
          <w:b w:val="0"/>
          <w:sz w:val="20"/>
          <w:szCs w:val="20"/>
        </w:rPr>
        <w:t xml:space="preserve">. </w:t>
      </w:r>
      <w:r w:rsidR="00226229" w:rsidRPr="00FC5A3E">
        <w:rPr>
          <w:rStyle w:val="Strong"/>
          <w:b w:val="0"/>
          <w:sz w:val="20"/>
          <w:szCs w:val="20"/>
        </w:rPr>
        <w:t>Krvna gru</w:t>
      </w:r>
      <w:r w:rsidR="00D93F85" w:rsidRPr="00FC5A3E">
        <w:rPr>
          <w:rStyle w:val="Strong"/>
          <w:b w:val="0"/>
          <w:sz w:val="20"/>
          <w:szCs w:val="20"/>
        </w:rPr>
        <w:t xml:space="preserve">pa A dodatni je čimbenik rizika, a u ovoj je grupi povećana i učestalost perniciozne anemije koja je zasebni čimbenik rizika </w:t>
      </w:r>
      <w:r w:rsidR="00D93F85" w:rsidRPr="00FC5A3E">
        <w:rPr>
          <w:rStyle w:val="Strong"/>
          <w:b w:val="0"/>
          <w:sz w:val="20"/>
          <w:szCs w:val="20"/>
        </w:rPr>
        <w:fldChar w:fldCharType="begin" w:fldLock="1"/>
      </w:r>
      <w:r w:rsidR="00A822FF" w:rsidRPr="00FC5A3E">
        <w:rPr>
          <w:rStyle w:val="Strong"/>
          <w:b w:val="0"/>
          <w:sz w:val="20"/>
          <w:szCs w:val="20"/>
        </w:rPr>
        <w:instrText>ADDIN CSL_CITATION {"citationItems":[{"id":"ITEM-1","itemData":{"DOI":"10.1093/aje/kwq299","ISSN":"00029262","abstract":"Blood group A was found to be associated with gastric cancer in the 1950s. Strikingly, for peptic ulcers an increased risk has been shown for blood group O. However, previous investigations have generally been poorly conducted and have failed to take a unifying approach to these observations. Using the Scandinavian Donations and Transfusions (referred to as \"SCANDAT\") database, the authors established a cohort of Swedish and Danish blood donors with known blood type and followed these for the occurrence of gastric cancer and peptic ulcers through December 31, 2002. Cases were ascertained by using nationwide cancer and hospital registers. Altogether, 1,089,022 donors were followed for up to 35 years, during which 688 gastric cancer cases and 5,667 peptic ulcer cases accrued. Poisson regression analyses confirmed an increased risk of gastric cancer among individuals with blood group A (incidence rate ratio = 1.20, 95% confidence interval: 1.02, 1.42) and conversely that peptic ulcer risk was instead highest among those with blood group O. In this large, population-based cohort study, the authors have confirmed the association between blood group A and gastric cancer. In addition, they give further support to the notion that individuals with blood group O have a higher risk of peptic ulcers than those with other blood groups.","author":[{"dropping-particle":"","family":"Edgren","given":"Gustaf","non-dropping-particle":"","parse-names":false,"suffix":""},{"dropping-particle":"","family":"Hjalgrim","given":"Henrik","non-dropping-particle":"","parse-names":false,"suffix":""},{"dropping-particle":"","family":"Rostgaard","given":"Klaus","non-dropping-particle":"","parse-names":false,"suffix":""},{"dropping-particle":"","family":"Norda","given":"Rut","non-dropping-particle":"","parse-names":false,"suffix":""},{"dropping-particle":"","family":"Wikman","given":"Agneta","non-dropping-particle":"","parse-names":false,"suffix":""},{"dropping-particle":"","family":"Melbye","given":"Mads","non-dropping-particle":"","parse-names":false,"suffix":""},{"dropping-particle":"","family":"Nyrén","given":"Olof","non-dropping-particle":"","parse-names":false,"suffix":""}],"container-title":"American Journal of Epidemiology","id":"ITEM-1","issue":"11","issued":{"date-parts":[["2010"]]},"page":"1280-1285","title":"Risk of gastric cancer and peptic ulcers in relation to ABO blood type: A cohort study","type":"article-journal","volume":"172"},"uris":["http://www.mendeley.com/documents/?uuid=30fd165d-4794-45b2-94e9-69a8a33acaa0"]}],"mendeley":{"formattedCitation":"(Edgren &lt;i&gt;et al.&lt;/i&gt;, 2010)","manualFormatting":"(Edgren i sur., 2010)","plainTextFormattedCitation":"(Edgren et al., 2010)","previouslyFormattedCitation":"(Edgren &lt;i&gt;et al.&lt;/i&gt;, 2010)"},"properties":{"noteIndex":0},"schema":"https://github.com/citation-style-language/schema/raw/master/csl-citation.json"}</w:instrText>
      </w:r>
      <w:r w:rsidR="00D93F85" w:rsidRPr="00FC5A3E">
        <w:rPr>
          <w:rStyle w:val="Strong"/>
          <w:b w:val="0"/>
          <w:sz w:val="20"/>
          <w:szCs w:val="20"/>
        </w:rPr>
        <w:fldChar w:fldCharType="separate"/>
      </w:r>
      <w:r w:rsidR="00D93F85" w:rsidRPr="00FC5A3E">
        <w:rPr>
          <w:rStyle w:val="Strong"/>
          <w:b w:val="0"/>
          <w:noProof/>
          <w:sz w:val="20"/>
          <w:szCs w:val="20"/>
        </w:rPr>
        <w:t xml:space="preserve">(Edgren </w:t>
      </w:r>
      <w:r w:rsidR="00D93F85" w:rsidRPr="00FC5A3E">
        <w:rPr>
          <w:rStyle w:val="Strong"/>
          <w:b w:val="0"/>
          <w:i/>
          <w:noProof/>
          <w:sz w:val="20"/>
          <w:szCs w:val="20"/>
        </w:rPr>
        <w:t>i sur.,</w:t>
      </w:r>
      <w:r w:rsidR="00D93F85" w:rsidRPr="00FC5A3E">
        <w:rPr>
          <w:rStyle w:val="Strong"/>
          <w:b w:val="0"/>
          <w:noProof/>
          <w:sz w:val="20"/>
          <w:szCs w:val="20"/>
        </w:rPr>
        <w:t xml:space="preserve"> 2010)</w:t>
      </w:r>
      <w:r w:rsidR="00D93F85" w:rsidRPr="00FC5A3E">
        <w:rPr>
          <w:rStyle w:val="Strong"/>
          <w:b w:val="0"/>
          <w:sz w:val="20"/>
          <w:szCs w:val="20"/>
        </w:rPr>
        <w:fldChar w:fldCharType="end"/>
      </w:r>
      <w:r w:rsidR="00D93F85" w:rsidRPr="00FC5A3E">
        <w:rPr>
          <w:rStyle w:val="Strong"/>
          <w:b w:val="0"/>
          <w:sz w:val="20"/>
          <w:szCs w:val="20"/>
        </w:rPr>
        <w:t>.</w:t>
      </w:r>
      <w:r w:rsidR="00A822FF" w:rsidRPr="00FC5A3E">
        <w:rPr>
          <w:rStyle w:val="Strong"/>
          <w:b w:val="0"/>
          <w:sz w:val="20"/>
          <w:szCs w:val="20"/>
        </w:rPr>
        <w:t xml:space="preserve"> Konačno, karcinom želuca češći je kod muškaraca nego kod žena </w:t>
      </w:r>
      <w:r w:rsidR="00A822FF" w:rsidRPr="00FC5A3E">
        <w:rPr>
          <w:rStyle w:val="Strong"/>
          <w:b w:val="0"/>
          <w:sz w:val="20"/>
          <w:szCs w:val="20"/>
        </w:rPr>
        <w:fldChar w:fldCharType="begin" w:fldLock="1"/>
      </w:r>
      <w:r w:rsidR="00DF726A" w:rsidRPr="00FC5A3E">
        <w:rPr>
          <w:rStyle w:val="Strong"/>
          <w:b w:val="0"/>
          <w:sz w:val="20"/>
          <w:szCs w:val="20"/>
        </w:rPr>
        <w:instrText>ADDIN CSL_CITATION {"citationItems":[{"id":"ITEM-1","itemData":{"DOI":"10.3322/caac.21492","ISSN":"1542-4863","PMID":"30207593","abstract":"This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clinicians","id":"ITEM-1","issue":"6","issued":{"date-parts":[["2018"]]},"page":"394-424","title":"Global cancer statistics 2018: GLOBOCAN estimates of incidence and mortality worldwide for 36 cancers in 185 countries.","type":"article-journal","volume":"68"},"uris":["http://www.mendeley.com/documents/?uuid=f8768d8d-7990-43e4-bdc6-3ee8dcda3945"]}],"mendeley":{"formattedCitation":"(Bray &lt;i&gt;et al.&lt;/i&gt;, 2018)","manualFormatting":"(Bray i sur., 2018)","plainTextFormattedCitation":"(Bray et al., 2018)","previouslyFormattedCitation":"(Bray &lt;i&gt;et al.&lt;/i&gt;, 2018)"},"properties":{"noteIndex":0},"schema":"https://github.com/citation-style-language/schema/raw/master/csl-citation.json"}</w:instrText>
      </w:r>
      <w:r w:rsidR="00A822FF" w:rsidRPr="00FC5A3E">
        <w:rPr>
          <w:rStyle w:val="Strong"/>
          <w:b w:val="0"/>
          <w:sz w:val="20"/>
          <w:szCs w:val="20"/>
        </w:rPr>
        <w:fldChar w:fldCharType="separate"/>
      </w:r>
      <w:r w:rsidR="00A822FF" w:rsidRPr="00FC5A3E">
        <w:rPr>
          <w:rStyle w:val="Strong"/>
          <w:b w:val="0"/>
          <w:noProof/>
          <w:sz w:val="20"/>
          <w:szCs w:val="20"/>
        </w:rPr>
        <w:t xml:space="preserve">(Bray </w:t>
      </w:r>
      <w:r w:rsidR="00DF726A" w:rsidRPr="00FC5A3E">
        <w:rPr>
          <w:rStyle w:val="Strong"/>
          <w:b w:val="0"/>
          <w:i/>
          <w:noProof/>
          <w:sz w:val="20"/>
          <w:szCs w:val="20"/>
        </w:rPr>
        <w:t>i sur.,</w:t>
      </w:r>
      <w:r w:rsidR="00A822FF" w:rsidRPr="00FC5A3E">
        <w:rPr>
          <w:rStyle w:val="Strong"/>
          <w:b w:val="0"/>
          <w:noProof/>
          <w:sz w:val="20"/>
          <w:szCs w:val="20"/>
        </w:rPr>
        <w:t xml:space="preserve"> 2018)</w:t>
      </w:r>
      <w:r w:rsidR="00A822FF" w:rsidRPr="00FC5A3E">
        <w:rPr>
          <w:rStyle w:val="Strong"/>
          <w:b w:val="0"/>
          <w:sz w:val="20"/>
          <w:szCs w:val="20"/>
        </w:rPr>
        <w:fldChar w:fldCharType="end"/>
      </w:r>
      <w:r w:rsidR="00A822FF" w:rsidRPr="00FC5A3E">
        <w:rPr>
          <w:rStyle w:val="Strong"/>
          <w:b w:val="0"/>
          <w:sz w:val="20"/>
          <w:szCs w:val="20"/>
        </w:rPr>
        <w:t xml:space="preserve">. Moguće objašnjenje je zaštitni učinak estrogena </w:t>
      </w:r>
      <w:r w:rsidR="00A822FF" w:rsidRPr="00FC5A3E">
        <w:rPr>
          <w:rStyle w:val="Strong"/>
          <w:b w:val="0"/>
          <w:sz w:val="20"/>
          <w:szCs w:val="20"/>
        </w:rPr>
        <w:fldChar w:fldCharType="begin" w:fldLock="1"/>
      </w:r>
      <w:r w:rsidR="00DF726A" w:rsidRPr="00FC5A3E">
        <w:rPr>
          <w:rStyle w:val="Strong"/>
          <w:b w:val="0"/>
          <w:sz w:val="20"/>
          <w:szCs w:val="20"/>
        </w:rPr>
        <w:instrText>ADDIN CSL_CITATION {"citationItems":[{"id":"ITEM-1","itemData":{"DOI":"10.1002/ijc.30024","ISSN":"10970215","abstract":"Gastric cancer incidence varies greatly worldwide, but is consistently twice as high in men than in women. The hormone-related factors hypothesized to be associated with lower risk of gastric cancer in women have not been fully explored in populations with a high background risk of gastric cancer. The Singapore Chinese Health Study (SCHS) is a prospective cohort study in which 34,022 of the participants enrolled between 1993 and 1998 were women between 45 and 74 years of age. Information on reproductive histories, hormone replacement therapy (HRT) and oral contraceptive (OC) use was collected through in-person interviews at baseline. As of December 31, 2013, 269 incident gastric cancer cases were identified. Multivariable-adjusted hazard ratios (HRs) and 95% confidence intervals (CIs) were calculated to evaluate gastric cancer risk associations. Older age at natural menopause (&gt;/=55 versus &lt;45 years: HR = 0.50, 95% CI: 0.25-0.99), type of menopause (other versus natural: HR = 0.48, 95% CI: 0.27-0.87) and greater years of menstrual cycling (fourth versus first quartile: HR = 0.67, 95% CI: 0.46-0.96) were associated with a decreased risk of gastric cancer. Ever use of OCs and HRT was also associated with reduced risk of gastric cancer; the multivariable-adjusted HRs (95% CIs) were 0.40 (0.17-0.90) for use of HRT &gt;3 years and 0.67 (0.47-0.94) for ever use of OCs, compared with never use. Reproductive factors associated with a longer window of fertility and the use of exogenous hormones were shown to reduce gastric cancer development in a cohort of Chinese women with a high background risk of gastric cancer. (c) 2016 UICC.","author":[{"dropping-particle":"","family":"Wang","given":"Zhensheng","non-dropping-particle":"","parse-names":false,"suffix":""},{"dropping-particle":"","family":"Butler","given":"Lesley M.","non-dropping-particle":"","parse-names":false,"suffix":""},{"dropping-particle":"","family":"Wu","given":"Anna H.","non-dropping-particle":"","parse-names":false,"suffix":""},{"dropping-particle":"","family":"Koh","given":"Woon Puay","non-dropping-particle":"","parse-names":false,"suffix":""},{"dropping-particle":"","family":"Jin","given":"Aizhen","non-dropping-particle":"","parse-names":false,"suffix":""},{"dropping-particle":"","family":"Wang","given":"Renwei","non-dropping-particle":"","parse-names":false,"suffix":""},{"dropping-particle":"","family":"Yuan","given":"Jian Min","non-dropping-particle":"","parse-names":false,"suffix":""}],"container-title":"International Journal of Cancer","id":"ITEM-1","issue":"12","issued":{"date-parts":[["2016"]]},"page":"2837-2845","title":"Reproductive factors, hormone use and gastric cancer risk: The Singapore Chinese Health Study","type":"article-journal","volume":"138"},"uris":["http://www.mendeley.com/documents/?uuid=7eaa6469-7433-40af-be1f-9930637001d0"]}],"mendeley":{"formattedCitation":"(Wang &lt;i&gt;et al.&lt;/i&gt;, 2016)","manualFormatting":"(Wang i sur., 2016)","plainTextFormattedCitation":"(Wang et al., 2016)","previouslyFormattedCitation":"(Wang &lt;i&gt;et al.&lt;/i&gt;, 2016)"},"properties":{"noteIndex":0},"schema":"https://github.com/citation-style-language/schema/raw/master/csl-citation.json"}</w:instrText>
      </w:r>
      <w:r w:rsidR="00A822FF" w:rsidRPr="00FC5A3E">
        <w:rPr>
          <w:rStyle w:val="Strong"/>
          <w:b w:val="0"/>
          <w:sz w:val="20"/>
          <w:szCs w:val="20"/>
        </w:rPr>
        <w:fldChar w:fldCharType="separate"/>
      </w:r>
      <w:r w:rsidR="00A822FF" w:rsidRPr="00FC5A3E">
        <w:rPr>
          <w:rStyle w:val="Strong"/>
          <w:b w:val="0"/>
          <w:noProof/>
          <w:sz w:val="20"/>
          <w:szCs w:val="20"/>
        </w:rPr>
        <w:t xml:space="preserve">(Wang </w:t>
      </w:r>
      <w:r w:rsidR="00DF726A" w:rsidRPr="00FC5A3E">
        <w:rPr>
          <w:rStyle w:val="Strong"/>
          <w:b w:val="0"/>
          <w:i/>
          <w:noProof/>
          <w:sz w:val="20"/>
          <w:szCs w:val="20"/>
        </w:rPr>
        <w:t>i sur.,</w:t>
      </w:r>
      <w:r w:rsidR="00A822FF" w:rsidRPr="00FC5A3E">
        <w:rPr>
          <w:rStyle w:val="Strong"/>
          <w:b w:val="0"/>
          <w:noProof/>
          <w:sz w:val="20"/>
          <w:szCs w:val="20"/>
        </w:rPr>
        <w:t xml:space="preserve"> 2016)</w:t>
      </w:r>
      <w:r w:rsidR="00A822FF" w:rsidRPr="00FC5A3E">
        <w:rPr>
          <w:rStyle w:val="Strong"/>
          <w:b w:val="0"/>
          <w:sz w:val="20"/>
          <w:szCs w:val="20"/>
        </w:rPr>
        <w:fldChar w:fldCharType="end"/>
      </w:r>
      <w:r w:rsidR="00A822FF" w:rsidRPr="00FC5A3E">
        <w:rPr>
          <w:rStyle w:val="Strong"/>
          <w:b w:val="0"/>
          <w:sz w:val="20"/>
          <w:szCs w:val="20"/>
        </w:rPr>
        <w:t xml:space="preserve">. </w:t>
      </w:r>
    </w:p>
    <w:p w:rsidR="00DF726A" w:rsidRPr="00DF726A" w:rsidRDefault="00A37DE1" w:rsidP="00A37DE1">
      <w:pPr>
        <w:pStyle w:val="Heading2"/>
        <w:numPr>
          <w:ilvl w:val="1"/>
          <w:numId w:val="18"/>
        </w:numPr>
        <w:rPr>
          <w:rStyle w:val="Strong"/>
        </w:rPr>
      </w:pPr>
      <w:r>
        <w:rPr>
          <w:rStyle w:val="Strong"/>
          <w:b/>
        </w:rPr>
        <w:lastRenderedPageBreak/>
        <w:t xml:space="preserve"> </w:t>
      </w:r>
      <w:bookmarkStart w:id="2" w:name="_Toc7695561"/>
      <w:r w:rsidR="00DF726A">
        <w:rPr>
          <w:rStyle w:val="Strong"/>
          <w:b/>
        </w:rPr>
        <w:t>Pentraxin 3</w:t>
      </w:r>
      <w:bookmarkEnd w:id="2"/>
    </w:p>
    <w:p w:rsidR="0073138B" w:rsidRPr="00E67E82" w:rsidRDefault="00382CC4" w:rsidP="00E67E82">
      <w:pPr>
        <w:spacing w:line="360" w:lineRule="auto"/>
        <w:jc w:val="both"/>
        <w:rPr>
          <w:rStyle w:val="Strong"/>
          <w:rFonts w:eastAsiaTheme="majorEastAsia" w:cstheme="majorBidi"/>
          <w:b w:val="0"/>
          <w:sz w:val="20"/>
          <w:szCs w:val="20"/>
        </w:rPr>
      </w:pPr>
      <w:r w:rsidRPr="00E732FF">
        <w:rPr>
          <w:rStyle w:val="Strong"/>
          <w:b w:val="0"/>
          <w:bCs w:val="0"/>
        </w:rPr>
        <w:br/>
      </w:r>
      <w:r w:rsidR="00712F55" w:rsidRPr="00E732FF">
        <w:rPr>
          <w:rStyle w:val="Strong"/>
          <w:b w:val="0"/>
          <w:bCs w:val="0"/>
        </w:rPr>
        <w:t xml:space="preserve"> </w:t>
      </w:r>
      <w:r w:rsidR="00A37DE1" w:rsidRPr="00E67E82">
        <w:rPr>
          <w:rStyle w:val="Strong"/>
          <w:b w:val="0"/>
          <w:bCs w:val="0"/>
          <w:sz w:val="20"/>
          <w:szCs w:val="20"/>
        </w:rPr>
        <w:t xml:space="preserve">Long pentraxin 3 (PTX3) otkriven je 1992. godine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{"citationItems":[{"id":"ITEM-1","itemData":{"PMID":"1429570","abstract":"Sphingolipid metabolites participate in key events of signal transduction and cell regulation. In the sphingomyelin cycle, a number of extracellular agents and insults (such as tumor necrosis factor, Fas ligands, and chemotherapeutic agents) cause the activation of sphingomyelinases, which act on membrane sphingomyelin and release ceramide. Multiple experimental approaches suggest an important role for ceramide in regulating such diverse responses as cell cycle arrest, apoptosis, and cell senescence. In vitro, ceramide activates a serine-threonine protein phosphatase, and in cells it regulates protein phosphorylation as well as multiple downstream targets such as interleukin converting enzyme (ICE)-like proteases, stress-activated protein kinases, and the retinoblastoma gene product that mediate its distinct cellular effects. This spectrum of inducers of ceramide accumulation and the nature of ceramide-mediated responses suggest that ceramide is a key component of intracellular stress response pathways.","author":[{"dropping-particle":"","family":"Breviario","given":"Ferruccio","non-dropping-particle":"","parse-names":false,"suffix":""},{"dropping-particle":"","family":"Aniello","given":"Elisabetta M","non-dropping-particle":"","parse-names":false,"suffix":""},{"dropping-particle":"","family":"Golay","given":"Josee","non-dropping-particle":"","parse-names":false,"suffix":""},{"dropping-particle":"","family":"Peri","given":"Giuseppe","non-dropping-particle":"","parse-names":false,"suffix":""},{"dropping-particle":"","family":"Bottazzi","given":"Barbara","non-dropping-particle":"","parse-names":false,"suffix":""},{"dropping-particle":"","family":"Bairoch","given":"Amos","non-dropping-particle":"","parse-names":false,"suffix":""},{"dropping-particle":"","family":"Saccone","given":"Salvatore","non-dropping-particle":"","parse-names":false,"suffix":""},{"dropping-particle":"","family":"Marzella","given":"Rosalia","non-dropping-particle":"","parse-names":false,"suffix":""},{"dropping-particle":"","family":"Predazzi","given":"Valentina","non-dropping-particle":"","parse-names":false,"suffix":""},{"dropping-particle":"","family":"Rocchi","given":"Mariano","non-dropping-particle":"","parse-names":false,"suffix":""},{"dropping-particle":"Della","family":"Valle","given":"Giuliano","non-dropping-particle":"","parse-names":false,"suffix":""},{"dropping-particle":"","family":"Dejana","given":"Elisabetta","non-dropping-particle":"","parse-names":false,"suffix":""},{"dropping-particle":"","family":"Mantovani","given":"Alberto","non-dropping-particle":"","parse-names":false,"suffix":""},{"dropping-particle":"","family":"Introna","given":"Martino","non-dropping-particle":"","parse-names":false,"suffix":""}],"container-title":"The Journal of Biological Chemistry","id":"ITEM-1","issue":"31","issued":{"date-parts":[["1992"]]},"page":"22190-22197","title":"Interleukin-1-inducible genes in endothelial cells","type":"article-journal","volume":"267"},"uris":["http://www.mendeley.com/documents/?uuid=21528fd4-a61b-4a4f-b7cd-3effe1175129"]}],"mendeley":{"formattedCitation":"(Breviario &lt;i&gt;et al.&lt;/i&gt;, 1992)","manualFormatting":"(Breviario i sur., 1992)","plainTextFormattedCitation":"(Breviario et al., 1992)","previouslyFormattedCitation":"(Breviario &lt;i&gt;et al.&lt;/i&gt;, 1992)"},"properties":{"noteIndex":0},"schema":"https://github.com/citation-style-language/schema/raw/master/csl-citation.json"}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(Breviario </w:t>
      </w:r>
      <w:r w:rsidR="003F4A87">
        <w:rPr>
          <w:rStyle w:val="Strong"/>
          <w:b w:val="0"/>
          <w:bCs w:val="0"/>
          <w:i/>
          <w:noProof/>
          <w:sz w:val="20"/>
          <w:szCs w:val="20"/>
        </w:rPr>
        <w:t>i sur.,</w:t>
      </w:r>
      <w:r w:rsidR="00A37DE1" w:rsidRPr="00E67E82">
        <w:rPr>
          <w:rStyle w:val="Strong"/>
          <w:b w:val="0"/>
          <w:bCs w:val="0"/>
          <w:noProof/>
          <w:sz w:val="20"/>
          <w:szCs w:val="20"/>
        </w:rPr>
        <w:t xml:space="preserve"> 1992)</w:t>
      </w:r>
      <w:r w:rsidR="00A37DE1" w:rsidRPr="00E67E82">
        <w:rPr>
          <w:rStyle w:val="Strong"/>
          <w:b w:val="0"/>
          <w:bCs w:val="0"/>
          <w:sz w:val="20"/>
          <w:szCs w:val="20"/>
        </w:rPr>
        <w:fldChar w:fldCharType="end"/>
      </w:r>
      <w:r w:rsidR="00A37DE1" w:rsidRPr="00E67E82">
        <w:rPr>
          <w:rStyle w:val="Strong"/>
          <w:b w:val="0"/>
          <w:bCs w:val="0"/>
          <w:sz w:val="20"/>
          <w:szCs w:val="20"/>
        </w:rPr>
        <w:t xml:space="preserve">. Naziva se i TNF-stimulated gene 14 (TSG-14). Humani PTX3 po molekularnoj strukturi je glikoprotein od 45 kDa koji se sastoji od multiplih protomernih podjedinica međusobno povezanih disufidnim vezama. Svaka protomerna podjedinica sastoji se od 381 aminokiseline koje formiraju signalni peptid, N-terminalnu domenu i C-terminalnu domenu </w:t>
      </w:r>
      <w:r w:rsidR="00A37DE1" w:rsidRPr="00E67E82">
        <w:rPr>
          <w:rStyle w:val="Strong"/>
          <w:b w:val="0"/>
          <w:bCs w:val="0"/>
          <w:sz w:val="20"/>
          <w:szCs w:val="20"/>
        </w:rPr>
        <w:fldChar w:fldCharType="begin" w:fldLock="1"/>
      </w:r>
      <w:r w:rsidR="00F41B60">
        <w:rPr>
          <w:rStyle w:val="Strong"/>
          <w:b w:val="0"/>
          <w:bCs w:val="0"/>
          <w:sz w:val="20"/>
          <w:szCs w:val="20"/>
        </w:rPr>
        <w:instrText xml:space="preserve">ADDIN CSL_CITATION {"citationItems":[{"id":"ITEM-1","itemData":{"DOI":"10.1074/jbc.272.52.32817","ISSN":"0021-9258","abstract":"PTX3 is a prototypic long pentraxin consisting of a C-terminal 203-amino acid pentraxin-like domain cou- pled with an N-terminal 178-amino acid unrelated por- tion. The present study was designed to characterize the structure and ligand binding properties of human PTX3, in comparison with the classical pentraxins C-reactive protein and serum amyloid P component. Sequencing of Chinese hamster ovary cell-expressed PTX3 revealed that the mature secreted protein starts at residue 18 (Glu). Lectin binding and treatment with N-glycosidase F showed that PTX3 is N-glycosylated, sugars account- ing for 5 kDa of the monomer mass (45 kDa). Circular dichroism analysis indicated that the protein consists predominantly of </w:instrText>
      </w:r>
      <w:r w:rsidR="00F41B60">
        <w:rPr>
          <w:rStyle w:val="Strong"/>
          <w:rFonts w:hint="eastAsia"/>
          <w:b w:val="0"/>
          <w:bCs w:val="0"/>
          <w:sz w:val="20"/>
          <w:szCs w:val="20"/>
        </w:rPr>
        <w:instrText></w:instrText>
      </w:r>
      <w:r w:rsidR="00F41B60">
        <w:rPr>
          <w:rStyle w:val="Strong"/>
          <w:b w:val="0"/>
          <w:bCs w:val="0"/>
          <w:sz w:val="20"/>
          <w:szCs w:val="20"/>
        </w:rPr>
        <w:instrText xml:space="preserve">-sheets with a minor </w:instrText>
      </w:r>
      <w:r w:rsidR="00F41B60">
        <w:rPr>
          <w:rStyle w:val="Strong"/>
          <w:rFonts w:hint="eastAsia"/>
          <w:b w:val="0"/>
          <w:bCs w:val="0"/>
          <w:sz w:val="20"/>
          <w:szCs w:val="20"/>
        </w:rPr>
        <w:instrText></w:instrText>
      </w:r>
      <w:r w:rsidR="00F41B60">
        <w:rPr>
          <w:rStyle w:val="Strong"/>
          <w:b w:val="0"/>
          <w:bCs w:val="0"/>
          <w:sz w:val="20"/>
          <w:szCs w:val="20"/>
        </w:rPr>
        <w:instrText xml:space="preserve">-helical com- ponent. While in gel filtration the protein is eluted with a molecular mass of </w:instrText>
      </w:r>
      <w:r w:rsidR="00F41B60">
        <w:rPr>
          <w:rStyle w:val="Strong"/>
          <w:rFonts w:hint="eastAsia"/>
          <w:b w:val="0"/>
          <w:bCs w:val="0"/>
          <w:sz w:val="20"/>
          <w:szCs w:val="20"/>
        </w:rPr>
        <w:instrText></w:instrText>
      </w:r>
      <w:r w:rsidR="00F41B60">
        <w:rPr>
          <w:rStyle w:val="Strong"/>
          <w:b w:val="0"/>
          <w:bCs w:val="0"/>
          <w:sz w:val="20"/>
          <w:szCs w:val="20"/>
        </w:rPr>
        <w:instrText>900 kDa, gel electrophoresis using nondenaturing, nonreducing conditions revealed that PTX3 forms multimers predominantly of 440 kDa appar- ent molecular mass, corresponding to decamers, and that disulfide bonds are required for multimer forma- tion. The ligand binding properties of PTX3 were then examined. As predicted based on modeling, inductive coupled plasma/atomic emission spectroscopy showed that PTX3 does not have coordinated Ca2</w:instrText>
      </w:r>
      <w:r w:rsidR="00F41B60">
        <w:rPr>
          <w:rStyle w:val="Strong"/>
          <w:rFonts w:hint="eastAsia"/>
          <w:b w:val="0"/>
          <w:bCs w:val="0"/>
          <w:sz w:val="20"/>
          <w:szCs w:val="20"/>
        </w:rPr>
        <w:instrText></w:instrText>
      </w:r>
      <w:r w:rsidR="00F41B60">
        <w:rPr>
          <w:rStyle w:val="Strong"/>
          <w:b w:val="0"/>
          <w:bCs w:val="0"/>
          <w:sz w:val="20"/>
          <w:szCs w:val="20"/>
        </w:rPr>
        <w:instrText xml:space="preserve">. Unlike the classical pentraxins CRP and SAP, PTX3 did not bind phosphoethanolamine, phosphocholine, or high pyru- vate agarose. PTX3 in solution, bound to immobilized C1q, but not C1s, and, reciprocally, C1q bound to immo- bilized PTX3. Binding of PTX3 to C1q is specific and saturable with a Kd 7.4 </w:instrText>
      </w:r>
      <w:r w:rsidR="00F41B60">
        <w:rPr>
          <w:rStyle w:val="Strong"/>
          <w:rFonts w:hint="eastAsia"/>
          <w:b w:val="0"/>
          <w:bCs w:val="0"/>
          <w:sz w:val="20"/>
          <w:szCs w:val="20"/>
        </w:rPr>
        <w:instrText></w:instrText>
      </w:r>
      <w:r w:rsidR="00F41B60">
        <w:rPr>
          <w:rStyle w:val="Strong"/>
          <w:b w:val="0"/>
          <w:bCs w:val="0"/>
          <w:sz w:val="20"/>
          <w:szCs w:val="20"/>
        </w:rPr>
        <w:instrText xml:space="preserve"> 10</w:instrText>
      </w:r>
      <w:r w:rsidR="00F41B60">
        <w:rPr>
          <w:rStyle w:val="Strong"/>
          <w:rFonts w:hint="eastAsia"/>
          <w:b w:val="0"/>
          <w:bCs w:val="0"/>
          <w:sz w:val="20"/>
          <w:szCs w:val="20"/>
        </w:rPr>
        <w:instrText></w:instrText>
      </w:r>
      <w:r w:rsidR="00F41B60">
        <w:rPr>
          <w:rStyle w:val="Strong"/>
          <w:b w:val="0"/>
          <w:bCs w:val="0"/>
          <w:sz w:val="20"/>
          <w:szCs w:val="20"/>
        </w:rPr>
        <w:instrText>8 M as determined by solid phase binding assay. The Chinese hamster ovary cell- expressed pentraxin domain bound C1q when multim- erized. Thus, as predicted on the basis of computer mod- eling, the prototypic long pentraxin PTX3 forms multimers, which differ from those formed by classical pentraxins in terms of protomer composition and re-","author":[{"dropping-particle":"","family":"Bottazzi","given":"Barbara","non-dropping-particle":"","parse-names":false,"suffix":""},{"dropping-particle":"","family":"Vouret-Craviari","given":"Valérie","non-dropping-particle":"","parse-names":false,"suffix":""},{"dropping-particle":"","family":"Bastone","given":"Antonio","non-dropping-particle":"","parse-names":false,"suffix":""},{"dropping-particle":"","family":"Gioia","given":"Luca","non-dropping-particle":"De","parse-names":false,"suffix":""},{"dropping-particle":"","family":"Matteucci","given":"Cristian","non-dropping-particle":"","parse-names":false,"suffix":""},{"dropping-particle":"","family":"Peri","given":"Giuseppe","non-dropping-particle":"","parse-names":false,"suffix":""},{"dropping-particle":"","family":"Spreafico","given":"Fabio","non-dropping-particle":"","parse-names":false,"suffix":""},{"dropping-particle":"","family":"Pausa","given":"Mario","non-dropping-particle":"","parse-names":false,"suffix":""},{"dropping-particle":"","family":"D’Ettorre","given":"Cinzia","non-dropping-particle":"","parse-names":false,"suffix":""},{"dropping-particle":"","family":"Gianazza","given":"Elisabetta","non-dropping-particle":"","parse-names":false,"suffix":""},{"dropping-particle":"","family":"Tagliabue","given":"Aldo","non-dropping-particle":"","parse-names":false,"suffix":""},{"dropping-particle":"","family":"Salmona","given":"Mario","non-dropping-particle":"","parse-names":false,"suffix":""},{"dropping-particle":"","family":"Tedesco","given":"Francesco","non-dropping-particle":"","parse-names":false,"suffix":""},{"dropping-particle":"","family":"Introna","given":"Martino","non-dropping-particle":"","parse-names":false,"suffix":""},{"dropping-particle":"","family":"Mantovani","given":"Alberto","non-dropping-particle":"","parse-names":false,"suffix":""}],"container-title":"Journal of Biological Chemistry","id":"ITEM-1","issue":"52","issued":{"date-parts":[["2002"]]},"page":"32817-32823","title":"Multimer Formation and Ligand Recognition by the Long Pentraxin PTX3","type":"article-journal","volume":"272"},"uris":["http://www.mendeley.com/documents/?uuid=68ff93f7-377e-4b11-a92b-cf1a4a1ba790"]}],"mendeley":{"formattedCitation":"(Bottazzi &lt;i&gt;et al.&lt;/i&gt;, 2002)","manualFormatting":"(Bottazzi i sur., 2002)","plainTextFormattedCitation":"(Bottazzi et al., 2002)","previouslyFormattedCitation":"(Bottazzi &lt;i&gt;et al.&lt;/i&gt;, 2002)"},"properties":{"noteIndex":0},"schema":"https://github.com/citation-style-language/schema/raw/master/csl-citation.json"}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(Bottazzi </w:t>
      </w:r>
      <w:r w:rsidR="003F4A87">
        <w:rPr>
          <w:rStyle w:val="Strong"/>
          <w:b w:val="0"/>
          <w:bCs w:val="0"/>
          <w:i/>
          <w:noProof/>
          <w:sz w:val="20"/>
          <w:szCs w:val="20"/>
        </w:rPr>
        <w:t>i sur.,</w:t>
      </w:r>
      <w:r w:rsidR="00A37DE1" w:rsidRPr="00E67E82">
        <w:rPr>
          <w:rStyle w:val="Strong"/>
          <w:b w:val="0"/>
          <w:bCs w:val="0"/>
          <w:noProof/>
          <w:sz w:val="20"/>
          <w:szCs w:val="20"/>
        </w:rPr>
        <w:t xml:space="preserve"> 2002)</w:t>
      </w:r>
      <w:r w:rsidR="00A37DE1" w:rsidRPr="00E67E82">
        <w:rPr>
          <w:rStyle w:val="Strong"/>
          <w:b w:val="0"/>
          <w:bCs w:val="0"/>
          <w:sz w:val="20"/>
          <w:szCs w:val="20"/>
        </w:rPr>
        <w:fldChar w:fldCharType="end"/>
      </w:r>
      <w:r w:rsidR="00A37DE1" w:rsidRPr="00E67E82">
        <w:rPr>
          <w:rStyle w:val="Strong"/>
          <w:b w:val="0"/>
          <w:bCs w:val="0"/>
          <w:sz w:val="20"/>
          <w:szCs w:val="20"/>
        </w:rPr>
        <w:t>. PTX3 pripada obitelji pentraksina u koju se ubrajaju i tzv. kratki pentraksini: C-reaktivni protein (CRP) i serumska a</w:t>
      </w:r>
      <w:r w:rsidR="00E67E82">
        <w:rPr>
          <w:rStyle w:val="Strong"/>
          <w:b w:val="0"/>
          <w:bCs w:val="0"/>
          <w:sz w:val="20"/>
          <w:szCs w:val="20"/>
        </w:rPr>
        <w:t xml:space="preserve">miloidna P-komponenta (SAP). </w:t>
      </w:r>
      <w:r w:rsidR="00A37DE1" w:rsidRPr="00E67E82">
        <w:rPr>
          <w:rStyle w:val="Strong"/>
          <w:b w:val="0"/>
          <w:bCs w:val="0"/>
          <w:sz w:val="20"/>
          <w:szCs w:val="20"/>
        </w:rPr>
        <w:t xml:space="preserve">Originalno je opisan kao solubilni receptor koji prepoznaje molekularne obrasce povezane s patogenom u sklopu prirođene imunosti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author":[{"dropping-particle":"","family":"Victor","given":"By","non-dropping-particle":"","parse-names":false,"suffix":""},{"dropping-particle":"","family":"Alles","given":"Vidal","non-dropping-particle":"","parse-names":false,"suffix":""},{"dropping-particle":"","family":"Bottazzi","given":"Barbara","non-dropping-particle":"","parse-names":false,"suffix":""},{"dropping-particle":"","family":"Peri","given":"Giuseppe","non-dropping-particle":"","parse-names":false,"suffix":""},{"dropping-particle":"","family":"Golay","given":"Jose","non-dropping-particle":"","parse-names":false,"suffix":""},{"dropping-particle":"","family":"Introna","given":"Martino","non-dropping-particle":"","parse-names":false,"suffix":""},{"dropping-particle":"","family":"Mantovatli","given":"Alberto","non-dropping-particle":"","parse-names":false,"suffix":""}],"id":"ITEM-1","issue":"10","issued":{"date-parts":[["2015"]]},"page":"3483-3493","title":"Inducible Expression of PTX3, a New Member","type":"article-journal","volume":"84"},"uris":["http://www.mendeley.com/documents/?uuid=1453af71-4221-4cd5-b9ad-3f5ca2acefc0"]}],"mendeley":{"formattedCitation":"(Victor &lt;i&gt;et al.&lt;/i&gt;, 2015)","manualFormatting":"(Victor i sur., 2015)","plainTextFormattedCitation":"(Victor et al., 2015)","previouslyFormattedCitation":"(Victor &lt;i&gt;et al.&lt;/i&gt;, 2015)"},"properties":{"noteIndex":0},"schema":"https://github.com/citation-style-language/schema/raw/master/csl-citation.json"}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(Victor </w:t>
      </w:r>
      <w:r w:rsidR="003F4A87">
        <w:rPr>
          <w:rStyle w:val="Strong"/>
          <w:b w:val="0"/>
          <w:bCs w:val="0"/>
          <w:i/>
          <w:noProof/>
          <w:sz w:val="20"/>
          <w:szCs w:val="20"/>
        </w:rPr>
        <w:t>i sur.,</w:t>
      </w:r>
      <w:r w:rsidR="00A37DE1" w:rsidRPr="00E67E82">
        <w:rPr>
          <w:rStyle w:val="Strong"/>
          <w:b w:val="0"/>
          <w:bCs w:val="0"/>
          <w:noProof/>
          <w:sz w:val="20"/>
          <w:szCs w:val="20"/>
        </w:rPr>
        <w:t xml:space="preserve"> 2015)</w:t>
      </w:r>
      <w:r w:rsidR="00A37DE1" w:rsidRPr="00E67E82">
        <w:rPr>
          <w:rStyle w:val="Strong"/>
          <w:b w:val="0"/>
          <w:bCs w:val="0"/>
          <w:sz w:val="20"/>
          <w:szCs w:val="20"/>
        </w:rPr>
        <w:fldChar w:fldCharType="end"/>
      </w:r>
      <w:r w:rsidR="008328CA">
        <w:rPr>
          <w:rStyle w:val="Strong"/>
          <w:b w:val="0"/>
          <w:bCs w:val="0"/>
          <w:sz w:val="20"/>
          <w:szCs w:val="20"/>
        </w:rPr>
        <w:t xml:space="preserve">. </w:t>
      </w:r>
      <w:r w:rsidR="00A37DE1" w:rsidRPr="00E67E82">
        <w:rPr>
          <w:rStyle w:val="Strong"/>
          <w:b w:val="0"/>
          <w:bCs w:val="0"/>
          <w:sz w:val="20"/>
          <w:szCs w:val="20"/>
        </w:rPr>
        <w:t xml:space="preserve">Humani PTX3 gen identificiran je probirom cDNA knjižnice stvorene iz endotelnih stanica humane umbilikalne vene stimuliranih IL-1β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{"citationItems":[{"id":"ITEM-1","itemData":{"PMID":"1429570","abstract":"Sphingolipid metabolites participate in key events of signal transduction and cell regulation. In the sphingomyelin cycle, a number of extracellular agents and insults (such as tumor necrosis factor, Fas ligands, and chemotherapeutic agents) cause the activation of sphingomyelinases, which act on membrane sphingomyelin and release ceramide. Multiple experimental approaches suggest an important role for ceramide in regulating such diverse responses as cell cycle arrest, apoptosis, and cell senescence. In vitro, ceramide activates a serine-threonine protein phosphatase, and in cells it regulates protein phosphorylation as well as multiple downstream targets such as interleukin converting enzyme (ICE)-like proteases, stress-activated protein kinases, and the retinoblastoma gene product that mediate its distinct cellular effects. This spectrum of inducers of ceramide accumulation and the nature of ceramide-mediated responses suggest that ceramide is a key component of intracellular stress response pathways.","author":[{"dropping-particle":"","family":"Breviario","given":"Ferruccio","non-dropping-particle":"","parse-names":false,"suffix":""},{"dropping-particle":"","family":"Aniello","given":"Elisabetta M","non-dropping-particle":"","parse-names":false,"suffix":""},{"dropping-particle":"","family":"Golay","given":"Josee","non-dropping-particle":"","parse-names":false,"suffix":""},{"dropping-particle":"","family":"Peri","given":"Giuseppe","non-dropping-particle":"","parse-names":false,"suffix":""},{"dropping-particle":"","family":"Bottazzi","given":"Barbara","non-dropping-particle":"","parse-names":false,"suffix":""},{"dropping-particle":"","family":"Bairoch","given":"Amos","non-dropping-particle":"","parse-names":false,"suffix":""},{"dropping-particle":"","family":"Saccone","given":"Salvatore","non-dropping-particle":"","parse-names":false,"suffix":""},{"dropping-particle":"","family":"Marzella","given":"Rosalia","non-dropping-particle":"","parse-names":false,"suffix":""},{"dropping-particle":"","family":"Predazzi","given":"Valentina","non-dropping-particle":"","parse-names":false,"suffix":""},{"dropping-particle":"","family":"Rocchi","given":"Mariano","non-dropping-particle":"","parse-names":false,"suffix":""},{"dropping-particle":"Della","family":"Valle","given":"Giuliano","non-dropping-particle":"","parse-names":false,"suffix":""},{"dropping-particle":"","family":"Dejana","given":"Elisabetta","non-dropping-particle":"","parse-names":false,"suffix":""},{"dropping-particle":"","family":"Mantovani","given":"Alberto","non-dropping-particle":"","parse-names":false,"suffix":""},{"dropping-particle":"","family":"Introna","given":"Martino","non-dropping-particle":"","parse-names":false,"suffix":""}],"container-title":"The Journal of Biological Chemistry","id":"ITEM-1","issue":"31","issued":{"date-parts":[["1992"]]},"page":"22190-22197","title":"Interleukin-1-inducible genes in endothelial cells","type":"article-journal","volume":"267"},"uris":["http://www.mendeley.com/documents/?uuid=21528fd4-a61b-4a4f-b7cd-3effe1175129"]}],"mendeley":{"formattedCitation":"(Breviario &lt;i&gt;et al.&lt;/i&gt;, 1992)","manualFormatting":"(Breviario i sur., 1992)","plainTextFormattedCitation":"(Breviario et al., 1992)","previouslyFormattedCitation":"(Breviario &lt;i&gt;et al.&lt;/i&gt;, 1992)"},"properties":{"noteIndex":0},"schema":"https://github.com/citation-style-language/schema/raw/master/csl-citation.json"}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(Breviario </w:t>
      </w:r>
      <w:r w:rsidR="003F4A87">
        <w:rPr>
          <w:rStyle w:val="Strong"/>
          <w:b w:val="0"/>
          <w:bCs w:val="0"/>
          <w:i/>
          <w:noProof/>
          <w:sz w:val="20"/>
          <w:szCs w:val="20"/>
        </w:rPr>
        <w:t>i sur.,</w:t>
      </w:r>
      <w:r w:rsidR="00A37DE1" w:rsidRPr="00E67E82">
        <w:rPr>
          <w:rStyle w:val="Strong"/>
          <w:b w:val="0"/>
          <w:bCs w:val="0"/>
          <w:noProof/>
          <w:sz w:val="20"/>
          <w:szCs w:val="20"/>
        </w:rPr>
        <w:t xml:space="preserve"> 1992)</w:t>
      </w:r>
      <w:r w:rsidR="00A37DE1" w:rsidRPr="00E67E82">
        <w:rPr>
          <w:rStyle w:val="Strong"/>
          <w:b w:val="0"/>
          <w:bCs w:val="0"/>
          <w:sz w:val="20"/>
          <w:szCs w:val="20"/>
        </w:rPr>
        <w:fldChar w:fldCharType="end"/>
      </w:r>
      <w:r w:rsidR="00A37DE1" w:rsidRPr="00E67E82">
        <w:rPr>
          <w:rStyle w:val="Strong"/>
          <w:b w:val="0"/>
          <w:bCs w:val="0"/>
          <w:sz w:val="20"/>
          <w:szCs w:val="20"/>
        </w:rPr>
        <w:t xml:space="preserve"> te iz humanih fibroblasta stimuliranih TGF-α i TNF-α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{"citationItems":[{"id":"ITEM-1","itemData":{"ISSN":"1550-6606","abstract":"TNF-stimulated gene-1 4 (TSG-14) encodes a secreted glycoprotein with significant sequence homology to C-re-active protein (CRP) and serum amyloid P component (SAP), members of the pentraxin family of acute phase proteins. TSG-14 mRNA was elevated in human FS-4 fibroblasts by treatment with TNF, IL-1 , or bacterial LPS, and weakly by dexamethasone. Abs to recombinant TSG-14 immunoprecipitated a 42-kDa protein from the culture supernatants of TNF-or IL-1-stimulated FS-4 cells. TSG-14 protein was also inducible in the Hep3B human hepatoma cell line by TNF, IL-1, IL-6, or dexamethasone. CRP protein, identified by immunoprecipitation of a 25-kDa band with Abs to CRP, was induced in Hep3B cells by IL-1, IL-6, or dexamethasone. Immunoprecipitations with polyclonal Abs to TSG-14 and CRP suggested that the two proteins are immunologically cross-reactive. Appearance of TSG-14 protein was demonstrated in the serum of mice after injection with LPS. No TSG-14 mRNA was detected in the liver of LPS-injected mice, suggesting that hepatocytes are not the major site of TSG-14 synthesis. Thus, in the intact organism the main cellular sources of TSG-14 and classical acute phase proteins appear to be different.","author":[{"dropping-particle":"","family":"Lee","given":"G W","non-dropping-particle":"","parse-names":false,"suffix":""},{"dropping-particle":"","family":"Goodman","given":"A R","non-dropping-particle":"","parse-names":false,"suffix":""},{"dropping-particle":"","family":"Lee","given":"T H","non-dropping-particle":"","parse-names":false,"suffix":""},{"dropping-particle":"","family":"Vilcek","given":"J","non-dropping-particle":"","parse-names":false,"suffix":""},{"dropping-particle":"","family":"Lee","given":"Gene W","non-dropping-particle":"","parse-names":false,"suffix":""},{"dropping-particle":"","family":"Goodman","given":"Adam R","non-dropping-particle":"","parse-names":false,"suffix":""},{"dropping-particle":"","family":"Lee","given":"Tae H","non-dropping-particle":"","parse-names":false,"suffix":""},{"dropping-particle":"","family":"Vileek4","given":"Jan","non-dropping-particle":"","parse-names":false,"suffix":""}],"container-title":"J Immunol The Journal of Immunology at Nagoya City University on June The Journal of Immunology","id":"ITEM-1","issue":"153","issued":{"date-parts":[["2016"]]},"page":"3700-3707","title":"pentraxin family of major acute phase Relationship of TSG-14 protein to the Relationship of TSG-14 Protein to the Pentraxin Family of Major Acute Phase Proteins'","type":"article-journal","volume":"153"},"uris":["http://www.mendeley.com/documents/?uuid=3cbf5990-69fb-434b-9f0f-b54c6a54f6cf"]}],"mendeley":{"formattedCitation":"(Lee &lt;i&gt;et al.&lt;/i&gt;, 2016)","manualFormatting":"(Lee i sur., 2016)","plainTextFormattedCitation":"(Lee et al., 2016)","previouslyFormattedCitation":"(Lee &lt;i&gt;et al.&lt;/i&gt;, 2016)"},"properties":{"noteIndex":0},"schema":"https://github.com/citation-style-language/schema/raw/master/csl-citation.json"}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(Lee </w:t>
      </w:r>
      <w:r w:rsidR="003F4A87">
        <w:rPr>
          <w:rStyle w:val="Strong"/>
          <w:b w:val="0"/>
          <w:bCs w:val="0"/>
          <w:i/>
          <w:noProof/>
          <w:sz w:val="20"/>
          <w:szCs w:val="20"/>
        </w:rPr>
        <w:t>i sur.,</w:t>
      </w:r>
      <w:r w:rsidR="00A37DE1" w:rsidRPr="00E67E82">
        <w:rPr>
          <w:rStyle w:val="Strong"/>
          <w:b w:val="0"/>
          <w:bCs w:val="0"/>
          <w:noProof/>
          <w:sz w:val="20"/>
          <w:szCs w:val="20"/>
        </w:rPr>
        <w:t xml:space="preserve"> 2016)</w:t>
      </w:r>
      <w:r w:rsidR="00A37DE1" w:rsidRPr="00E67E82">
        <w:rPr>
          <w:rStyle w:val="Strong"/>
          <w:b w:val="0"/>
          <w:bCs w:val="0"/>
          <w:sz w:val="20"/>
          <w:szCs w:val="20"/>
        </w:rPr>
        <w:fldChar w:fldCharType="end"/>
      </w:r>
      <w:r w:rsidR="00A37DE1" w:rsidRPr="00E67E82">
        <w:rPr>
          <w:rStyle w:val="Strong"/>
          <w:b w:val="0"/>
          <w:bCs w:val="0"/>
          <w:sz w:val="20"/>
          <w:szCs w:val="20"/>
        </w:rPr>
        <w:t xml:space="preserve">. Gen za PTX3 lociran je na kromosomu 3q25, za razliku od gena za kratke pentraksine koji su mapirani na kromosomu 1. PTX3 gen sastoji se od triju egzona. Prva dva egzona kodiraju N-terminalnu domenu, dok treći egzon kodira C-terminalnu domenu i odgovara drugom egzonu kratkih pentraksina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{"citationItems":[{"id":"ITEM-1","itemData":{"DOI":"10.1016/j.semarthrit.2008.03.006","ISSN":"00490172","abstract":"Objectives: To review the physiological and physiopathological roles of pentraxin 3 (PTX3), focusing on autoimmunity and vascular pathology. Methods: A systematic literature review using the keywords \"pentraxin 3,\" \"innate immunity,\" \"apoptosis,\" \"autoimmunity,\" and \"endothelial dysfunction\" from 1990 to 2007 was performed. All relevant articles and pertinent secondary references in English were reviewed. Results: PTX3 has a large number of multiple functions in different contexts. PTX3 plays an important role in innate immunity, inflammation, vascular integrity, fertility, pregnancy, and also in the central nervous system. In innate immunity, its normal function is to increase the immune response to selected pathogens while also exerting control over potential autoimmune reactions. It maintains a tightly homeostatic equilibrium in the local immune microenvironment by avoiding an exaggerated immune response and controlling peripheral tolerance to self-antigens. In contrast, in some autoimmune diseases, PTX3 appears to be involved in the development of autoimmune phenomena. A possible explanation for these apparent paradoxical functions may be related to the highly polymorphic PTX3 gene. Conclusion: PTX3 is physiologically a protective molecule. However, in several autoimmune diseases PTX3 appears to facilitate the development of autoimmunity. The PTX3 gene could influence the development of autoimmune reactions and vascular involvement in human pathology. © 2008 Elsevier Inc. All rights reserved.","author":[{"dropping-particle":"","family":"Ortega-Hernandez","given":"Oscar Danilo","non-dropping-particle":"","parse-names":false,"suffix":""},{"dropping-particle":"","family":"Bassi","given":"Nicola","non-dropping-particle":"","parse-names":false,"suffix":""},{"dropping-particle":"","family":"Shoenfeld","given":"Yehuda","non-dropping-particle":"","parse-names":false,"suffix":""},{"dropping-particle":"","family":"Anaya","given":"Juan Manuel","non-dropping-particle":"","parse-names":false,"suffix":""}],"container-title":"Seminars in Arthritis and Rheumatism","id":"ITEM-1","issue":"1","issued":{"date-parts":[["2009"]]},"page":"38-54","publisher":"Elsevier Inc.","title":"The Long Pentraxin 3 and Its Role in Autoimmunity","type":"article-journal","volume":"39"},"uris":["http://www.mendeley.com/documents/?uuid=7e8dca96-1442-4ee1-9421-f79bc429ee86"]}],"mendeley":{"formattedCitation":"(Ortega-Hernandez &lt;i&gt;et al.&lt;/i&gt;, 2009)","manualFormatting":"(Ortega-Hernandez i sur., 2009)","plainTextFormattedCitation":"(Ortega-Hernandez et al., 2009)","previouslyFormattedCitation":"(Ortega-Hernandez &lt;i&gt;et al.&lt;/i&gt;, 2009)"},"properties":{"noteIndex":0},"schema":"https://github.com/citation-style-language/schema/raw/master/csl-citation.json"}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(Ortega-Hernandez </w:t>
      </w:r>
      <w:r w:rsidR="003F4A87">
        <w:rPr>
          <w:rStyle w:val="Strong"/>
          <w:b w:val="0"/>
          <w:bCs w:val="0"/>
          <w:i/>
          <w:noProof/>
          <w:sz w:val="20"/>
          <w:szCs w:val="20"/>
        </w:rPr>
        <w:t>i sur.,</w:t>
      </w:r>
      <w:r w:rsidR="00A37DE1" w:rsidRPr="00E67E82">
        <w:rPr>
          <w:rStyle w:val="Strong"/>
          <w:b w:val="0"/>
          <w:bCs w:val="0"/>
          <w:noProof/>
          <w:sz w:val="20"/>
          <w:szCs w:val="20"/>
        </w:rPr>
        <w:t xml:space="preserve"> 2009)</w:t>
      </w:r>
      <w:r w:rsidR="00A37DE1" w:rsidRPr="00E67E82">
        <w:rPr>
          <w:rStyle w:val="Strong"/>
          <w:b w:val="0"/>
          <w:bCs w:val="0"/>
          <w:sz w:val="20"/>
          <w:szCs w:val="20"/>
        </w:rPr>
        <w:fldChar w:fldCharType="end"/>
      </w:r>
      <w:r w:rsidR="00A37DE1" w:rsidRPr="00E67E82">
        <w:rPr>
          <w:rStyle w:val="Strong"/>
          <w:b w:val="0"/>
          <w:bCs w:val="0"/>
          <w:sz w:val="20"/>
          <w:szCs w:val="20"/>
        </w:rPr>
        <w:t xml:space="preserve">. Ekpresiju PTX3 induciraju proupalni citokini IL-1β i TNF-α, građevne komponente mikroorganizama poput lipopolisaharida i lipoarabinomanana, agonisti Toll-like receptora (TLR), trombin i protuupalni citokin IL-10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{"citationItems":[{"id":"ITEM-1","itemData":{"DOI":"10.1146/annurev-immunol-030409-101305","ISSN":"0732-0582","abstract":"The innate immune system consists of a cellular and a humoral arm. Pentraxins (e.g., the short pentraxin C reactive protein and the long pentraxin PTX3) are key components of the humoral arm of innate immunity which also includes complement components, collectins, and ficolins. In response to microorganisms and tissue damage, neutrophils, macrophages, and dendritic cells are major sources of fluid-phase pattern-recognition molecules (PRMs) belonging to different molecular classes. Humoral PRMs in turn interact with and regulate cellular effectors. Effector mechanisms of the humoral innate immune system include activation and regulation of the complement cascade; agglutination and neutralization; facilitation of recognition via cellular receptors (opsonization); and regulation of inflammation. Thus, the humoral arm of innate immunity is an integrated system consisting of different molecules and sharing functional outputs with antibodies.","author":[{"dropping-particle":"","family":"Bottazzi","given":"Barbara","non-dropping-particle":"","parse-names":false,"suffix":""},{"dropping-particle":"","family":"Doni","given":"Andrea","non-dropping-particle":"","parse-names":false,"suffix":""},{"dropping-particle":"","family":"Garlanda","given":"Cecilia","non-dropping-particle":"","parse-names":false,"suffix":""},{"dropping-particle":"","family":"Mantovani","given":"Alberto","non-dropping-particle":"","parse-names":false,"suffix":""}],"container-title":"Annual Review of Immunology","id":"ITEM-1","issue":"1","issued":{"date-parts":[["2009"]]},"page":"157-183","title":"An Integrated View of Humoral Innate Immunity: Pentraxins as a Paradigm","type":"article-journal","volume":"28"},"uris":["http://www.mendeley.com/documents/?uuid=6594d767-466e-441e-bf44-aee492522b16"]},{"id":"ITEM-2","itemData":{"DOI":"10.1160/TH14-01-0034","ISSN":"03406245","abstract":"Thrombin is essential for blood coagulation but functions also as a mediator of cellular signalling. Gene expression microarray experiments in human monocytes revealed thrombin-induced upregulation of a limited subset of genes, which are almost exclusively involved in inflammation and wound healing. Among these, the expression of F3 gene encoding for tissue factor (TF) was enhanced indicating that this physiological initiator of coagulation cascade may create a feed-forward loop to enhance blood coagulation. Activation of protease-activated receptor type 1 (PAR1) was shown to play a main role in promoting TF expression. Moreover, thrombin induced phosphorylation of ERK1/2, an event that is required for expression of thrombin-regulated genes. Thrombin also increased the expression of TF at the protein level in monocytes as evidenced by Western blot and immunostaining. Furthermore, FXa generation induced by thrombin-stimulated monocytes was abolished by a TF blocking antibody and therefore it is entirely attributable to the expression of tissue factor. This cellular activity of thrombin provides a new molecular link between coagulation, inflammation and wound healing.","author":[{"dropping-particle":"","family":"Lopéz","given":"Mercedes L.","non-dropping-particle":"","parse-names":false,"suffix":""},{"dropping-particle":"","family":"Bruges","given":"Gustavo","non-dropping-particle":"","parse-names":false,"suffix":""},{"dropping-particle":"","family":"Crespo","given":"Gustavo","non-dropping-particle":"","parse-names":false,"suffix":""},{"dropping-particle":"","family":"Salazar","given":"Victor","non-dropping-particle":"","parse-names":false,"suffix":""},{"dropping-particle":"","family":"Deglesne","given":"Pierre Antoine","non-dropping-particle":"","parse-names":false,"suffix":""},{"dropping-particle":"","family":"Schneider","given":"Heike","non-dropping-particle":"","parse-names":false,"suffix":""},{"dropping-particle":"","family":"Cabrera-Fuentes","given":"Hector","non-dropping-particle":"","parse-names":false,"suffix":""},{"dropping-particle":"","family":"Lienhard Schmitz","given":"M.","non-dropping-particle":"","parse-names":false,"suffix":""},{"dropping-particle":"","family":"Preissner","given":"Klaus T.","non-dropping-particle":"","parse-names":false,"suffix":""}],"container-title":"Thrombosis and Haemostasis","id":"ITEM-2","issue":"5","issued":{"date-parts":[["2014"]]},"page":"992-1001","title":"Thrombin selectively induces transcription of genes in human monocytes involved in inflammation and wound healing","type":"article-journal","volume":"112"},"uris":["http://www.mendeley.com/documents/?uuid=b6e4842b-c40f-4bb3-97be-ffdf66d257c2"]},{"id":"ITEM-3","itemData":{"DOI":"10.1189/jlb.0905493","ISSN":"0741-5400","abstract":"The protopypic long pentraxin 3 (PTX3) is a unique, humoral pattern-recognition receptor, which plays a nonredundant function in innate resistance to pathogens. Dendritic cells (DC) of myelomonocytic origin, but not plasmacytoid DC, are a major source of PTX3 in response to Toll-like receptor (TLR) engagement. The present study was designed to explore the regulation of PTX3 production in DC. PTX3 production was induced by TLR ligands, CD40 ligand, and interleukin (IL)-1beta and was suppressed by dexamethasone, 1alpha, 25-dihydroxivitamin D3, and prostaglandin E2. It was unexpected that lipopolysaccharide (LPS)-stimulated PTX3 production was enhanced by IL-10 and inhibited by IL-4 and interferon-gamma (IFN-gamma). Enhancement of PTX3 production by IL-10 was also evident when Pam3 Cys-Ser-(Lys)4.3HCl, a TLR2-TLR1 agonist, polyionisicpolycytidylic acid, a TLR3 agonist, and IL-1beta were used as stimuli. The effect of IL-10 was blocked by an anti-IL-10 monoclonal antibody (mAb) or an anti-IL-10 receptor alpha mAb, which also reduced the LPS-induced production. Thus, production of PTX3 in DC is subjected to a distinct regulatory network, with inhibition by IFN-gamma and enhancement by IL-10. The amplification by IL-10 of production of a nonredundant component of fluid-phase innate immunity mirrors the IL-10 stimulatory function on B cells in adaptive immunity. As PTX3 is also an extracellular matrix component, IL-10-enhanced PTX3 production may play a role in orchestration of tissue remodeling in chronic inflammation.","author":[{"dropping-particle":"","family":"Doni","given":"A.","non-dropping-particle":"","parse-names":false,"suffix":""}],"container-title":"Journal of Leukocyte Biology","id":"ITEM-3","issue":"4","issued":{"date-parts":[["2006"]]},"page":"797-802","title":"Regulation of PTX3, a key component of humoral innate immunity in human dendritic cells: stimulation by IL-10 and inhibition by IFN- ","type":"article-journal","volume":"79"},"uris":["http://www.mendeley.com/documents/?uuid=886eb76b-b519-4701-a9ef-d283cd4b8507"]}],"mendeley":{"formattedCitation":"(Doni, 2006; Bottazzi &lt;i&gt;et al.&lt;/i&gt;, 2009; Lopéz &lt;i&gt;et al.&lt;/i&gt;, 2014)","manualFormatting":"(Doni, 2006; Bottazzi i sur., 2009; Lopéz i sur., 2014)","plainTextFormattedCitation":"(Doni, 2006; Bottazzi et al., 2009; Lopéz et al., 2014)","previouslyFormattedCitation":"(Doni, 2006; Bottazzi &lt;i&gt;et al.&lt;/i&gt;, 2009; Lopéz &lt;i&gt;et al.&lt;/i&gt;, 2014)"},"properties":{"noteIndex":0},"schema":"https://github.com/citation-style-language/schema/raw/master/csl-citation.json"}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(Doni, 2006; Bottazzi </w:t>
      </w:r>
      <w:r w:rsidR="003F4A87">
        <w:rPr>
          <w:rStyle w:val="Strong"/>
          <w:b w:val="0"/>
          <w:bCs w:val="0"/>
          <w:i/>
          <w:noProof/>
          <w:sz w:val="20"/>
          <w:szCs w:val="20"/>
        </w:rPr>
        <w:t>i sur.,</w:t>
      </w:r>
      <w:r w:rsidR="00A37DE1" w:rsidRPr="00E67E82">
        <w:rPr>
          <w:rStyle w:val="Strong"/>
          <w:b w:val="0"/>
          <w:bCs w:val="0"/>
          <w:noProof/>
          <w:sz w:val="20"/>
          <w:szCs w:val="20"/>
        </w:rPr>
        <w:t xml:space="preserve"> 2009; Lopéz </w:t>
      </w:r>
      <w:r w:rsidR="003F4A87">
        <w:rPr>
          <w:rStyle w:val="Strong"/>
          <w:b w:val="0"/>
          <w:bCs w:val="0"/>
          <w:i/>
          <w:noProof/>
          <w:sz w:val="20"/>
          <w:szCs w:val="20"/>
        </w:rPr>
        <w:t>i sur.,</w:t>
      </w:r>
      <w:r w:rsidR="00A37DE1" w:rsidRPr="00E67E82">
        <w:rPr>
          <w:rStyle w:val="Strong"/>
          <w:b w:val="0"/>
          <w:bCs w:val="0"/>
          <w:noProof/>
          <w:sz w:val="20"/>
          <w:szCs w:val="20"/>
        </w:rPr>
        <w:t xml:space="preserve"> 2014)</w:t>
      </w:r>
      <w:r w:rsidR="00A37DE1" w:rsidRPr="00E67E82">
        <w:rPr>
          <w:rStyle w:val="Strong"/>
          <w:b w:val="0"/>
          <w:bCs w:val="0"/>
          <w:sz w:val="20"/>
          <w:szCs w:val="20"/>
        </w:rPr>
        <w:fldChar w:fldCharType="end"/>
      </w:r>
      <w:r w:rsidR="00A37DE1" w:rsidRPr="00E67E82">
        <w:rPr>
          <w:rStyle w:val="Strong"/>
          <w:b w:val="0"/>
          <w:bCs w:val="0"/>
          <w:sz w:val="20"/>
          <w:szCs w:val="20"/>
        </w:rPr>
        <w:t>. Maksimalna ekspresija bilježi se 4 do 6 sati nakon stimulacije. Normalna serumska koncent</w:t>
      </w:r>
      <w:r w:rsidR="008328CA">
        <w:rPr>
          <w:rStyle w:val="Strong"/>
          <w:b w:val="0"/>
          <w:bCs w:val="0"/>
          <w:sz w:val="20"/>
          <w:szCs w:val="20"/>
        </w:rPr>
        <w:t>racija PTX3 je &lt;</w:t>
      </w:r>
      <w:r w:rsidR="00A37DE1" w:rsidRPr="00E67E82">
        <w:rPr>
          <w:rStyle w:val="Strong"/>
          <w:b w:val="0"/>
          <w:bCs w:val="0"/>
          <w:sz w:val="20"/>
          <w:szCs w:val="20"/>
        </w:rPr>
        <w:t xml:space="preserve">2 ng/ml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{"citationItems":[{"id":"ITEM-1","itemData":{"DOI":"10.1515/CCLM.2009.110","ISSN":"14346621","abstract":"The aim of this study was to evaluate the distribution of pentraxin 3 (PTX3) values in healthy subjects and to characterize its relationship with gender, age, body mass index (BMI), lipid profile, and blood sugar levels.","author":[{"dropping-particle":"","family":"Yamasaki","given":"Kazumi","non-dropping-particle":"","parse-names":false,"suffix":""},{"dropping-particle":"","family":"Kurimura","given":"Mayumi","non-dropping-particle":"","parse-names":false,"suffix":""},{"dropping-particle":"","family":"Kasai","given":"Takatoshi","non-dropping-particle":"","parse-names":false,"suffix":""},{"dropping-particle":"","family":"Sagara","given":"Mina","non-dropping-particle":"","parse-names":false,"suffix":""},{"dropping-particle":"","family":"Kodama","given":"Tatsuhiko","non-dropping-particle":"","parse-names":false,"suffix":""},{"dropping-particle":"","family":"Inoue","given":"Kenji","non-dropping-particle":"","parse-names":false,"suffix":""}],"container-title":"Clinical Chemistry and Laboratory Medicine","id":"ITEM-1","issue":"4","issued":{"date-parts":[["2009"]]},"page":"471-477","title":"Determination of physiological plasma pentraxin 3 (PTX3) levels in healthy populations","type":"article-journal","volume":"47"},"uris":["http://www.mendeley.com/documents/?uuid=2e4b6a4f-d7a1-48fa-a754-1fe4e31cbc4b"]}],"mendeley":{"formattedCitation":"(Yamasaki &lt;i&gt;et al.&lt;/i&gt;, 2009)","manualFormatting":"(Yamasaki i sur., 2009)","plainTextFormattedCitation":"(Yamasaki et al., 2009)","previouslyFormattedCitation":"(Yamasaki &lt;i&gt;et al.&lt;/i&gt;, 2009)"},"properties":{"noteIndex":0},"schema":"https://github.com/citation-style-language/schema/raw/master/csl-citation.json"}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(Yamasaki </w:t>
      </w:r>
      <w:r w:rsidR="003F4A87">
        <w:rPr>
          <w:rStyle w:val="Strong"/>
          <w:b w:val="0"/>
          <w:bCs w:val="0"/>
          <w:i/>
          <w:noProof/>
          <w:sz w:val="20"/>
          <w:szCs w:val="20"/>
        </w:rPr>
        <w:t>i sur.,</w:t>
      </w:r>
      <w:r w:rsidR="00A37DE1" w:rsidRPr="00E67E82">
        <w:rPr>
          <w:rStyle w:val="Strong"/>
          <w:b w:val="0"/>
          <w:bCs w:val="0"/>
          <w:noProof/>
          <w:sz w:val="20"/>
          <w:szCs w:val="20"/>
        </w:rPr>
        <w:t xml:space="preserve"> 2009)</w:t>
      </w:r>
      <w:r w:rsidR="00A37DE1" w:rsidRPr="00E67E82">
        <w:rPr>
          <w:rStyle w:val="Strong"/>
          <w:b w:val="0"/>
          <w:bCs w:val="0"/>
          <w:sz w:val="20"/>
          <w:szCs w:val="20"/>
        </w:rPr>
        <w:fldChar w:fldCharType="end"/>
      </w:r>
      <w:r w:rsidR="00A37DE1" w:rsidRPr="00E67E82">
        <w:rPr>
          <w:rStyle w:val="Strong"/>
          <w:b w:val="0"/>
          <w:bCs w:val="0"/>
          <w:sz w:val="20"/>
          <w:szCs w:val="20"/>
        </w:rPr>
        <w:t xml:space="preserve">. Kao i kratki pentraksini, PTX3 se ponaša kao protein odgovora akutne faze te njegova serumska razina brzo i značajno raste u stanjima sepse, endotoksičnog šoka i u  drugim upalnim stanjima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{"citationItems":[{"id":"ITEM-1","itemData":{"DOI":"10.1007/s10875-007-9126-7","ISSN":"02719142","abstract":"Pentraxins are a family of multimeric pattern-recognition proteins highly conserved in evolution. Based on the primary structure of the subunit, the pentraxins are divided into two groups: short pentraxins and long pentraxins. C-reactive protein and serum amyloid P-component are classic short pentraxins produced in the liver, whereas the prototype of the long pentraxin family is PTX3. Innate immunity cells and vascular cells produce PTX3 in response to proinflammatory signals and Toll-like receptor engagement. PTX3 interacts with several ligands, including growth factors, extracellular matrix components, and selected pathogens, playing a role in complement activation, facilitating pathogen recognition, and acting as a predecessor of antibodies. In addition, PTX3 is essential in female fertility acting on the assembly of the cumulus oophorus extracellular matrix. Thus, PTX3 is a multifunctional soluble pattern recognition receptor acting as a nonredundant component of the humoral arm of innate immunity and involved in tuning inflammation, in matrix deposition and female fertility. Evidence suggests that PTX3 is a useful new serological marker, rapidly reflecting tissue inflammation and damage under diverse clinical conditions.","author":[{"dropping-particle":"","family":"Mantovani","given":"Alberto","non-dropping-particle":"","parse-names":false,"suffix":""},{"dropping-particle":"","family":"Garlanda","given":"Cecilia","non-dropping-particle":"","parse-names":false,"suffix":""},{"dropping-particle":"","family":"Doni","given":"Andrea","non-dropping-particle":"","parse-names":false,"suffix":""},{"dropping-particle":"","family":"Bottazzi","given":"Barbara","non-dropping-particle":"","parse-names":false,"suffix":""}],"container-title":"Journal of Clinical Immunology","id":"ITEM-1","issue":"1","issued":{"date-parts":[["2008"]]},"page":"1-13","title":"Pentraxins in innate immunity: From C-reactive protein to the long pentraxin PTX3","type":"article-journal","volume":"28"},"uris":["http://www.mendeley.com/documents/?uuid=bd61c2b3-7f08-4c24-ad48-594823b684a0"]}],"mendeley":{"formattedCitation":"(Mantovani &lt;i&gt;et al.&lt;/i&gt;, 2008)","manualFormatting":"(Mantovani i sur., 2008)","plainTextFormattedCitation":"(Mantovani et al., 2008)","previouslyFormattedCitation":"(Mantovani &lt;i&gt;et al.&lt;/i&gt;, 2008)"},"properties":{"noteIndex":0},"schema":"https://github.com/citation-style-language/schema/raw/master/csl-citation.json"}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(Mantovani </w:t>
      </w:r>
      <w:r w:rsidR="003F4A87">
        <w:rPr>
          <w:rStyle w:val="Strong"/>
          <w:b w:val="0"/>
          <w:bCs w:val="0"/>
          <w:i/>
          <w:noProof/>
          <w:sz w:val="20"/>
          <w:szCs w:val="20"/>
        </w:rPr>
        <w:t>i sur.,</w:t>
      </w:r>
      <w:r w:rsidR="00A37DE1" w:rsidRPr="00E67E82">
        <w:rPr>
          <w:rStyle w:val="Strong"/>
          <w:b w:val="0"/>
          <w:bCs w:val="0"/>
          <w:noProof/>
          <w:sz w:val="20"/>
          <w:szCs w:val="20"/>
        </w:rPr>
        <w:t xml:space="preserve"> 2008)</w:t>
      </w:r>
      <w:r w:rsidR="00A37DE1" w:rsidRPr="00E67E82">
        <w:rPr>
          <w:rStyle w:val="Strong"/>
          <w:b w:val="0"/>
          <w:bCs w:val="0"/>
          <w:sz w:val="20"/>
          <w:szCs w:val="20"/>
        </w:rPr>
        <w:fldChar w:fldCharType="end"/>
      </w:r>
      <w:r w:rsidR="00A37DE1" w:rsidRPr="00E67E82">
        <w:rPr>
          <w:rStyle w:val="Strong"/>
          <w:b w:val="0"/>
          <w:bCs w:val="0"/>
          <w:sz w:val="20"/>
          <w:szCs w:val="20"/>
        </w:rPr>
        <w:t xml:space="preserve">.  Ekspresiju PTX3 suprimiraju IFNγ i glukokortikoidi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{"citationItems":[{"id":"ITEM-1","itemData":{"DOI":"10.1002/(SICI)1521-4141(199802)28:02&lt;496::AID-IMMU496&gt;3.0.CO;2-V","ISSN":"00142980","abstract":"PTX3 is a prototypic long pentraxin expressed by various cell types, most prominently monocytes and endothelial cells, in response to interleukin-1 (IL-1), tumor necrosis factor (TNF) and bacterial products. In the present report, we show that interferon-gamma (IFN-gamma) inhibits the expression of the PTX3 gene induced by exposure to IL-1, TNF or lipopolysaccharide in human monocytes. This effect is dose dependent and observable when IFN-gamma is added from 24 h before up to 3 h after the addition of IL-1. While the time course of the IL-1-induced PTX3 mRNA expression is not affected, IFN-gamma reduces the stability of the PTX3 mRNA as well as its transcription. The inhibition of PTX3 expression is restricted to monocytes in that no inhibition occurs in cytokine-stimulated fibroblasts and endothelial cells. Under the same conditions, as expected, IFN-gamma augmented monocyte chemotactic protein-1 expression in the same cell preparations. PTX3 protein secretion by activated monocytes is also suppressed by exposure to IFN-gamma. Altogether, these data identify a negative pathway of regulation mediated by IFN-gamma, which may occur under inflammatory conditions.","author":[{"dropping-particle":"","family":"Polentarutti","given":"Nadia","non-dropping-particle":"","parse-names":false,"suffix":""},{"dropping-particle":"","family":"Picardi","given":"Giuseppina","non-dropping-particle":"","parse-names":false,"suffix":""},{"dropping-particle":"","family":"Basile","given":"Andrea","non-dropping-particle":"","parse-names":false,"suffix":""},{"dropping-particle":"","family":"Cenzuales","given":"Salvatore","non-dropping-particle":"","parse-names":false,"suffix":""},{"dropping-particle":"","family":"Rivolta","given":"Attilio","non-dropping-particle":"","parse-names":false,"suffix":""},{"dropping-particle":"","family":"Matteucci","given":"Cristian","non-dropping-particle":"","parse-names":false,"suffix":""},{"dropping-particle":"","family":"Peri","given":"Giuseppe","non-dropping-particle":"","parse-names":false,"suffix":""},{"dropping-particle":"","family":"Mantovani","given":"Alberto","non-dropping-particle":"","parse-names":false,"suffix":""},{"dropping-particle":"","family":"Introna","given":"Martino","non-dropping-particle":"","parse-names":false,"suffix":""}],"container-title":"European Journal of Immunology","id":"ITEM-1","issue":"2","issued":{"date-parts":[["1998"]]},"page":"496-501","title":"Interferon-γ inhibits expression of the long pentraxin PTX3 in human monocytes","type":"article-journal","volume":"28"},"uris":["http://www.mendeley.com/documents/?uuid=b3154354-a410-4f09-b096-9fbd8662f590"]},{"id":"ITEM-2","itemData":{"DOI":"10.1074/jbc.M805631200","ISSN":"00219258","abstract":"PTX3 (prototypic long pentraxin 3) is a fluid phase pattern recognition receptor, which plays nonredundant roles in the resistance against diverse pathogens, in the assembly of a hyaluronic acid-rich extracellular matrix, and in female fertility. Inflammatory signals induce production of PTX3 in diverse cell types, including myeloid dendritic cells (DC), fibroblasts, and endothelial cells (EC). The present study was designed to explore the effect of glucocorticoid hormones (GC) on PTX3 production in different cellular contexts. In myeloid DC, GC inhibited the PTX3 production. In contrast, in fibroblasts and EC, GC alone induced and, under inflammatory conditions, enhanced and extended PTX3 production. In vivo administration of GC augmented the blood levels of PTX3 in mice and humans. Moreover, patients with Cushing syndrome had increased levels of circulating PTX3, whereas PTX3 levels were decreased in subjects affected by iatrogenic hypocortisolism. In nonhematopoietic cells, GC receptor (GR) functioned as a ligand-dependent transcription factor (dimerization-dependent) to induce PTX3 gene expression. In contrast, in hematopoietic cells, GR repressed PTX3 gene transcription by interfering (dimerization-independent) with the action of other signaling pathways, probably NFkappaB and AP-1. Thus, divergent effects of GC were found to be due to different GR mechanisms. The results presented here indicate that GC have divergent effects on PTX3 production in hematopoietic (DC and macrophages) and nonhematopoietic (fibroblasts and EC) cells. The divergent effects of GC on PTX3 production probably reflect the different functions of this multifunctional molecule in innate immunity and in the construction of the extracellular matrix.","author":[{"dropping-particle":"","family":"Doni","given":"Andrea","non-dropping-particle":"","parse-names":false,"suffix":""},{"dropping-particle":"","family":"Mantovani","given":"Giovanna","non-dropping-particle":"","parse-names":false,"suffix":""},{"dropping-particle":"","family":"Porta","given":"Chiara","non-dropping-particle":"","parse-names":false,"suffix":""},{"dropping-particle":"","family":"Tuckermann","given":"Jan","non-dropping-particle":"","parse-names":false,"suffix":""},{"dropping-particle":"","family":"Reichardt","given":"Holger M.","non-dropping-particle":"","parse-names":false,"suffix":""},{"dropping-particle":"","family":"Kleiman","given":"Anna","non-dropping-particle":"","parse-names":false,"suffix":""},{"dropping-particle":"","family":"Sironi","given":"Marina","non-dropping-particle":"","parse-names":false,"suffix":""},{"dropping-particle":"","family":"Rubino","given":"Luca","non-dropping-particle":"","parse-names":false,"suffix":""},{"dropping-particle":"","family":"Pasqualini","given":"Fabio","non-dropping-particle":"","parse-names":false,"suffix":""},{"dropping-particle":"","family":"Nebuloni","given":"Manuela","non-dropping-particle":"","parse-names":false,"suffix":""},{"dropping-particle":"","family":"Signorini","given":"Stefano","non-dropping-particle":"","parse-names":false,"suffix":""},{"dropping-particle":"","family":"Peri","given":"Giuseppe","non-dropping-particle":"","parse-names":false,"suffix":""},{"dropping-particle":"","family":"Sica","given":"Antonio","non-dropping-particle":"","parse-names":false,"suffix":""},{"dropping-particle":"","family":"Beck-Peccoz","given":"Paolo","non-dropping-particle":"","parse-names":false,"suffix":""},{"dropping-particle":"","family":"Bottazzi","given":"Barbara","non-dropping-particle":"","parse-names":false,"suffix":""},{"dropping-particle":"","family":"Mantovani","given":"Alberto","non-dropping-particle":"","parse-names":false,"suffix":""}],"container-title":"Journal of Biological Chemistry","id":"ITEM-2","issue":"44","issued":{"date-parts":[["2008"]]},"page":"29983-29992","title":"Cell-specific regulation of PTX3 by glucocorticoid hormones in hematopoietic and nonhematopoietic cells","type":"article-journal","volume":"283"},"uris":["http://www.mendeley.com/documents/?uuid=6e8ce322-d151-447d-9181-97bda572ae2c"]}],"mendeley":{"formattedCitation":"(Polentarutti &lt;i&gt;et al.&lt;/i&gt;, 1998; Doni &lt;i&gt;et al.&lt;/i&gt;, 2008)","manualFormatting":"(Polentarutti i sur., 1998; Doni i sur., 2008)","plainTextFormattedCitation":"(Polentarutti et al., 1998; Doni et al., 2008)","previouslyFormattedCitation":"(Polentarutti &lt;i&gt;et al.&lt;/i&gt;, 1998; Doni &lt;i&gt;et al.&lt;/i&gt;, 2008)"},"properties":{"noteIndex":0},"schema":"https://github.com/citation-style-language/schema/raw/master/csl-citation.json"}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(Polentarutti </w:t>
      </w:r>
      <w:r w:rsidR="003F4A87">
        <w:rPr>
          <w:rStyle w:val="Strong"/>
          <w:b w:val="0"/>
          <w:bCs w:val="0"/>
          <w:i/>
          <w:noProof/>
          <w:sz w:val="20"/>
          <w:szCs w:val="20"/>
        </w:rPr>
        <w:t>i sur.,</w:t>
      </w:r>
      <w:r w:rsidR="00A37DE1" w:rsidRPr="00E67E82">
        <w:rPr>
          <w:rStyle w:val="Strong"/>
          <w:b w:val="0"/>
          <w:bCs w:val="0"/>
          <w:noProof/>
          <w:sz w:val="20"/>
          <w:szCs w:val="20"/>
        </w:rPr>
        <w:t xml:space="preserve"> 1998; Doni </w:t>
      </w:r>
      <w:r w:rsidR="003F4A87">
        <w:rPr>
          <w:rStyle w:val="Strong"/>
          <w:b w:val="0"/>
          <w:bCs w:val="0"/>
          <w:i/>
          <w:noProof/>
          <w:sz w:val="20"/>
          <w:szCs w:val="20"/>
        </w:rPr>
        <w:t>i sur.,</w:t>
      </w:r>
      <w:r w:rsidR="00A37DE1" w:rsidRPr="00E67E82">
        <w:rPr>
          <w:rStyle w:val="Strong"/>
          <w:b w:val="0"/>
          <w:bCs w:val="0"/>
          <w:noProof/>
          <w:sz w:val="20"/>
          <w:szCs w:val="20"/>
        </w:rPr>
        <w:t xml:space="preserve"> 2008)</w:t>
      </w:r>
      <w:r w:rsidR="00A37DE1" w:rsidRPr="00E67E82">
        <w:rPr>
          <w:rStyle w:val="Strong"/>
          <w:b w:val="0"/>
          <w:bCs w:val="0"/>
          <w:sz w:val="20"/>
          <w:szCs w:val="20"/>
        </w:rPr>
        <w:fldChar w:fldCharType="end"/>
      </w:r>
      <w:r w:rsidR="00A37DE1" w:rsidRPr="00E67E82">
        <w:rPr>
          <w:rStyle w:val="Strong"/>
          <w:b w:val="0"/>
          <w:bCs w:val="0"/>
          <w:sz w:val="20"/>
          <w:szCs w:val="20"/>
        </w:rPr>
        <w:t xml:space="preserve">. Za razliku od kratkih pentraksina koji se sintetiziraju u hepatocitima, PTX3 sintetizira se lokalno na mjestu upale u različitim tipovima stanica uključujući makrofage i fibroblaste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{"citationItems":[{"id":"ITEM-1","itemData":{"DOI":"10.1002/jlb.67.3.387","ISSN":"07415400","abstract":"Tumor necrosis factor (TNF)-stimulated gene 14 (TSG-14, also termed PTX3) encodes a secreted glycoprotein whose carboxy-terminal half shares sequence similarity with the pentraxin family of acute phase proteins (C-reactive protein and serum amyloid P component). We compared TSG-14 mRNA expression in cultures of murine BALB/c 3T3 fibroblasts and thioglycollate-elicited peritoneal macrophages. TNF and interleukin-1 (IL-1) potently induced TSG-14 expression in 3T3 fibroblasts but not in peritoneal macrophages. Lipopolysaccharide (LPS) elicited TSG-14 expression in both cell types, but induction in 3T3 cells and macrophages showed several distinct characteristics. Whereas in 3T3 fibroblasts TSG-14 mRNA was rapidly up-regulated by LPS, expression in macrophages was substantially delayed. Furthermore, cycloheximide greatly reduced LPS-induced TSG-14 mRNA up-regulation in macrophages but not in 3T3 cells. Finally, interferon-gamma (IFN-gamma; but not IFN-alpha/beta) inhibited LPS-induced TSG-14 expression in macrophages and not in 3T3 fibroblasts. The antioxidant pyrrolidine dithiocarbamate inhibited LPS-induced nuclear factor-kappaB (NF-kappaB) activation and TSG-14 expression in macrophages. In contrast, IFN-gamma did not inhibit NF-kappaB function as measured by IkappaB-alpha and IkappaB-beta degradation, IkappaB-alpha resynthesis, or electrophoretic mobility shift analysis. Inhibition of LPS-induced TSG-14 mRNA expression by IFN-gamma in macrophages was also observed in the presence of cycloheximide and in cells from STAT1 null mice, suggesting that IFN-gamma inhibits TSG-14 expression through an unconventional mechanism","author":[{"dropping-particle":"","family":"Goodman","given":"A. R.","non-dropping-particle":"","parse-names":false,"suffix":""},{"dropping-particle":"","family":"Levy","given":"D. E.","non-dropping-particle":"","parse-names":false,"suffix":""},{"dropping-particle":"","family":"Reis","given":"L. F.L.","non-dropping-particle":"","parse-names":false,"suffix":""},{"dropping-particle":"","family":"Vilcek","given":"J.","non-dropping-particle":"","parse-names":false,"suffix":""}],"container-title":"Journal of Leukocyte Biology","id":"ITEM-1","issue":"3","issued":{"date-parts":[["2000"]]},"page":"387-395","title":"Differential regulation of TSG-14 expression in murine fibroblasts and peritoneal macrophages","type":"article-journal","volume":"67"},"uris":["http://www.mendeley.com/documents/?uuid=ff9afe61-0706-4297-a11e-544317b25746"]}],"mendeley":{"formattedCitation":"(Goodman &lt;i&gt;et al.&lt;/i&gt;, 2000)","manualFormatting":"(Goodman i sur., 2000)","plainTextFormattedCitation":"(Goodman et al., 2000)","previouslyFormattedCitation":"(Goodman &lt;i&gt;et al.&lt;/i&gt;, 2000)"},"properties":{"noteIndex":0},"schema":"https://github.com/citation-style-language/schema/raw/master/csl-citation.json"}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(Goodman </w:t>
      </w:r>
      <w:r w:rsidR="003F4A87">
        <w:rPr>
          <w:rStyle w:val="Strong"/>
          <w:b w:val="0"/>
          <w:bCs w:val="0"/>
          <w:i/>
          <w:noProof/>
          <w:sz w:val="20"/>
          <w:szCs w:val="20"/>
        </w:rPr>
        <w:t>i sur.,</w:t>
      </w:r>
      <w:r w:rsidR="00A37DE1" w:rsidRPr="00E67E82">
        <w:rPr>
          <w:rStyle w:val="Strong"/>
          <w:b w:val="0"/>
          <w:bCs w:val="0"/>
          <w:noProof/>
          <w:sz w:val="20"/>
          <w:szCs w:val="20"/>
        </w:rPr>
        <w:t xml:space="preserve"> 2000)</w:t>
      </w:r>
      <w:r w:rsidR="00A37DE1" w:rsidRPr="00E67E82">
        <w:rPr>
          <w:rStyle w:val="Strong"/>
          <w:b w:val="0"/>
          <w:bCs w:val="0"/>
          <w:sz w:val="20"/>
          <w:szCs w:val="20"/>
        </w:rPr>
        <w:fldChar w:fldCharType="end"/>
      </w:r>
      <w:r w:rsidR="00A37DE1" w:rsidRPr="00E67E82">
        <w:rPr>
          <w:rStyle w:val="Strong"/>
          <w:b w:val="0"/>
          <w:bCs w:val="0"/>
          <w:sz w:val="20"/>
          <w:szCs w:val="20"/>
        </w:rPr>
        <w:t xml:space="preserve">, dendritičke stanice </w:t>
      </w:r>
      <w:r w:rsidR="00A37DE1" w:rsidRPr="00E67E82">
        <w:rPr>
          <w:rStyle w:val="Strong"/>
          <w:b w:val="0"/>
          <w:bCs w:val="0"/>
          <w:sz w:val="20"/>
          <w:szCs w:val="20"/>
        </w:rPr>
        <w:fldChar w:fldCharType="begin" w:fldLock="1"/>
      </w:r>
      <w:r w:rsidR="00A37DE1" w:rsidRPr="00E67E82">
        <w:rPr>
          <w:rStyle w:val="Strong"/>
          <w:b w:val="0"/>
          <w:bCs w:val="0"/>
          <w:sz w:val="20"/>
          <w:szCs w:val="20"/>
        </w:rPr>
        <w:instrText>ADDIN CSL_CITATION {"citationItems":[{"id":"ITEM-1","itemData":{"DOI":"10.1189/jlb.0905493","ISSN":"0741-5400","abstract":"The protopypic long pentraxin 3 (PTX3) is a unique, humoral pattern-recognition receptor, which plays a nonredundant function in innate resistance to pathogens. Dendritic cells (DC) of myelomonocytic origin, but not plasmacytoid DC, are a major source of PTX3 in response to Toll-like receptor (TLR) engagement. The present study was designed to explore the regulation of PTX3 production in DC. PTX3 production was induced by TLR ligands, CD40 ligand, and interleukin (IL)-1beta and was suppressed by dexamethasone, 1alpha, 25-dihydroxivitamin D3, and prostaglandin E2. It was unexpected that lipopolysaccharide (LPS)-stimulated PTX3 production was enhanced by IL-10 and inhibited by IL-4 and interferon-gamma (IFN-gamma). Enhancement of PTX3 production by IL-10 was also evident when Pam3 Cys-Ser-(Lys)4.3HCl, a TLR2-TLR1 agonist, polyionisicpolycytidylic acid, a TLR3 agonist, and IL-1beta were used as stimuli. The effect of IL-10 was blocked by an anti-IL-10 monoclonal antibody (mAb) or an anti-IL-10 receptor alpha mAb, which also reduced the LPS-induced production. Thus, production of PTX3 in DC is subjected to a distinct regulatory network, with inhibition by IFN-gamma and enhancement by IL-10. The amplification by IL-10 of production of a nonredundant component of fluid-phase innate immunity mirrors the IL-10 stimulatory function on B cells in adaptive immunity. As PTX3 is also an extracellular matrix component, IL-10-enhanced PTX3 production may play a role in orchestration of tissue remodeling in chronic inflammation.","author":[{"dropping-particle":"","family":"Doni","given":"A.","non-dropping-particle":"","parse-names":false,"suffix":""}],"container-title":"Journal of Leukocyte Biology","id":"ITEM-1","issue":"4","issued":{"date-parts":[["2006"]]},"page":"797-802","title":"Regulation of PTX3, a key component of humoral innate immunity in human dendritic cells: stimulation by IL-10 and inhibition by IFN- ","type":"article-journal","volume":"79"},"uris":["http://www.mendeley.com/documents/?uuid=886eb76b-b519-4701-a9ef-d283cd4b8507"]}],"mendeley":{"formattedCitation":"(Doni, 2006)","plainTextFormattedCitation":"(Doni, 2006)","previouslyFormattedCitation":"(Doni, 2006)"},"properties":{"noteIndex":0},"schema":"https://github.com/citation-style-language/schema/raw/master/csl-citation.json"}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(Doni, 2006)</w:t>
      </w:r>
      <w:r w:rsidR="00A37DE1" w:rsidRPr="00E67E82">
        <w:rPr>
          <w:rStyle w:val="Strong"/>
          <w:b w:val="0"/>
          <w:bCs w:val="0"/>
          <w:sz w:val="20"/>
          <w:szCs w:val="20"/>
        </w:rPr>
        <w:fldChar w:fldCharType="end"/>
      </w:r>
      <w:r w:rsidR="00A37DE1" w:rsidRPr="00E67E82">
        <w:rPr>
          <w:rStyle w:val="Strong"/>
          <w:b w:val="0"/>
          <w:bCs w:val="0"/>
          <w:sz w:val="20"/>
          <w:szCs w:val="20"/>
        </w:rPr>
        <w:t xml:space="preserve">, glatke mišićne stanice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{"citationItems":[{"id":"ITEM-1","itemData":{"DOI":"10.1016/j.atherosclerosis.2004.03.020","ISSN":"00219150","abstract":"Inflammation is a critical contributing factor to the development and the progression of atherosclerosis. Recently, the acute-phase protein pentraxin-3 (PTX3), which has C-terminal sequence homology with the classic pentraxin C-reactive protein (CRP), was described to be increased in patients with myocardial infarction. In this study, we have investigated the capacity of human primary vascular smooth muscle cells (VSMC), derived from arterial specimens of ten different patients, to express PTX3 after incubation with atherogenic lipoproteins. Enzymatically degraded LDL (E-LDL), which is present in human early lesions, mediated a rapid cholesterol loading and foam cell transformation of primary VSMC, which was paralleled by a marked dose- and time-dependent expression of PTX3 mRNA and release of the acute-phase protein. Expression of PTX3 mRNA was delayed and remained almost undetectable for up to 6 h of incubation with E-LDL. However, during extended exposure to E-LDL for more than 24 h, PTX3 mRNA expression increased by more than 15-fold in VSMC foam cells, which was reflected by a concomitant release of up to 211 ng/ml PTX3 protein. We provide evidence for marked expression of PTX3 by VSMC induced by degraded lipoproteins, which may lead to an in situ vascular acute-phase reaction, contributing to the inflammatory pathogenesis of atherosclerosis. © 2004 Elsevier Ireland Ltd. All rights reserved.","author":[{"dropping-particle":"","family":"Klouche","given":"Mariam","non-dropping-particle":"","parse-names":false,"suffix":""},{"dropping-particle":"","family":"Peri","given":"Giuseppe","non-dropping-particle":"","parse-names":false,"suffix":""},{"dropping-particle":"","family":"Knabbe","given":"Cornelius","non-dropping-particle":"","parse-names":false,"suffix":""},{"dropping-particle":"","family":"Eckstein","given":"Hanns Henning","non-dropping-particle":"","parse-names":false,"suffix":""},{"dropping-particle":"","family":"Schmid","given":"Franz Xaver","non-dropping-particle":"","parse-names":false,"suffix":""},{"dropping-particle":"","family":"Schmitz","given":"Gerd","non-dropping-particle":"","parse-names":false,"suffix":""},{"dropping-particle":"","family":"Mantovani","given":"Alberto","non-dropping-particle":"","parse-names":false,"suffix":""}],"container-title":"Atherosclerosis","id":"ITEM-1","issue":"2","issued":{"date-parts":[["2004"]]},"page":"221-228","title":"Modified atherogenic lipoproteins induce expression of pentraxin-3 by human vascular smooth muscle cells","type":"article-journal","volume":"175"},"uris":["http://www.mendeley.com/documents/?uuid=86d65e03-f764-47c6-8b26-d754049c86df"]}],"mendeley":{"formattedCitation":"(Klouche &lt;i&gt;et al.&lt;/i&gt;, 2004)","manualFormatting":"(Klouche i sur., 2004)","plainTextFormattedCitation":"(Klouche et al., 2004)","previouslyFormattedCitation":"(Klouche &lt;i&gt;et al.&lt;/i&gt;, 2004)"},"properties":{"noteIndex":0},"schema":"https://github.com/citation-style-language/schema/raw/master/csl-citation.json"}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(Klouche </w:t>
      </w:r>
      <w:r w:rsidR="003F4A87">
        <w:rPr>
          <w:rStyle w:val="Strong"/>
          <w:b w:val="0"/>
          <w:bCs w:val="0"/>
          <w:i/>
          <w:noProof/>
          <w:sz w:val="20"/>
          <w:szCs w:val="20"/>
        </w:rPr>
        <w:t>i sur.,</w:t>
      </w:r>
      <w:r w:rsidR="00A37DE1" w:rsidRPr="00E67E82">
        <w:rPr>
          <w:rStyle w:val="Strong"/>
          <w:b w:val="0"/>
          <w:bCs w:val="0"/>
          <w:noProof/>
          <w:sz w:val="20"/>
          <w:szCs w:val="20"/>
        </w:rPr>
        <w:t xml:space="preserve"> 2004)</w:t>
      </w:r>
      <w:r w:rsidR="00A37DE1" w:rsidRPr="00E67E82">
        <w:rPr>
          <w:rStyle w:val="Strong"/>
          <w:b w:val="0"/>
          <w:bCs w:val="0"/>
          <w:sz w:val="20"/>
          <w:szCs w:val="20"/>
        </w:rPr>
        <w:fldChar w:fldCharType="end"/>
      </w:r>
      <w:r w:rsidR="00A37DE1" w:rsidRPr="00E67E82">
        <w:rPr>
          <w:rStyle w:val="Strong"/>
          <w:b w:val="0"/>
          <w:bCs w:val="0"/>
          <w:sz w:val="20"/>
          <w:szCs w:val="20"/>
        </w:rPr>
        <w:t xml:space="preserve">, adipocite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{"citationItems":[{"id":"ITEM-1","itemData":{"DOI":"10.1194/jlr.m200382-jlr200","ISSN":"0022-2275","abstract":"Exposure of preadipocytes to long-chain fatty acids induces the expression of several markers of adipocyte differentiation. In an attempt to identify novel genes and proteins that are regulated by fatty acids in preadipocytes, we performed a substractive hybridization screening and identified PTX3, a protein of the pentraxin family. PTX3 mRNA expression is transient during adipocyte differentiation of clonal cell lines and is absent in fully differentiated cells. Stable overexpression of PTX3 in preadipocytes has no effect on adipocyte differentiation. In line with this, PTX3 mRNA is expressed in the stromal-vascular fraction of adipose tissue, but not in the adipocyte fraction; however, in 3T3-F442A adipocytes, the PTX3 gene can be reinduced by tumor necrosis factor alpha (TNFalpha) in a dose-dependent manner. This effect is accompanied by PTX3 protein secretion from both 3T3-F442A adipocytes and explants of mouse adipose tissue. PTX3 mRNA levels are found to be higher in adipose tissue of genetically obese mice versus control mice, consistent with their increased TNFalpha levels. In conclusion, PTX3 appears as a TNFalpha-induced protein that provides a new link between chronic low-level inflammatory state and obesity.","author":[{"dropping-particle":"","family":"Abderrahim-Ferkoune","given":"Anissa","non-dropping-particle":"","parse-names":false,"suffix":""},{"dropping-particle":"","family":"Bezy","given":"Olivier","non-dropping-particle":"","parse-names":false,"suffix":""},{"dropping-particle":"","family":"Chiellini","given":"Chiara","non-dropping-particle":"","parse-names":false,"suffix":""},{"dropping-particle":"","family":"Maffei","given":"Margherita","non-dropping-particle":"","parse-names":false,"suffix":""},{"dropping-particle":"","family":"Grimaldi","given":"Paul","non-dropping-particle":"","parse-names":false,"suffix":""},{"dropping-particle":"","family":"Bonino","given":"Frédéric","non-dropping-particle":"","parse-names":false,"suffix":""},{"dropping-particle":"","family":"Moustaid-Moussa","given":"Naïma","non-dropping-particle":"","parse-names":false,"suffix":""},{"dropping-particle":"","family":"Pasqualini","given":"Fabio","non-dropping-particle":"","parse-names":false,"suffix":""},{"dropping-particle":"","family":"Mantovani","given":"Alberto","non-dropping-particle":"","parse-names":false,"suffix":""},{"dropping-particle":"","family":"Ailhaud","given":"Gérard","non-dropping-particle":"","parse-names":false,"suffix":""},{"dropping-particle":"","family":"Amri","given":"Ez-Zoubir","non-dropping-particle":"","parse-names":false,"suffix":""}],"container-title":"Journal of Lipid Research","id":"ITEM-1","issue":"5","issued":{"date-parts":[["2003"]]},"page":"994-1000","title":"Characterization of the long pentraxin PTX3 as a TNFα-induced secreted protein of adipose cells","type":"article-journal","volume":"44"},"uris":["http://www.mendeley.com/documents/?uuid=0e926b25-18a8-4e5e-891b-e2b640f44d28"]}],"mendeley":{"formattedCitation":"(Abderrahim-Ferkoune &lt;i&gt;et al.&lt;/i&gt;, 2003)","manualFormatting":"(Abderrahim-Ferkoune i sur., 2003)","plainTextFormattedCitation":"(Abderrahim-Ferkoune et al., 2003)","previouslyFormattedCitation":"(Abderrahim-Ferkoune &lt;i&gt;et al.&lt;/i&gt;, 2003)"},"properties":{"noteIndex":0},"schema":"https://github.com/citation-style-language/schema/raw/master/csl-citation.json"}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(Abderrahim-Ferkoune </w:t>
      </w:r>
      <w:r w:rsidR="003F4A87">
        <w:rPr>
          <w:rStyle w:val="Strong"/>
          <w:b w:val="0"/>
          <w:bCs w:val="0"/>
          <w:i/>
          <w:noProof/>
          <w:sz w:val="20"/>
          <w:szCs w:val="20"/>
        </w:rPr>
        <w:t>i sur.,</w:t>
      </w:r>
      <w:r w:rsidR="00A37DE1" w:rsidRPr="00E67E82">
        <w:rPr>
          <w:rStyle w:val="Strong"/>
          <w:b w:val="0"/>
          <w:bCs w:val="0"/>
          <w:noProof/>
          <w:sz w:val="20"/>
          <w:szCs w:val="20"/>
        </w:rPr>
        <w:t xml:space="preserve"> 2003)</w:t>
      </w:r>
      <w:r w:rsidR="00A37DE1" w:rsidRPr="00E67E82">
        <w:rPr>
          <w:rStyle w:val="Strong"/>
          <w:b w:val="0"/>
          <w:bCs w:val="0"/>
          <w:sz w:val="20"/>
          <w:szCs w:val="20"/>
        </w:rPr>
        <w:fldChar w:fldCharType="end"/>
      </w:r>
      <w:r w:rsidR="00A37DE1" w:rsidRPr="00E67E82">
        <w:rPr>
          <w:rStyle w:val="Strong"/>
          <w:b w:val="0"/>
          <w:bCs w:val="0"/>
          <w:sz w:val="20"/>
          <w:szCs w:val="20"/>
        </w:rPr>
        <w:t xml:space="preserve">, endotelne stanice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{"citationItems":[{"id":"ITEM-1","itemData":{"PMID":"1429570","abstract":"Sphingolipid metabolites participate in key events of signal transduction and cell regulation. In the sphingomyelin cycle, a number of extracellular agents and insults (such as tumor necrosis factor, Fas ligands, and chemotherapeutic agents) cause the activation of sphingomyelinases, which act on membrane sphingomyelin and release ceramide. Multiple experimental approaches suggest an important role for ceramide in regulating such diverse responses as cell cycle arrest, apoptosis, and cell senescence. In vitro, ceramide activates a serine-threonine protein phosphatase, and in cells it regulates protein phosphorylation as well as multiple downstream targets such as interleukin converting enzyme (ICE)-like proteases, stress-activated protein kinases, and the retinoblastoma gene product that mediate its distinct cellular effects. This spectrum of inducers of ceramide accumulation and the nature of ceramide-mediated responses suggest that ceramide is a key component of intracellular stress response pathways.","author":[{"dropping-particle":"","family":"Breviario","given":"Ferruccio","non-dropping-particle":"","parse-names":false,"suffix":""},{"dropping-particle":"","family":"Aniello","given":"Elisabetta M","non-dropping-particle":"","parse-names":false,"suffix":""},{"dropping-particle":"","family":"Golay","given":"Josee","non-dropping-particle":"","parse-names":false,"suffix":""},{"dropping-particle":"","family":"Peri","given":"Giuseppe","non-dropping-particle":"","parse-names":false,"suffix":""},{"dropping-particle":"","family":"Bottazzi","given":"Barbara","non-dropping-particle":"","parse-names":false,"suffix":""},{"dropping-particle":"","family":"Bairoch","given":"Amos","non-dropping-particle":"","parse-names":false,"suffix":""},{"dropping-particle":"","family":"Saccone","given":"Salvatore","non-dropping-particle":"","parse-names":false,"suffix":""},{"dropping-particle":"","family":"Marzella","given":"Rosalia","non-dropping-particle":"","parse-names":false,"suffix":""},{"dropping-particle":"","family":"Predazzi","given":"Valentina","non-dropping-particle":"","parse-names":false,"suffix":""},{"dropping-particle":"","family":"Rocchi","given":"Mariano","non-dropping-particle":"","parse-names":false,"suffix":""},{"dropping-particle":"Della","family":"Valle","given":"Giuliano","non-dropping-particle":"","parse-names":false,"suffix":""},{"dropping-particle":"","family":"Dejana","given":"Elisabetta","non-dropping-particle":"","parse-names":false,"suffix":""},{"dropping-particle":"","family":"Mantovani","given":"Alberto","non-dropping-particle":"","parse-names":false,"suffix":""},{"dropping-particle":"","family":"Introna","given":"Martino","non-dropping-particle":"","parse-names":false,"suffix":""}],"container-title":"The Journal of Biological Chemistry","id":"ITEM-1","issue":"31","issued":{"date-parts":[["1992"]]},"page":"22190-22197","title":"Interleukin-1-inducible genes in endothelial cells","type":"article-journal","volume":"267"},"uris":["http://www.mendeley.com/documents/?uuid=21528fd4-a61b-4a4f-b7cd-3effe1175129"]}],"mendeley":{"formattedCitation":"(Breviario &lt;i&gt;et al.&lt;/i&gt;, 1992)","manualFormatting":"(Breviario i sur., 1992)","plainTextFormattedCitation":"(Breviario et al., 1992)","previouslyFormattedCitation":"(Breviario &lt;i&gt;et al.&lt;/i&gt;, 1992)"},"properties":{"noteIndex":0},"schema":"https://github.com/citation-style-language/schema/raw/master/csl-citation.json"}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(Breviario </w:t>
      </w:r>
      <w:r w:rsidR="003F4A87">
        <w:rPr>
          <w:rStyle w:val="Strong"/>
          <w:b w:val="0"/>
          <w:bCs w:val="0"/>
          <w:i/>
          <w:noProof/>
          <w:sz w:val="20"/>
          <w:szCs w:val="20"/>
        </w:rPr>
        <w:t>i sur.,</w:t>
      </w:r>
      <w:r w:rsidR="00A37DE1" w:rsidRPr="00E67E82">
        <w:rPr>
          <w:rStyle w:val="Strong"/>
          <w:b w:val="0"/>
          <w:bCs w:val="0"/>
          <w:noProof/>
          <w:sz w:val="20"/>
          <w:szCs w:val="20"/>
        </w:rPr>
        <w:t xml:space="preserve"> 1992)</w:t>
      </w:r>
      <w:r w:rsidR="00A37DE1" w:rsidRPr="00E67E82">
        <w:rPr>
          <w:rStyle w:val="Strong"/>
          <w:b w:val="0"/>
          <w:bCs w:val="0"/>
          <w:sz w:val="20"/>
          <w:szCs w:val="20"/>
        </w:rPr>
        <w:fldChar w:fldCharType="end"/>
      </w:r>
      <w:r w:rsidR="00A37DE1" w:rsidRPr="00E67E82">
        <w:rPr>
          <w:rStyle w:val="Strong"/>
          <w:b w:val="0"/>
          <w:bCs w:val="0"/>
          <w:sz w:val="20"/>
          <w:szCs w:val="20"/>
        </w:rPr>
        <w:t xml:space="preserve"> te epitelne stanice bubrega i pluća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{"citationItems":[{"id":"ITEM-1","itemData":{"DOI":"10.1111/j.1523-1755.2005.67111.x","ISSN":"00852538","abstract":"BACKGROUND: Pentraxin 3 (PTX3) is a prototypic long pentraxin with structural similarities in the C-terminal domain to the classical short pentraxins C-reactive protein (CRP) and serum amyloid P component. PTX3 is suggested to play an important role in the innate resistance against pathogens, regulation of inflammatory reactions, and clearance of apoptotic cells. Unlike the classic pentraxins, PTX3 is mainly expressed extrahepatically. The present study was designed to investigate the expression of PTX3 by human proximal renal tubular epithelial cells (PTECs).\\n\\nMETHODS: PTECs were cultured in the presence or absence of inflammatory cytokines. PTX3 mRNA expression was measured by reverse transcription-polymerase chain reaction (RT-PCR) in human kidney and PTECs. PTX3 protein levels in PTEC cultures were quantified by enzyme-linked immunosorbent assay (ELISA).\\n\\nRESULTS: PTX3 mRNA was shown to be constitutively expressed in human kidney. Constitutive expression and production of PTX3 was shown in primary mesangial cells, in primary PTECs, and in renal fibroblasts. Further analysis showed that interleukin (IL)-1 and tumor necrosis factor-alpha (TNF-alpha) stimulation strongly enhanced the expression and production of PTX3 in PTECs in a dose- and time-dependent manner. In addition, activation of PTECs with IL-17 and CD40L, respectively, but not with IL-6 or IL-4, resulted in strongly increased production of PTX3, whereas granulocyte macrophage-colony-stimulating factor (GM-CSF) inhibited IL-1-induced PTX3 production. PTX3 produced by PTEC is functionally active in binding C1q.\\n\\nCONCLUSION: These results indicate that PTX3 is expressed and released by PTECs and that in proinflammatory conditions PTX3 production is up-regulated. Local expression of PTX3 may play a role in the innate immune response and inflammatory reactions in the kidney.","author":[{"dropping-particle":"","family":"Nauta","given":"Alma J.","non-dropping-particle":"","parse-names":false,"suffix":""},{"dropping-particle":"","family":"Haij","given":"Simone","non-dropping-particle":"De","parse-names":false,"suffix":""},{"dropping-particle":"","family":"Bottazzi","given":"Barbara","non-dropping-particle":"","parse-names":false,"suffix":""},{"dropping-particle":"","family":"Mantovani","given":"Alberto","non-dropping-particle":"","parse-names":false,"suffix":""},{"dropping-particle":"","family":"Borrias","given":"Maria C.","non-dropping-particle":"","parse-names":false,"suffix":""},{"dropping-particle":"","family":"Aten","given":"Jan","non-dropping-particle":"","parse-names":false,"suffix":""},{"dropping-particle":"","family":"Rastaldi","given":"Maria Pia","non-dropping-particle":"","parse-names":false,"suffix":""},{"dropping-particle":"","family":"Daha","given":"Mohamed R.","non-dropping-particle":"","parse-names":false,"suffix":""},{"dropping-particle":"","family":"Kooten","given":"Cees","non-dropping-particle":"Van","parse-names":false,"suffix":""},{"dropping-particle":"","family":"Roos","given":"Anja","non-dropping-particle":"","parse-names":false,"suffix":""}],"container-title":"Kidney International","id":"ITEM-1","issue":"2","issued":{"date-parts":[["2005"]]},"page":"543-553","title":"Human renal epithelial cells produce the long pentraxin PTX3","type":"article-journal","volume":"67"},"uris":["http://www.mendeley.com/documents/?uuid=6d233335-64f8-407f-8300-21a6c315de1b"]},{"id":"ITEM-2","itemData":{"DOI":"10.4049/jimmunol.175.12.8303","ISSN":"0022-1767","abstract":"Long pentraxin 3 (PTX3), an acute-phase protein, is a newly clarified mediator for innate immunity and inflammation. As a soluble pattern recognition receptor, it has a nonredundant role in antifungal infection. Overexpression of PTX3 worsens acute lung injury. The lung epithelium is a critical factor in defense against pulmonary pathogens; it is also involved in acute inflammatory responses related to tissue injury. However, very little is known about how PTX3 is regulated in the lung epithelium. In this study, we found that i.v. injection of LPS induced PTX3 expression in rat lung alveolar epithelium. Using human lung cell lines and primary epithelial cells, we found that PTX3 expression was significantly up-regulated by TNF-alpha in a time- and dose-dependent manner, but not by LPS. Pretreatment with either actinomycin D or cycloheximide abolished TNF-alpha-induced PTX3 expression, indicating the requirement for both transcriptional and translational regulation. The TNF-alpha-induced PTX3 expression was blocked by SP600125, a JNK-specific inhibitor, but not by the inhibitors against NF-kappaB, ERKs, or p38 MAPK. Knockdown of either JNK1 or JNK2 with small interfering RNA also significantly reduced the regulated PTX3 expression. Thus, lung epithelial cells appear to be a major local source for PTX3 production, which could be induced in vivo from these cells by LPS or other inflammatory stimuli, and may be an important mediator for host defense and tissue damage. The importance of the JNK pathway for the regulated PTX3 expression may be a potential target for its regulation in the lung.","author":[{"dropping-particle":"","family":"Han","given":"B.","non-dropping-particle":"","parse-names":false,"suffix":""},{"dropping-particle":"","family":"Mura","given":"M.","non-dropping-particle":"","parse-names":false,"suffix":""},{"dropping-particle":"","family":"Andrade","given":"C. F.","non-dropping-particle":"","parse-names":false,"suffix":""},{"dropping-particle":"","family":"Okutani","given":"D.","non-dropping-particle":"","parse-names":false,"suffix":""},{"dropping-particle":"","family":"Lodyga","given":"M.","non-dropping-particle":"","parse-names":false,"suffix":""},{"dropping-particle":"","family":"Santos","given":"C. C.","non-dropping-particle":"dos","parse-names":false,"suffix":""},{"dropping-particle":"","family":"Keshavjee","given":"S.","non-dropping-particle":"","parse-names":false,"suffix":""},{"dropping-particle":"","family":"Matthay","given":"M.","non-dropping-particle":"","parse-names":false,"suffix":""},{"dropping-particle":"","family":"Liu","given":"M.","non-dropping-particle":"","parse-names":false,"suffix":""}],"container-title":"The Journal of Immunology","id":"ITEM-2","issue":"12","issued":{"date-parts":[["2014"]]},"page":"8303-8311","title":"TNF -Induced Long Pentraxin PTX3 Expression in Human Lung Epithelial Cells via JNK","type":"article-journal","volume":"175"},"uris":["http://www.mendeley.com/documents/?uuid=6019edf3-c61f-4ec3-bcd7-4b52df8b5586"]}],"mendeley":{"formattedCitation":"(Nauta &lt;i&gt;et al.&lt;/i&gt;, 2005; Han &lt;i&gt;et al.&lt;/i&gt;, 2014)","manualFormatting":"(Nauta i sur., 2005; Han i sur., 2014)","plainTextFormattedCitation":"(Nauta et al., 2005; Han et al., 2014)","previouslyFormattedCitation":"(Nauta &lt;i&gt;et al.&lt;/i&gt;, 2005; Han &lt;i&gt;et al.&lt;/i&gt;, 2014)"},"properties":{"noteIndex":0},"schema":"https://github.com/citation-style-language/schema/raw/master/csl-citation.json"}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(Nauta </w:t>
      </w:r>
      <w:r w:rsidR="003F4A87">
        <w:rPr>
          <w:rStyle w:val="Strong"/>
          <w:b w:val="0"/>
          <w:bCs w:val="0"/>
          <w:i/>
          <w:noProof/>
          <w:sz w:val="20"/>
          <w:szCs w:val="20"/>
        </w:rPr>
        <w:t>i sur.,</w:t>
      </w:r>
      <w:r w:rsidR="00A37DE1" w:rsidRPr="00E67E82">
        <w:rPr>
          <w:rStyle w:val="Strong"/>
          <w:b w:val="0"/>
          <w:bCs w:val="0"/>
          <w:noProof/>
          <w:sz w:val="20"/>
          <w:szCs w:val="20"/>
        </w:rPr>
        <w:t xml:space="preserve"> 2005; Han </w:t>
      </w:r>
      <w:r w:rsidR="003F4A87">
        <w:rPr>
          <w:rStyle w:val="Strong"/>
          <w:b w:val="0"/>
          <w:bCs w:val="0"/>
          <w:i/>
          <w:noProof/>
          <w:sz w:val="20"/>
          <w:szCs w:val="20"/>
        </w:rPr>
        <w:t>i sur.,</w:t>
      </w:r>
      <w:r w:rsidR="00A37DE1" w:rsidRPr="00E67E82">
        <w:rPr>
          <w:rStyle w:val="Strong"/>
          <w:b w:val="0"/>
          <w:bCs w:val="0"/>
          <w:noProof/>
          <w:sz w:val="20"/>
          <w:szCs w:val="20"/>
        </w:rPr>
        <w:t xml:space="preserve"> 2014)</w:t>
      </w:r>
      <w:r w:rsidR="00A37DE1" w:rsidRPr="00E67E82">
        <w:rPr>
          <w:rStyle w:val="Strong"/>
          <w:b w:val="0"/>
          <w:bCs w:val="0"/>
          <w:sz w:val="20"/>
          <w:szCs w:val="20"/>
        </w:rPr>
        <w:fldChar w:fldCharType="end"/>
      </w:r>
      <w:r w:rsidR="00A37DE1" w:rsidRPr="00E67E82">
        <w:rPr>
          <w:rStyle w:val="Strong"/>
          <w:b w:val="0"/>
          <w:bCs w:val="0"/>
          <w:sz w:val="20"/>
          <w:szCs w:val="20"/>
        </w:rPr>
        <w:t xml:space="preserve">. PTX3 ima širok spektar liganda i funkcija. Među prvima opisano je prepoznavanje i vezanje različitih mikroorganizama u sklopu prirođene imunosti. Vežući se za C1q komponentu komplementa, PTX3 aktivira komplement klasičnim putem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{"citationItems":[{"id":"ITEM-1","itemData":{"DOI":"10.1021/bi052646f","ISSN":"00062960","abstract":"C1q is the first subcomponent of the classical complement pathway that can interact with a range of biochemically and structurally diverse self and nonself ligands. The globular domain of C1q (gC1q), which is the ligand-recognition domain, is a heterotrimeric structure composed of the C-terminal regions of A (ghA), B (ghB), and C (ghC) chains. The expression and functional characterization of ghA, ghB, and ghC modules have revealed that each chain has specific and differential binding properties toward C1q ligands. It is largely considered that C1q-ligand interactions are ionic in nature; however, the complementary ligand-binding sites on C1q and the mechanisms of interactions are still unclear. To identify the residues on the gC1q domain that are likely to be involved in ligand recognition, we have generated a number of substitution mutants of ghA, ghB, and ghC modules and examined their interactions with three selected ligands: IgG1, C-reactive protein (CRP), and pentraxin 3 (PTX3). Our results suggest that charged residues belonging to the apex of the gC1q heterotrimer (with participation of all three chains) as well as the side of the ghB are crucial for C1q binding to these ligands, and their contribution to each interaction is different. It is likely that a set of charged residues from the gC1q surface participate via different ionic and hydrogen bonds with corresponding residues from the ligand, instead of forming separate binding sites. Thus, a recently proposed model suggesting the rotation of the gC1q domain upon ligand recognition may be extended to C1q interaction with CRP and PTX3 in addition to IgG1.","author":[{"dropping-particle":"","family":"Roumenina","given":"Lubka T.","non-dropping-particle":"","parse-names":false,"suffix":""},{"dropping-particle":"","family":"Ruseva","given":"Marieta M.","non-dropping-particle":"","parse-names":false,"suffix":""},{"dropping-particle":"","family":"Zlatarova","given":"Alexandra","non-dropping-particle":"","parse-names":false,"suffix":""},{"dropping-particle":"","family":"Ghai","given":"Rohit","non-dropping-particle":"","parse-names":false,"suffix":""},{"dropping-particle":"","family":"Kolev","given":"Martin","non-dropping-particle":"","parse-names":false,"suffix":""},{"dropping-particle":"","family":"Olova","given":"Neli","non-dropping-particle":"","parse-names":false,"suffix":""},{"dropping-particle":"","family":"Gadjeva","given":"Mihaela","non-dropping-particle":"","parse-names":false,"suffix":""},{"dropping-particle":"","family":"Agrawal","given":"Alok","non-dropping-particle":"","parse-names":false,"suffix":""},{"dropping-particle":"","family":"Bottazzi","given":"Barbara","non-dropping-particle":"","parse-names":false,"suffix":""},{"dropping-particle":"","family":"Mantovani","given":"Alberto","non-dropping-particle":"","parse-names":false,"suffix":""},{"dropping-particle":"","family":"Reid","given":"Kenneth B.M.","non-dropping-particle":"","parse-names":false,"suffix":""},{"dropping-particle":"","family":"Kishore","given":"Uday","non-dropping-particle":"","parse-names":false,"suffix":""},{"dropping-particle":"","family":"Kojouharova","given":"Mihaela S.","non-dropping-particle":"","parse-names":false,"suffix":""}],"container-title":"Biochemistry","id":"ITEM-1","issue":"13","issued":{"date-parts":[["2006"]]},"page":"4093-4104","title":"Interaction of C1q with IgG1, C-reactive protein and pentraxin 3: Mutational studies using recombinant globular head modules of human C1q A, B, and C chains","type":"article-journal","volume":"45"},"uris":["http://www.mendeley.com/documents/?uuid=e186e54a-6280-44a5-861e-5f7ac3cb9f42"]}],"mendeley":{"formattedCitation":"(Roumenina &lt;i&gt;et al.&lt;/i&gt;, 2006)","manualFormatting":"(Roumenina i sur., 2006)","plainTextFormattedCitation":"(Roumenina et al., 2006)","previouslyFormattedCitation":"(Roumenina &lt;i&gt;et al.&lt;/i&gt;, 2006)"},"properties":{"noteIndex":0},"schema":"https://github.com/citation-style-language/schema/raw/master/csl-citation.json"}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(Roumenina </w:t>
      </w:r>
      <w:r w:rsidR="003F4A87">
        <w:rPr>
          <w:rStyle w:val="Strong"/>
          <w:b w:val="0"/>
          <w:bCs w:val="0"/>
          <w:i/>
          <w:noProof/>
          <w:sz w:val="20"/>
          <w:szCs w:val="20"/>
        </w:rPr>
        <w:t>i sur.,</w:t>
      </w:r>
      <w:r w:rsidR="00A37DE1" w:rsidRPr="00E67E82">
        <w:rPr>
          <w:rStyle w:val="Strong"/>
          <w:b w:val="0"/>
          <w:bCs w:val="0"/>
          <w:noProof/>
          <w:sz w:val="20"/>
          <w:szCs w:val="20"/>
        </w:rPr>
        <w:t xml:space="preserve"> 2006)</w:t>
      </w:r>
      <w:r w:rsidR="00A37DE1" w:rsidRPr="00E67E82">
        <w:rPr>
          <w:rStyle w:val="Strong"/>
          <w:b w:val="0"/>
          <w:bCs w:val="0"/>
          <w:sz w:val="20"/>
          <w:szCs w:val="20"/>
        </w:rPr>
        <w:fldChar w:fldCharType="end"/>
      </w:r>
      <w:r w:rsidR="00A37DE1" w:rsidRPr="00E67E82">
        <w:rPr>
          <w:rStyle w:val="Strong"/>
          <w:b w:val="0"/>
          <w:bCs w:val="0"/>
          <w:sz w:val="20"/>
          <w:szCs w:val="20"/>
        </w:rPr>
        <w:t>. Kao i CRP, PTX3 se veže za faktor H i koči pretjeranu aktivaciju</w:t>
      </w:r>
      <w:r w:rsidR="008328CA">
        <w:rPr>
          <w:rStyle w:val="Strong"/>
          <w:b w:val="0"/>
          <w:bCs w:val="0"/>
          <w:sz w:val="20"/>
          <w:szCs w:val="20"/>
        </w:rPr>
        <w:t xml:space="preserve"> sustava</w:t>
      </w:r>
      <w:r w:rsidR="00A37DE1" w:rsidRPr="00E67E82">
        <w:rPr>
          <w:rStyle w:val="Strong"/>
          <w:b w:val="0"/>
          <w:bCs w:val="0"/>
          <w:sz w:val="20"/>
          <w:szCs w:val="20"/>
        </w:rPr>
        <w:t xml:space="preserve"> komplementa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{"citationItems":[{"id":"ITEM-1","itemData":{"DOI":"10.4049/jimmunol.181.12.8433","ISBN":"2004512040","ISSN":"0022-1767","abstract":"The long pentraxin PTX3 is a multifunctional soluble molecule involved in inflammation and innate immunity. As an acute phase protein, PTX3 binds to the classical pathway complement protein C1q, limits tissue damage in inflammatory conditions by regulating apoptotic cell clearance, and plays a role in the phagocytosis of selected pathogens. This study was designed to investigate the interaction of PTX3 with factor H (FH), the main soluble alternative pathway regulatory protein. We report that PTX3 binds FH with an apparent K(d) of 1.1 x 10(-7) M, and define two binding sites for PTX3 on FH. The primary binding site is located on FH domains 19-20, which interact with the N-terminal domain of PTX3, while a secondary binding site on domain 7 binds the glycosylated PTX3 pentraxin domain. The FH Y402H polymorphism, which affects binding to the short pentraxin CRP, did not affect binding to PTX3. Surface-bound PTX3 enhances FH recruitment and iC3b deposition and PTX3-bound FH retains its activity as a cofactor for factor I-mediated C3b cleavage. Thus, our findings identify PTX3 as a unique FH ligand in that it can bind both of the two hot-spots of FH, namely SCR7 and SCR19-20 and indicate that PTX3 participates in the localization of functionally active FH.","author":[{"dropping-particle":"","family":"Deban","given":"L.","non-dropping-particle":"","parse-names":false,"suffix":""},{"dropping-particle":"","family":"Jarva","given":"H.","non-dropping-particle":"","parse-names":false,"suffix":""},{"dropping-particle":"","family":"Lehtinen","given":"M. J.","non-dropping-particle":"","parse-names":false,"suffix":""},{"dropping-particle":"","family":"Bottazzi","given":"B.","non-dropping-particle":"","parse-names":false,"suffix":""},{"dropping-particle":"","family":"Bastone","given":"A.","non-dropping-particle":"","parse-names":false,"suffix":""},{"dropping-particle":"","family":"Doni","given":"A.","non-dropping-particle":"","parse-names":false,"suffix":""},{"dropping-particle":"","family":"Jokiranta","given":"T. S.","non-dropping-particle":"","parse-names":false,"suffix":""},{"dropping-particle":"","family":"Mantovani","given":"A.","non-dropping-particle":"","parse-names":false,"suffix":""},{"dropping-particle":"","family":"Meri","given":"S.","non-dropping-particle":"","parse-names":false,"suffix":""}],"container-title":"The Journal of Immunology","id":"ITEM-1","issue":"12","issued":{"date-parts":[["2014"]]},"page":"8433-8440","title":"Binding of the Long Pentraxin PTX3 to Factor H: Interacting Domains and Function in the Regulation of Complement Activation","type":"article-journal","volume":"181"},"uris":["http://www.mendeley.com/documents/?uuid=767f5476-a343-4c07-a1d8-5bd927d0af0a"]}],"mendeley":{"formattedCitation":"(Deban &lt;i&gt;et al.&lt;/i&gt;, 2014)","manualFormatting":"(Deban i sur., 2014)","plainTextFormattedCitation":"(Deban et al., 2014)","previouslyFormattedCitation":"(Deban &lt;i&gt;et al.&lt;/i&gt;, 2014)"},"properties":{"noteIndex":0},"schema":"https://github.com/citation-style-language/schema/raw/master/csl-citation.json"}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(Deban </w:t>
      </w:r>
      <w:r w:rsidR="003F4A87">
        <w:rPr>
          <w:rStyle w:val="Strong"/>
          <w:b w:val="0"/>
          <w:bCs w:val="0"/>
          <w:i/>
          <w:noProof/>
          <w:sz w:val="20"/>
          <w:szCs w:val="20"/>
        </w:rPr>
        <w:t>i sur.,</w:t>
      </w:r>
      <w:r w:rsidR="00A37DE1" w:rsidRPr="00E67E82">
        <w:rPr>
          <w:rStyle w:val="Strong"/>
          <w:b w:val="0"/>
          <w:bCs w:val="0"/>
          <w:noProof/>
          <w:sz w:val="20"/>
          <w:szCs w:val="20"/>
        </w:rPr>
        <w:t xml:space="preserve"> 2014)</w:t>
      </w:r>
      <w:r w:rsidR="00A37DE1" w:rsidRPr="00E67E82">
        <w:rPr>
          <w:rStyle w:val="Strong"/>
          <w:b w:val="0"/>
          <w:bCs w:val="0"/>
          <w:sz w:val="20"/>
          <w:szCs w:val="20"/>
        </w:rPr>
        <w:fldChar w:fldCharType="end"/>
      </w:r>
      <w:r w:rsidR="00A37DE1" w:rsidRPr="00E67E82">
        <w:rPr>
          <w:rStyle w:val="Strong"/>
          <w:b w:val="0"/>
          <w:bCs w:val="0"/>
          <w:sz w:val="20"/>
          <w:szCs w:val="20"/>
        </w:rPr>
        <w:t xml:space="preserve">. Kao i ostali članovi pentraksinske obitelji, PTX3 se veže za apoptotične stanice i inibira prezentaciju antigena umirućih stanica dendritičnim stanicama. Osim toga, pospješuje i vezanje C1q komponente komplementa na površinu tih stanica. Iz toga proizlazi da PTX3 vjerojatno ima važnu ulogu u kontroli autoimunosti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{"citationItems":[{"id":"ITEM-1","itemData":{"ISSN":"0006-4971","PMID":"11110705","abstract":"Pentraxins are acute-phase proteins produced in vivo during inflammatory reactions. Classical short pentraxins, C-reactive protein, and serum amyloid P component are generated in the liver in response to interleukin (IL)-6. The long pentraxin PTX3 is produced in tissues under the control of primary proinflammatory signals, such as lipopolysaccharide, IL-1 beta, and tumor necrosis factor-alpha, which also promote maturation of dendritic cells (DCs). Cell death commonly occurs during inflammatory reactions. In this study, it is shown that PTX3 specifically binds to dying cells. The binding was dose dependent and saturable. Recognition was restricted to extranuclear membrane domains and to a chronological window after UV irradiation or after CD95 cross-linking-induced or spontaneous cell death in vitro. PTX3 bound to necrotic cells to a lesser extent. Human DCs failed to internalize dying cells in the presence of PTX3, while they took up normally soluble or inert particulate substrates. These results suggest that PTX3 sequesters cell remnants from antigen-presenting cells, possibly contributing to preventing the onset of autoimmune reactions in inflamed tissues. (Blood. 2000;96:4300-4306)","author":[{"dropping-particle":"","family":"Rovere","given":"P","non-dropping-particle":"","parse-names":false,"suffix":""},{"dropping-particle":"","family":"Peri","given":"G","non-dropping-particle":"","parse-names":false,"suffix":""},{"dropping-particle":"","family":"Fazzini","given":"F","non-dropping-particle":"","parse-names":false,"suffix":""},{"dropping-particle":"","family":"Bottazzi","given":"B","non-dropping-particle":"","parse-names":false,"suffix":""},{"dropping-particle":"","family":"Doni","given":"A","non-dropping-particle":"","parse-names":false,"suffix":""},{"dropping-particle":"","family":"Bondanza","given":"A","non-dropping-particle":"","parse-names":false,"suffix":""},{"dropping-particle":"","family":"Zimmermann","given":"V S","non-dropping-particle":"","parse-names":false,"suffix":""},{"dropping-particle":"","family":"Garlanda","given":"C","non-dropping-particle":"","parse-names":false,"suffix":""},{"dropping-particle":"","family":"Fascio","given":"U","non-dropping-particle":"","parse-names":false,"suffix":""},{"dropping-particle":"","family":"Sabbadini","given":"M G","non-dropping-particle":"","parse-names":false,"suffix":""},{"dropping-particle":"","family":"Rugarli","given":"C","non-dropping-particle":"","parse-names":false,"suffix":""},{"dropping-particle":"","family":"Mantovani","given":"A","non-dropping-particle":"","parse-names":false,"suffix":""},{"dropping-particle":"","family":"Manfredi","given":"A A","non-dropping-particle":"","parse-names":false,"suffix":""}],"container-title":"Blood","id":"ITEM-1","issue":"13","issued":{"date-parts":[["2000"]]},"page":"4300-6","title":"The long pentraxin PTX3 binds to apoptotic cells and regulates their clearance by antigen-presenting dendritic cells.","type":"article-journal","volume":"96"},"uris":["http://www.mendeley.com/documents/?uuid=894bb895-143a-45a1-8555-159055b3ef40"]}],"mendeley":{"formattedCitation":"(Rovere &lt;i&gt;et al.&lt;/i&gt;, 2000)","manualFormatting":"(Rovere i sur., 2000)","plainTextFormattedCitation":"(Rovere et al., 2000)","previouslyFormattedCitation":"(Rovere &lt;i&gt;et al.&lt;/i&gt;, 2000)"},"properties":{"noteIndex":0},"schema":"https://github.com/citation-style-language/schema/raw/master/csl-citation.json"}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(Rovere </w:t>
      </w:r>
      <w:r w:rsidR="003F4A87">
        <w:rPr>
          <w:rStyle w:val="Strong"/>
          <w:b w:val="0"/>
          <w:bCs w:val="0"/>
          <w:i/>
          <w:noProof/>
          <w:sz w:val="20"/>
          <w:szCs w:val="20"/>
        </w:rPr>
        <w:t>i sur.,</w:t>
      </w:r>
      <w:r w:rsidR="00A37DE1" w:rsidRPr="00E67E82">
        <w:rPr>
          <w:rStyle w:val="Strong"/>
          <w:b w:val="0"/>
          <w:bCs w:val="0"/>
          <w:noProof/>
          <w:sz w:val="20"/>
          <w:szCs w:val="20"/>
        </w:rPr>
        <w:t xml:space="preserve"> 2000)</w:t>
      </w:r>
      <w:r w:rsidR="00A37DE1" w:rsidRPr="00E67E82">
        <w:rPr>
          <w:rStyle w:val="Strong"/>
          <w:b w:val="0"/>
          <w:bCs w:val="0"/>
          <w:sz w:val="20"/>
          <w:szCs w:val="20"/>
        </w:rPr>
        <w:fldChar w:fldCharType="end"/>
      </w:r>
      <w:r w:rsidR="00A37DE1" w:rsidRPr="00E67E82">
        <w:rPr>
          <w:rStyle w:val="Strong"/>
          <w:b w:val="0"/>
          <w:bCs w:val="0"/>
          <w:sz w:val="20"/>
          <w:szCs w:val="20"/>
        </w:rPr>
        <w:t xml:space="preserve">. U prilog tomu govori i redukcija regrutacije neutrofila na mjesto upale vezanjem PTX3 za P-selektin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{"citationItems":[{"id":"ITEM-1","itemData":{"DOI":"10.1038/ni.1854","ISSN":"15292908","abstract":"Pentraxins are a superfamily of conserved proteins involved in the acute-phase response and innate immunity. Pentraxin 3 (PTX3), a prototypical member of the long pentraxin subfamily, is a key component of the humoral arm of innate immunity that is essential for resistance to certain pathogens. A regulatory role for pentraxins in inflammation has long been recognized, but the underlying mechanisms remain unclear. Here we report that PTX3 bound P-selectin and attenuated neutrophil recruitment at sites of inflammation. PTX3 released from activated leukocytes functioned locally to dampen neutrophil recruitment and regulate inflammation. Antibodies have glycosylation-dependent regulatory effect on inflammation. Therefore, PTX3, which is an essential component of humoral innate immunity, and immunoglobulins share functional outputs, including complement activation, opsonization and, as shown here, glycosylation-dependent regulation of inflammation.","author":[{"dropping-particle":"","family":"Deban","given":"Livija","non-dropping-particle":"","parse-names":false,"suffix":""},{"dropping-particle":"","family":"Russo","given":"Remo Castro","non-dropping-particle":"","parse-names":false,"suffix":""},{"dropping-particle":"","family":"Sironi","given":"Marina","non-dropping-particle":"","parse-names":false,"suffix":""},{"dropping-particle":"","family":"Moalli","given":"Federica","non-dropping-particle":"","parse-names":false,"suffix":""},{"dropping-particle":"","family":"Scanziani","given":"Margherita","non-dropping-particle":"","parse-names":false,"suffix":""},{"dropping-particle":"","family":"Zambelli","given":"Vanessa","non-dropping-particle":"","parse-names":false,"suffix":""},{"dropping-particle":"","family":"Cuccovillo","given":"Ivan","non-dropping-particle":"","parse-names":false,"suffix":""},{"dropping-particle":"","family":"Bastone","given":"Antonio","non-dropping-particle":"","parse-names":false,"suffix":""},{"dropping-particle":"","family":"Gobbi","given":"Marco","non-dropping-particle":"","parse-names":false,"suffix":""},{"dropping-particle":"","family":"Valentino","given":"Sonia","non-dropping-particle":"","parse-names":false,"suffix":""},{"dropping-particle":"","family":"Doni","given":"Andrea","non-dropping-particle":"","parse-names":false,"suffix":""},{"dropping-particle":"","family":"Garlanda","given":"Cecilia","non-dropping-particle":"","parse-names":false,"suffix":""},{"dropping-particle":"","family":"Danese","given":"Silvio","non-dropping-particle":"","parse-names":false,"suffix":""},{"dropping-particle":"","family":"Salvatori","given":"Giovanni","non-dropping-particle":"","parse-names":false,"suffix":""},{"dropping-particle":"","family":"Sassano","given":"Marica","non-dropping-particle":"","parse-names":false,"suffix":""},{"dropping-particle":"","family":"Evangelista","given":"Virgilio","non-dropping-particle":"","parse-names":false,"suffix":""},{"dropping-particle":"","family":"Rossi","given":"Barbara","non-dropping-particle":"","parse-names":false,"suffix":""},{"dropping-particle":"","family":"Zenaro","given":"Elena","non-dropping-particle":"","parse-names":false,"suffix":""},{"dropping-particle":"","family":"Constantin","given":"Gabriela","non-dropping-particle":"","parse-names":false,"suffix":""},{"dropping-particle":"","family":"Laudanna","given":"Carlo","non-dropping-particle":"","parse-names":false,"suffix":""},{"dropping-particle":"","family":"Bottazzi","given":"Barbara","non-dropping-particle":"","parse-names":false,"suffix":""},{"dropping-particle":"","family":"Mantovani","given":"Alberto","non-dropping-particle":"","parse-names":false,"suffix":""}],"container-title":"Nature Immunology","id":"ITEM-1","issue":"4","issued":{"date-parts":[["2010"]]},"page":"328-334","publisher":"Nature Publishing Group","title":"Regulation of leukocyte recruitment by the long pentraxin PTX3","type":"article-journal","volume":"11"},"uris":["http://www.mendeley.com/documents/?uuid=13e86be1-180d-4e38-85e0-40b92d04b74e"]}],"mendeley":{"formattedCitation":"(Deban &lt;i&gt;et al.&lt;/i&gt;, 2010)","manualFormatting":"(Deban i sur., 2010)","plainTextFormattedCitation":"(Deban et al., 2010)","previouslyFormattedCitation":"(Deban &lt;i&gt;et al.&lt;/i&gt;, 2010)"},"properties":{"noteIndex":0},"schema":"https://github.com/citation-style-language/schema/raw/master/csl-citation.json"}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(Deban </w:t>
      </w:r>
      <w:r w:rsidR="003F4A87">
        <w:rPr>
          <w:rStyle w:val="Strong"/>
          <w:b w:val="0"/>
          <w:bCs w:val="0"/>
          <w:i/>
          <w:noProof/>
          <w:sz w:val="20"/>
          <w:szCs w:val="20"/>
        </w:rPr>
        <w:t>i sur.,</w:t>
      </w:r>
      <w:r w:rsidR="00A37DE1" w:rsidRPr="00E67E82">
        <w:rPr>
          <w:rStyle w:val="Strong"/>
          <w:b w:val="0"/>
          <w:bCs w:val="0"/>
          <w:noProof/>
          <w:sz w:val="20"/>
          <w:szCs w:val="20"/>
        </w:rPr>
        <w:t xml:space="preserve"> 2010)</w:t>
      </w:r>
      <w:r w:rsidR="00A37DE1" w:rsidRPr="00E67E82">
        <w:rPr>
          <w:rStyle w:val="Strong"/>
          <w:b w:val="0"/>
          <w:bCs w:val="0"/>
          <w:sz w:val="20"/>
          <w:szCs w:val="20"/>
        </w:rPr>
        <w:fldChar w:fldCharType="end"/>
      </w:r>
      <w:r w:rsidR="00A37DE1" w:rsidRPr="00E67E82">
        <w:rPr>
          <w:rStyle w:val="Strong"/>
          <w:b w:val="0"/>
          <w:bCs w:val="0"/>
          <w:sz w:val="20"/>
          <w:szCs w:val="20"/>
        </w:rPr>
        <w:t xml:space="preserve">. Interakcija PTX3 s proteinima ekstracelularnog matriksa kao što su tumor necrosis factor α-stimulated gene 6 (TSG-6) i iner-α-tripsin inhibitor (IαI) ključna je za organizaciju matriksa cumulusa oophorusa. Deficit PTX3 i posljedična nestabilnost matriksa rezultiraju ženskom subfertilnošću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{"citationItems":[{"id":"ITEM-1","itemData":{"DOI":"10.1242/dev.01056","ISSN":"0950-1991","abstract":"PTX3 is a prototypic long pentraxin that plays a non-redundant role in innate immunity against selected pathogens and in female fertility. Here, we report that the infertility of Ptx3(-/-) mice is associated with severe abnormalities of the cumulus oophorus and failure of in vivo, but not in vitro, oocyte fertilization. PTX3 is produced by mouse cumulus cells during cumulus expansion and localizes in the matrix. PTX3 is expressed in the human cumulus oophorus as well. Cumuli from Ptx3(-/-) mice synthesize normal amounts of hyaluronan (HA), but are unable to organize it in a stable matrix. Exogenous PTX3 restores a normal cumulus phenotype. Incorporation in the matrix of inter-alpha-trypsin inhibitor is normal in Ptx3(-/-) cumuli. PTX3 does not interact directly with HA, but it binds the cumulus matrix hyaladherin tumor necrosis factor alpha-induced protein 6 (TNFAIP6, also known as TSG6) and thereby may form multimolecular complexes that can cross-link HA chains. Thus, PTX3 is a structural constituent of the cumulus oophorus extracellular matrix essential for female fertility.","author":[{"dropping-particle":"","family":"Salustri","given":"A.","non-dropping-particle":"","parse-names":false,"suffix":""}],"container-title":"Development","id":"ITEM-1","issue":"7","issued":{"date-parts":[["2004"]]},"page":"1577-1586","title":"PTX3 plays a key role in the organization of the cumulus oophorus extracellular matrix and in in vivo fertilization","type":"article-journal","volume":"131"},"uris":["http://www.mendeley.com/documents/?uuid=01ce1841-4728-47e3-ac98-8dc9f815aac1"]},{"id":"ITEM-2","itemData":{"DOI":"10.1074/jbc.m703738200","ISSN":"0021-9258","abstract":"Pentraxin 3 (PTX3) and heavy chains (HCs) of inter-Î±-trypsin inhibitor (IÎ±I) are essential for hyaluronan (HA) organization within the extracellular matrix of the cumulus oophorus, which is critical for in vivo oocyte fertilization and female fertility. In this study, we examined the possibility that these molecules interact and cooperate in this function. We show that HCs and PTX3 colocalize in the cumulus matrix and coimmunoprecipitate from cumulus matrix extracts. Coimmunoprecipitation experiments and solid-phase binding assays performed with purified human IÎ±I and recombinant PTX3 demonstrate that their interaction is direct and not mediated by other matrix components. PTX3 does not bind to IÎ±I subcomponent bikunin and, accordingly, bikunin does not compete for the binding of PTX3 to IÎ±I, indicating that PTX3 interacts with IÎ±I subcomponent HC only. Recombinant PTX3-specific N-terminal region, but not the PTX3-pentraxin C-terminal domain, showed the same ability as full-length protein to bind to HCs and to enable HA organization and matrix formation by Ptx3-/- cumulus cell oocyte complexes cultured in vitro. Furthermore, a monoclonal antibody raised against PTX3 N terminus, which inhibits PTX3/IÎ±I interaction, also prevents recombinant full-length PTX3 from restoring a normal phenotype to in vitro-cultured Ptx3-/- cumuli. These results indicate that PTX3 directly interacts with HCs of IÎ±I and that such interaction is essential for organizing HA in the viscoelastic matrix of cumulus oophorus, highlighting a direct functional link between the two molecules.","author":[{"dropping-particle":"","family":"Scarchilli","given":"Laura","non-dropping-particle":"","parse-names":false,"suffix":""},{"dropping-particle":"","family":"Camaioni","given":"Antonella","non-dropping-particle":"","parse-names":false,"suffix":""},{"dropping-particle":"","family":"Bottazzi","given":"Barbara","non-dropping-particle":"","parse-names":false,"suffix":""},{"dropping-particle":"","family":"Negri","given":"Veronica","non-dropping-particle":"","parse-names":false,"suffix":""},{"dropping-particle":"","family":"Doni","given":"Andrea","non-dropping-particle":"","parse-names":false,"suffix":""},{"dropping-particle":"","family":"Deban","given":"Livija","non-dropping-particle":"","parse-names":false,"suffix":""},{"dropping-particle":"","family":"Bastone","given":"Antonio","non-dropping-particle":"","parse-names":false,"suffix":""},{"dropping-particle":"","family":"Salvatori","given":"Giovanni","non-dropping-particle":"","parse-names":false,"suffix":""},{"dropping-particle":"","family":"Mantovani","given":"Alberto","non-dropping-particle":"","parse-names":false,"suffix":""},{"dropping-particle":"","family":"Siracusa","given":"Gregorio","non-dropping-particle":"","parse-names":false,"suffix":""},{"dropping-particle":"","family":"Salustri","given":"Antonietta","non-dropping-particle":"","parse-names":false,"suffix":""}],"container-title":"Journal of Biological Chemistry","id":"ITEM-2","issue":"41","issued":{"date-parts":[["2007"]]},"page":"30161-30170","title":"PTX3 Interacts with Inter-α-trypsin Inhibitor","type":"article-journal","volume":"282"},"uris":["http://www.mendeley.com/documents/?uuid=e3c0421f-901e-499b-97be-3a6a00ffc433"]}],"mendeley":{"formattedCitation":"(Salustri, 2004; Scarchilli &lt;i&gt;et al.&lt;/i&gt;, 2007)","manualFormatting":"(Salustri, 2004; Scarchilli i sur., 2007)","plainTextFormattedCitation":"(Salustri, 2004; Scarchilli et al., 2007)","previouslyFormattedCitation":"(Salustri, 2004; Scarchilli &lt;i&gt;et al.&lt;/i&gt;, 2007)"},"properties":{"noteIndex":0},"schema":"https://github.com/citation-style-language/schema/raw/master/csl-citation.json"}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(Salustri, 2004; Scarchilli </w:t>
      </w:r>
      <w:r w:rsidR="003F4A87">
        <w:rPr>
          <w:rStyle w:val="Strong"/>
          <w:b w:val="0"/>
          <w:bCs w:val="0"/>
          <w:i/>
          <w:noProof/>
          <w:sz w:val="20"/>
          <w:szCs w:val="20"/>
        </w:rPr>
        <w:t>i sur.,</w:t>
      </w:r>
      <w:r w:rsidR="00A37DE1" w:rsidRPr="00E67E82">
        <w:rPr>
          <w:rStyle w:val="Strong"/>
          <w:b w:val="0"/>
          <w:bCs w:val="0"/>
          <w:noProof/>
          <w:sz w:val="20"/>
          <w:szCs w:val="20"/>
        </w:rPr>
        <w:t xml:space="preserve"> 2007)</w:t>
      </w:r>
      <w:r w:rsidR="00A37DE1" w:rsidRPr="00E67E82">
        <w:rPr>
          <w:rStyle w:val="Strong"/>
          <w:b w:val="0"/>
          <w:bCs w:val="0"/>
          <w:sz w:val="20"/>
          <w:szCs w:val="20"/>
        </w:rPr>
        <w:fldChar w:fldCharType="end"/>
      </w:r>
      <w:r w:rsidR="00A37DE1" w:rsidRPr="00E67E82">
        <w:rPr>
          <w:rStyle w:val="Strong"/>
          <w:b w:val="0"/>
          <w:bCs w:val="0"/>
          <w:sz w:val="20"/>
          <w:szCs w:val="20"/>
        </w:rPr>
        <w:t xml:space="preserve">. Osim toga, PTX3 se visokim afinitetom veže za proangiogeni fibroblast growth factor-2 (FGF2) i druge članove FGF-obitelji, kao što su FGF8b, FGF6, FGF10 i FGF17. Na taj način sprječava se interakcija faktora rasta i njegovog receptora, odnosno aktivacija sustava FGF/FGFR, što posljedično rezultira inhibicijom proliferacije endotelnih stanica </w:t>
      </w:r>
      <w:r w:rsidR="00A37DE1" w:rsidRPr="006C03E8">
        <w:rPr>
          <w:rStyle w:val="Strong"/>
          <w:b w:val="0"/>
          <w:bCs w:val="0"/>
          <w:i/>
          <w:sz w:val="20"/>
          <w:szCs w:val="20"/>
        </w:rPr>
        <w:t>in vitro</w:t>
      </w:r>
      <w:r w:rsidR="00A37DE1" w:rsidRPr="00E67E82">
        <w:rPr>
          <w:rStyle w:val="Strong"/>
          <w:b w:val="0"/>
          <w:bCs w:val="0"/>
          <w:sz w:val="20"/>
          <w:szCs w:val="20"/>
        </w:rPr>
        <w:t xml:space="preserve"> i angiogeneze </w:t>
      </w:r>
      <w:r w:rsidR="00A37DE1" w:rsidRPr="006C03E8">
        <w:rPr>
          <w:rStyle w:val="Strong"/>
          <w:b w:val="0"/>
          <w:bCs w:val="0"/>
          <w:i/>
          <w:sz w:val="20"/>
          <w:szCs w:val="20"/>
        </w:rPr>
        <w:t>in vivo</w:t>
      </w:r>
      <w:r w:rsidR="00A37DE1" w:rsidRPr="00E67E82">
        <w:rPr>
          <w:rStyle w:val="Strong"/>
          <w:b w:val="0"/>
          <w:bCs w:val="0"/>
          <w:sz w:val="20"/>
          <w:szCs w:val="20"/>
        </w:rPr>
        <w:t xml:space="preserve">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{"citationItems":[{"id":"ITEM-1","itemData":{"DOI":"10.1182/blood-2003-10-3433","ISSN":"00064971","abstract":"The long pentraxin PTX3 is a soluble pattern recognition receptor produced by monocytes and endothelial cells that plays a nonredundant role in inflammation. Several pathologic conditions are characterized by local production of both PTX3 and the angiogenic fibroblast growth factor-2 (FGF2). Here, solid-phase binding assays demonstrated that PTX3 binds with high affinity to FGF2 but not to a panel of cytokines and growth factors, including FGF1, FGF4, and FGF8. Accordingly, PTX3 prevented (125)I-FGF2 binding to endothelial cell receptors, leading to specific inhibition of FGF2-induced proliferation. PTX3 hampered also the motogenic activity exerted by endogenous FGF2 on a wounded endothelial cell monolayer. Moreover, PTX3 cDNA transduction in FGF2-transformed endothelial cells inhibited their autocrine FGF2-dependent proliferation and morphogenesis in vitro and their capacity to generate vascular lesions when injected in nude mice. Finally, PTX3 suppressed neovascularization triggered by FGF2 in the chick embryo chorioallantoic membrane with no effect on physiologic angiogenesis. In contrast, the short pentraxin C-reactive protein was a poor FGF2 ligand/antagonist. These results establish the selective binding of a member of the pentraxin superfamily to a growth factor. PTX3/FGF2 interaction may modulate angiogenesis in various physiopathologic conditions driven by inflammation, innate immunity, and/or neoplastic transformation.","author":[{"dropping-particle":"","family":"Rusnati","given":"Marco","non-dropping-particle":"","parse-names":false,"suffix":""},{"dropping-particle":"","family":"Camozzi","given":"Maura","non-dropping-particle":"","parse-names":false,"suffix":""},{"dropping-particle":"","family":"Moroni","given":"Emanuela","non-dropping-particle":"","parse-names":false,"suffix":""},{"dropping-particle":"","family":"Bottazzi","given":"Barbara","non-dropping-particle":"","parse-names":false,"suffix":""},{"dropping-particle":"","family":"Peri","given":"Giuseppe","non-dropping-particle":"","parse-names":false,"suffix":""},{"dropping-particle":"","family":"Indraccolo","given":"Stefano","non-dropping-particle":"","parse-names":false,"suffix":""},{"dropping-particle":"","family":"Amadori","given":"Alberto","non-dropping-particle":"","parse-names":false,"suffix":""},{"dropping-particle":"","family":"Mantovani","given":"Alberto","non-dropping-particle":"","parse-names":false,"suffix":""},{"dropping-particle":"","family":"Presta","given":"Marco","non-dropping-particle":"","parse-names":false,"suffix":""}],"container-title":"Blood","id":"ITEM-1","issue":"1","issued":{"date-parts":[["2004"]]},"page":"92-99","title":"Selective recognition of fibroblast growth factor-2 by the long pentraxin PTX3 inhibits angiogenesis","type":"article-journal","volume":"104"},"uris":["http://www.mendeley.com/documents/?uuid=d8085d16-8e81-408b-ba0b-7571d07a8196"]}],"mendeley":{"formattedCitation":"(Rusnati &lt;i&gt;et al.&lt;/i&gt;, 2004)","manualFormatting":"(Rusnati i sur., 2004)","plainTextFormattedCitation":"(Rusnati et al., 2004)","previouslyFormattedCitation":"(Rusnati &lt;i&gt;et al.&lt;/i&gt;, 2004)"},"properties":{"noteIndex":0},"schema":"https://github.com/citation-style-language/schema/raw/master/csl-citation.json"}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(Rusnati </w:t>
      </w:r>
      <w:r w:rsidR="003F4A87">
        <w:rPr>
          <w:rStyle w:val="Strong"/>
          <w:b w:val="0"/>
          <w:bCs w:val="0"/>
          <w:i/>
          <w:noProof/>
          <w:sz w:val="20"/>
          <w:szCs w:val="20"/>
        </w:rPr>
        <w:t>i sur.,</w:t>
      </w:r>
      <w:r w:rsidR="00A37DE1" w:rsidRPr="00E67E82">
        <w:rPr>
          <w:rStyle w:val="Strong"/>
          <w:b w:val="0"/>
          <w:bCs w:val="0"/>
          <w:noProof/>
          <w:sz w:val="20"/>
          <w:szCs w:val="20"/>
        </w:rPr>
        <w:t xml:space="preserve"> 2004)</w:t>
      </w:r>
      <w:r w:rsidR="00A37DE1" w:rsidRPr="00E67E82">
        <w:rPr>
          <w:rStyle w:val="Strong"/>
          <w:b w:val="0"/>
          <w:bCs w:val="0"/>
          <w:sz w:val="20"/>
          <w:szCs w:val="20"/>
        </w:rPr>
        <w:fldChar w:fldCharType="end"/>
      </w:r>
      <w:r w:rsidR="00A37DE1" w:rsidRPr="00E67E82">
        <w:rPr>
          <w:rStyle w:val="Strong"/>
          <w:b w:val="0"/>
          <w:bCs w:val="0"/>
          <w:sz w:val="20"/>
          <w:szCs w:val="20"/>
        </w:rPr>
        <w:t xml:space="preserve">. Pokazalo se da zapravo omjer TSG-6:PTX3 ima ključnu ulogu u regulaciji angiogeneze u </w:t>
      </w:r>
      <w:r w:rsidR="00A37DE1" w:rsidRPr="00E67E82">
        <w:rPr>
          <w:rStyle w:val="Strong"/>
          <w:b w:val="0"/>
          <w:bCs w:val="0"/>
          <w:sz w:val="20"/>
          <w:szCs w:val="20"/>
        </w:rPr>
        <w:lastRenderedPageBreak/>
        <w:t xml:space="preserve">tkivima poput aterosklerotične karotidne arterije, pleomorfnog adenoma partotidne žlijezde i karcinoma želuca. Tako nizak omjer najvjerojatnije ima inhibitorni, a visok permisivni učinak na angiogenezu posredovanu FGF2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{"citationItems":[{"id":"ITEM-1","itemData":{"DOI":"10.1161/atvbaha.111.243998","ISSN":"1079-5642","abstract":"Objectiveâ€”Angiogenesis is regulated by the balance between pro- and antiangiogenic factors and by extracellular matrix protein interactions. Fibroblast growth factor 2 (FGF2) is a major proangiogenic inducer inhibited by the interaction with the soluble pattern recognition receptor long pentraxin 3 (PTX3). PTX3 is locally coexpressed with its ligand tumor necrosis factor-stimulated gene-6 (TSG-6), a secreted glycoprotein that cooperates with PTX3 in extracellular matrix assembly. Here, we characterized the effect of TSG-6 on PTX3/FGF2 interaction and FGF2-mediated angiogenesis.Methods and Resultsâ€”Solid phase binding and surface plasmon resonance assays show that TSG-6 and FGF2 bind the PTX3 N-terminal domain with similar affinity. Accordingly, TSG-6 prevents FGF2/PTX3 interaction and suppresses the inhibition exerted by PTX3 on heparan sulfate proteoglycan/FGF2/FGF receptor complex formation and on FGF2-dependent angiogenesis in vitro and in vivo. Also, endogenous PTX3 exerts an inhibitory effect on vascularization induced by FGF2 in a murine subcutaneous Matrigel plug assay, the inhibition being abolished in Ptx3-null mice or by TSG-6 treatment in wild-type animals.Conclusionâ€”TSG-6 reverts the inhibitory effects exerted by PTX3 on FGF2-mediated angiogenesis through competition of FGF2/PTX3 interaction. This may provide a novel mechanism to control angiogenesis in those pathological settings characterized by the coexpression of TSG-6 and PTX3, in which the relative levels of these proteins may fine-tune the angiogenic activity of FGF2.","author":[{"dropping-particle":"","family":"Leali","given":"Daria","non-dropping-particle":"","parse-names":false,"suffix":""},{"dropping-particle":"","family":"Inforzato","given":"Antonio","non-dropping-particle":"","parse-names":false,"suffix":""},{"dropping-particle":"","family":"Ronca","given":"Roberto","non-dropping-particle":"","parse-names":false,"suffix":""},{"dropping-particle":"","family":"Bianchi","given":"Roberta","non-dropping-particle":"","parse-names":false,"suffix":""},{"dropping-particle":"","family":"Belleri","given":"Mirella","non-dropping-particle":"","parse-names":false,"suffix":""},{"dropping-particle":"","family":"Coltrini","given":"Daniela","non-dropping-particle":"","parse-names":false,"suffix":""},{"dropping-particle":"","family":"Salle","given":"Emanuela","non-dropping-particle":"Di","parse-names":false,"suffix":""},{"dropping-particle":"","family":"Sironi","given":"Marina","non-dropping-particle":"","parse-names":false,"suffix":""},{"dropping-particle":"","family":"Norata","given":"Giuseppe Danilo","non-dropping-particle":"","parse-names":false,"suffix":""},{"dropping-particle":"","family":"Bottazzi","given":"Barbara","non-dropping-particle":"","parse-names":false,"suffix":""},{"dropping-particle":"","family":"Garlanda","given":"Cecilia","non-dropping-particle":"","parse-names":false,"suffix":""},{"dropping-particle":"","family":"Day","given":"Anthony J.","non-dropping-particle":"","parse-names":false,"suffix":""},{"dropping-particle":"","family":"Presta","given":"Marco","non-dropping-particle":"","parse-names":false,"suffix":""}],"container-title":"Arteriosclerosis, Thrombosis, and Vascular Biology","id":"ITEM-1","issue":"3","issued":{"date-parts":[["2012"]]},"page":"696-703","title":"Long Pentraxin 3/Tumor Necrosis Factor-Stimulated Gene-6 Interaction","type":"article-journal","volume":"32"},"uris":["http://www.mendeley.com/documents/?uuid=86dab509-0a7a-4526-96e3-5fd88db93847"]}],"mendeley":{"formattedCitation":"(Leali &lt;i&gt;et al.&lt;/i&gt;, 2012)","manualFormatting":"(Leali i sur., 2012)","plainTextFormattedCitation":"(Leali et al., 2012)","previouslyFormattedCitation":"(Leali &lt;i&gt;et al.&lt;/i&gt;, 2012)"},"properties":{"noteIndex":0},"schema":"https://github.com/citation-style-language/schema/raw/master/csl-citation.json"}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(Leali </w:t>
      </w:r>
      <w:r w:rsidR="003F4A87">
        <w:rPr>
          <w:rStyle w:val="Strong"/>
          <w:b w:val="0"/>
          <w:bCs w:val="0"/>
          <w:i/>
          <w:noProof/>
          <w:sz w:val="20"/>
          <w:szCs w:val="20"/>
        </w:rPr>
        <w:t>i sur.,</w:t>
      </w:r>
      <w:r w:rsidR="00A37DE1" w:rsidRPr="00E67E82">
        <w:rPr>
          <w:rStyle w:val="Strong"/>
          <w:b w:val="0"/>
          <w:bCs w:val="0"/>
          <w:noProof/>
          <w:sz w:val="20"/>
          <w:szCs w:val="20"/>
        </w:rPr>
        <w:t xml:space="preserve"> 2012)</w:t>
      </w:r>
      <w:r w:rsidR="00A37DE1" w:rsidRPr="00E67E82">
        <w:rPr>
          <w:rStyle w:val="Strong"/>
          <w:b w:val="0"/>
          <w:bCs w:val="0"/>
          <w:sz w:val="20"/>
          <w:szCs w:val="20"/>
        </w:rPr>
        <w:fldChar w:fldCharType="end"/>
      </w:r>
      <w:r w:rsidR="00A37DE1" w:rsidRPr="00E67E82">
        <w:rPr>
          <w:rStyle w:val="Strong"/>
          <w:b w:val="0"/>
          <w:bCs w:val="0"/>
          <w:sz w:val="20"/>
          <w:szCs w:val="20"/>
        </w:rPr>
        <w:t xml:space="preserve">. U uvjetima kiselog pH PTX3 formira trostruki kompleks s fibrinom i plazminogenom što potiče aktivaciju plazminogena i fibrinolizu posredovanu plazminom </w:t>
      </w:r>
      <w:r w:rsidR="00A37DE1" w:rsidRPr="00E67E82">
        <w:rPr>
          <w:rStyle w:val="Strong"/>
          <w:b w:val="0"/>
          <w:bCs w:val="0"/>
          <w:sz w:val="20"/>
          <w:szCs w:val="20"/>
        </w:rPr>
        <w:fldChar w:fldCharType="begin" w:fldLock="1"/>
      </w:r>
      <w:r w:rsidR="00F41B60">
        <w:rPr>
          <w:rStyle w:val="Strong"/>
          <w:b w:val="0"/>
          <w:bCs w:val="0"/>
          <w:sz w:val="20"/>
          <w:szCs w:val="20"/>
        </w:rPr>
        <w:instrText>ADDIN CSL_CITATION {"citationItems":[{"id":"ITEM-1","itemData":{"DOI":"10.1084/jem.20141268","ISSN":"0022-1007","abstract":"Pentraxin 3 (PTX3) is a fluid-phase pattern recognition molecule and a key component of the humoral arm of innate immunity. In four different models of tissue damage in mice, PTX3 deficiency was associated with increased fibrin deposition and persistence, and thicker clots, followed by increased collagen deposition, when compared with controls. Ptx3-deficient macrophages showed defective pericellular fibrinolysis in vitro. PTX3-bound fibrinogen/fibrin and plasminogen at acidic pH and increased plasmin-mediated fibrinolysis. The second exon-encoded N-terminal domain of PTX3 recapitulated the activity of the intact molecule. Thus, a prototypic component of humoral innate immunity, PTX3, plays a nonredundant role in the orchestration of tissue repair and remodeling. Tissue acidification resulting from metabolic adaptation during tissue repair sets PTX3 in a tissue remodeling and repair mode, suggesting that matrix and microbial recognition are common, ancestral features of the humoral arm of innate immunity.","author":[{"dropping-particle":"","family":"Doni","given":"Andrea","non-dropping-particle":"","parse-names":false,"suffix":""},{"dropping-particle":"","family":"Musso","given":"Tiziana","non-dropping-particle":"","parse-names":false,"suffix":""},{"dropping-particle":"","family":"Morone","given":"Diego","non-dropping-particle":"","parse-names":false,"suffix":""},{"dropping-particle":"","family":"Bastone","given":"Antonio","non-dropping-particle":"","parse-names":false,"suffix":""},{"dropping-particle":"","family":"Zambelli","given":"Vanessa","non-dropping-particle":"","parse-names":false,"suffix":""},{"dropping-particle":"","family":"Sironi","given":"Marina","non-dropping-particle":"","parse-names":false,"suffix":""},{"dropping-particle":"","family":"Castagnoli","given":"Carlotta","non-dropping-particle":"","parse-names":false,"suffix":""},{"dropping-particle":"","family":"Cambieri","given":"Irene","non-dropping-particle":"","parse-names":false,"suffix":""},{"dropping-particle":"","family":"Stravalaci","given":"Matteo","non-dropping-particle":"","parse-names":false,"suffix":""},{"dropping-particle":"","family":"Pasqualini","given":"Fabio","non-dropping-particle":"","parse-names":false,"suffix":""},{"dropping-particle":"","family":"Laface","given":"Ilaria","non-dropping-particle":"","parse-names":false,"suffix":""},{"dropping-particle":"","family":"Valentino","given":"Sonia","non-dropping-particle":"","parse-names":false,"suffix":""},{"dropping-particle":"","family":"Tartari","given":"Silvia","non-dropping-particle":"","parse-names":false,"suffix":""},{"dropping-particle":"","family":"Ponzetta","given":"Andrea","non-dropping-particle":"","parse-names":false,"suffix":""},{"dropping-particle":"","family":"Maina","given":"Virginia","non-dropping-particle":"","parse-names":false,"suffix":""},{"dropping-particle":"","family":"Barbieri","given":"Silvia S.","non-dropping-particle":"","parse-names":false,"suffix":""},{"dropping-particle":"","family":"Tremoli","given":"Elena","non-dropping-particle":"","parse-names":false,"suffix":""},{"dropping-particle":"","family":"Catapano","given":"Alberico L.","non-dropping-particle":"","parse-names":false,"suffix":""},{"dropping-particle":"","family":"Norata","given":"Giuseppe D.","non-dropping-particle":"","parse-names":false,"suffix":""},{"dropping-particle":"","family":"Bottazzi","given":"Barbara","non-dropping-particle":"","parse-names":false,"suffix":""},{"dropping-particle":"","family":"Garlanda","given":"Cecilia","non-dropping-particle":"","parse-names":false,"suffix":""},{"dropping-particle":"","family":"Mantovani","given":"Alberto","non-dropping-particle":"","parse-names":false,"suffix":""}],"container-title":"The Journal of Experimental Medicine","id":"ITEM-1","issue":"6","issued":{"date-parts":[["2015"]]},"page":"905-925","title":"An acidic microenvironment sets the humoral pattern recognition molecule PTX3 in a tissue repair mode","type":"article-journal","volume":"212"},"uris":["http://www.mendeley.com/documents/?uuid=37c79d2e-a97f-41a1-8697-1f3519ca5fbc"]}],"mendeley":{"formattedCitation":"(Doni &lt;i&gt;et al.&lt;/i&gt;, 2015)","manualFormatting":"(Doni i sur., 2015)","plainTextFormattedCitation":"(Doni et al., 2015)","previouslyFormattedCitation":"(Doni &lt;i&gt;et al.&lt;/i&gt;, 2015)"},"properties":{"noteIndex":0},"schema":"https://github.com/citation-style-language/schema/raw/master/csl-citation.json"}</w:instrText>
      </w:r>
      <w:r w:rsidR="00A37DE1" w:rsidRPr="00E67E82">
        <w:rPr>
          <w:rStyle w:val="Strong"/>
          <w:b w:val="0"/>
          <w:bCs w:val="0"/>
          <w:sz w:val="20"/>
          <w:szCs w:val="20"/>
        </w:rPr>
        <w:fldChar w:fldCharType="separate"/>
      </w:r>
      <w:r w:rsidR="00A37DE1" w:rsidRPr="00E67E82">
        <w:rPr>
          <w:rStyle w:val="Strong"/>
          <w:b w:val="0"/>
          <w:bCs w:val="0"/>
          <w:noProof/>
          <w:sz w:val="20"/>
          <w:szCs w:val="20"/>
        </w:rPr>
        <w:t xml:space="preserve">(Doni </w:t>
      </w:r>
      <w:r w:rsidR="003F4A87">
        <w:rPr>
          <w:rStyle w:val="Strong"/>
          <w:b w:val="0"/>
          <w:bCs w:val="0"/>
          <w:i/>
          <w:noProof/>
          <w:sz w:val="20"/>
          <w:szCs w:val="20"/>
        </w:rPr>
        <w:t>i sur.,</w:t>
      </w:r>
      <w:r w:rsidR="00A37DE1" w:rsidRPr="00E67E82">
        <w:rPr>
          <w:rStyle w:val="Strong"/>
          <w:b w:val="0"/>
          <w:bCs w:val="0"/>
          <w:noProof/>
          <w:sz w:val="20"/>
          <w:szCs w:val="20"/>
        </w:rPr>
        <w:t xml:space="preserve"> 2015)</w:t>
      </w:r>
      <w:r w:rsidR="00A37DE1" w:rsidRPr="00E67E82">
        <w:rPr>
          <w:rStyle w:val="Strong"/>
          <w:b w:val="0"/>
          <w:bCs w:val="0"/>
          <w:sz w:val="20"/>
          <w:szCs w:val="20"/>
        </w:rPr>
        <w:fldChar w:fldCharType="end"/>
      </w:r>
      <w:r w:rsidR="00A37DE1" w:rsidRPr="00E67E82">
        <w:rPr>
          <w:rStyle w:val="Strong"/>
          <w:b w:val="0"/>
          <w:bCs w:val="0"/>
          <w:sz w:val="20"/>
          <w:szCs w:val="20"/>
        </w:rPr>
        <w:t xml:space="preserve">. Konačno, </w:t>
      </w:r>
      <w:r w:rsidR="00A37DE1" w:rsidRPr="00E67E82">
        <w:rPr>
          <w:rStyle w:val="Strong"/>
          <w:b w:val="0"/>
          <w:sz w:val="20"/>
          <w:szCs w:val="20"/>
        </w:rPr>
        <w:t xml:space="preserve">PTX3 može direktno stimulirati endotelne stanice i makrofage vežući se za Fcγ receptor </w:t>
      </w:r>
      <w:r w:rsidR="00A37DE1" w:rsidRPr="00E67E82">
        <w:rPr>
          <w:rStyle w:val="Strong"/>
          <w:b w:val="0"/>
          <w:sz w:val="20"/>
          <w:szCs w:val="20"/>
        </w:rPr>
        <w:fldChar w:fldCharType="begin" w:fldLock="1"/>
      </w:r>
      <w:r w:rsidR="00F41B60">
        <w:rPr>
          <w:rStyle w:val="Strong"/>
          <w:b w:val="0"/>
          <w:sz w:val="20"/>
          <w:szCs w:val="20"/>
        </w:rPr>
        <w:instrText>ADDIN CSL_CITATION {"citationItems":[{"id":"ITEM-1","itemData":{"DOI":"10.1038/nature07468","ISSN":"00280836","abstract":"Pentraxins are a family of ancient innate immune mediators conserved throughout evolution. The classical pentraxins include serum amyloid P component (SAP) and C-reactive protein, which are two of the acute-phase proteins synthesized in response to infection. Both recognize microbial pathogens and activate the classical complement pathway through C1q (refs 3 and 4). More recently, members of the pentraxin family were found to interact with cell-surface Fcgamma receptors (FcgammaR) and activate leukocyte-mediated phagocytosis. Here we describe the structural mechanism for pentraxin's binding to FcgammaR and its functional activation of FcgammaR-mediated phagocytosis and cytokine secretion. The complex structure between human SAP and FcgammaRIIa reveals a diagonally bound receptor on each SAP pentamer with both D1 and D2 domains of the receptor contacting the ridge helices from two SAP subunits. The 1:1 stoichiometry between SAP and FcgammaRIIa infers the requirement for multivalent pathogen binding for receptor aggregation. Mutational and binding studies show that pentraxins are diverse in their binding specificity for FcgammaR isoforms but conserved in their recognition structure. The shared binding site for SAP and IgG results in competition for FcgammaR binding and the inhibition of immune-complex-mediated phagocytosis by soluble pentraxins. These results establish antibody-like functions for pentraxins in the FcgammaR pathway, suggest an evolutionary overlap between the innate and adaptive immune systems, and have new therapeutic implications for autoimmune diseases.","author":[{"dropping-particle":"","family":"Lu","given":"Jinghua","non-dropping-particle":"","parse-names":false,"suffix":""},{"dropping-particle":"","family":"Marnell","given":"Lorraine L.","non-dropping-particle":"","parse-names":false,"suffix":""},{"dropping-particle":"","family":"Marjon","given":"Kristopher D.","non-dropping-particle":"","parse-names":false,"suffix":""},{"dropping-particle":"","family":"Mold","given":"Carolyn","non-dropping-particle":"","parse-names":false,"suffix":""},{"dropping-particle":"","family":"Clos","given":"Terry W.","non-dropping-particle":"Du","parse-names":false,"suffix":""},{"dropping-particle":"","family":"Sun","given":"Peter D.","non-dropping-particle":"","parse-names":false,"suffix":""}],"container-title":"Nature","id":"ITEM-1","issue":"7224","issued":{"date-parts":[["2008"]]},"page":"989-992","publisher":"Nature Publishing Group","title":"Structural recognition and functional activation of FcγR by innate pentraxins","type":"article-journal","volume":"456"},"uris":["http://www.mendeley.com/documents/?uuid=d99f841a-8871-4b2b-a55b-be4acc47b99e"]}],"mendeley":{"formattedCitation":"(Lu &lt;i&gt;et al.&lt;/i&gt;, 2008)","manualFormatting":"(Lu i sur., 2008)","plainTextFormattedCitation":"(Lu et al., 2008)","previouslyFormattedCitation":"(Lu &lt;i&gt;et al.&lt;/i&gt;, 2008)"},"properties":{"noteIndex":0},"schema":"https://github.com/citation-style-language/schema/raw/master/csl-citation.json"}</w:instrText>
      </w:r>
      <w:r w:rsidR="00A37DE1" w:rsidRPr="00E67E82">
        <w:rPr>
          <w:rStyle w:val="Strong"/>
          <w:b w:val="0"/>
          <w:sz w:val="20"/>
          <w:szCs w:val="20"/>
        </w:rPr>
        <w:fldChar w:fldCharType="separate"/>
      </w:r>
      <w:r w:rsidR="00A37DE1" w:rsidRPr="00E67E82">
        <w:rPr>
          <w:rStyle w:val="Strong"/>
          <w:b w:val="0"/>
          <w:noProof/>
          <w:sz w:val="20"/>
          <w:szCs w:val="20"/>
        </w:rPr>
        <w:t xml:space="preserve">(Lu </w:t>
      </w:r>
      <w:r w:rsidR="003F4A87">
        <w:rPr>
          <w:rStyle w:val="Strong"/>
          <w:b w:val="0"/>
          <w:i/>
          <w:noProof/>
          <w:sz w:val="20"/>
          <w:szCs w:val="20"/>
        </w:rPr>
        <w:t>i sur.,</w:t>
      </w:r>
      <w:r w:rsidR="00A37DE1" w:rsidRPr="00E67E82">
        <w:rPr>
          <w:rStyle w:val="Strong"/>
          <w:b w:val="0"/>
          <w:noProof/>
          <w:sz w:val="20"/>
          <w:szCs w:val="20"/>
        </w:rPr>
        <w:t xml:space="preserve"> 2008)</w:t>
      </w:r>
      <w:r w:rsidR="00A37DE1" w:rsidRPr="00E67E82">
        <w:rPr>
          <w:rStyle w:val="Strong"/>
          <w:b w:val="0"/>
          <w:sz w:val="20"/>
          <w:szCs w:val="20"/>
        </w:rPr>
        <w:fldChar w:fldCharType="end"/>
      </w:r>
      <w:r w:rsidR="00A37DE1" w:rsidRPr="00E67E82">
        <w:rPr>
          <w:rStyle w:val="Strong"/>
          <w:b w:val="0"/>
          <w:sz w:val="20"/>
          <w:szCs w:val="20"/>
        </w:rPr>
        <w:t xml:space="preserve">. Uzevši u obzir pleotropnost funkcija i interakcija ovog proteina, izvjesna je njegova uloga u različitim patološkim stanjima, prvenstveno upalnim i imunološkim. Povezanost između upale i zloćudnih novotvorina pretpostavio je još Virchow 1863. godine </w:t>
      </w:r>
      <w:r w:rsidR="00A37DE1" w:rsidRPr="00E67E82">
        <w:rPr>
          <w:rStyle w:val="Strong"/>
          <w:b w:val="0"/>
          <w:sz w:val="20"/>
          <w:szCs w:val="20"/>
        </w:rPr>
        <w:fldChar w:fldCharType="begin" w:fldLock="1"/>
      </w:r>
      <w:r w:rsidR="00F41B60">
        <w:rPr>
          <w:rStyle w:val="Strong"/>
          <w:b w:val="0"/>
          <w:sz w:val="20"/>
          <w:szCs w:val="20"/>
        </w:rPr>
        <w:instrText>ADDIN CSL_CITATION {"citationItems":[{"id":"ITEM-1","itemData":{"DOI":"10.1016/S0140-6736(00)04046-0","ISSN":"01406736","abstract":"The response of the body to a cancer is not a unique mechanism but has many parallels with inflammation and wound healing. This article reviews the links between cancer and inflammation and discusses the implications of these links for cancer prevention and treatment. We suggest that the inflammatory cells and cytokines found in tumours are more likely to contribute to tumour growth, progression, and immunosuppression than they are to mount an effective host antitumour response. Moreover cancer susceptibility and severity may be associated with functional polymorphisms of inflammatory cytokine genes, and deletion or inhibition of inflammatory cytokines inhibits development of experimental cancer. If genetic damage is the \"match that lights the fire\" of cancer, some types of inflammation may provide the \"fuel that feeds the flames\". Over the past ten years information about the cytokine and chemokine network has led to development of a range of cytokine/chemokine antagonists targeted at inflammatory and allergic diseases. The first of these to enter the clinic, tumour necrosis factor antagonists, have shown encouraging efficacy. In this article we have provided a rationale for the use of cytokine and chemokine blockade, and further investigation of non-steroidal antiinflammatory drugs, in the chemoprevention and treatment of malignant diseases.","author":[{"dropping-particle":"","family":"Balkwill","given":"Fran","non-dropping-particle":"","parse-names":false,"suffix":""},{"dropping-particle":"","family":"Mantovani","given":"Alberto","non-dropping-particle":"","parse-names":false,"suffix":""}],"container-title":"Lancet","id":"ITEM-1","issue":"9255","issued":{"date-parts":[["2001"]]},"page":"539-545","title":"Inflammation and cancer: Back to Virchow?","type":"article-journal","volume":"357"},"uris":["http://www.mendeley.com/documents/?uuid=b0ba9460-969e-44c7-bb6a-31537aa90197"]}],"mendeley":{"formattedCitation":"(Balkwill and Mantovani, 2001)","manualFormatting":"(Balkwill i Mantovani, 2001)","plainTextFormattedCitation":"(Balkwill and Mantovani, 2001)","previouslyFormattedCitation":"(Balkwill and Mantovani, 2001)"},"properties":{"noteIndex":0},"schema":"https://github.com/citation-style-language/schema/raw/master/csl-citation.json"}</w:instrText>
      </w:r>
      <w:r w:rsidR="00A37DE1" w:rsidRPr="00E67E82">
        <w:rPr>
          <w:rStyle w:val="Strong"/>
          <w:b w:val="0"/>
          <w:sz w:val="20"/>
          <w:szCs w:val="20"/>
        </w:rPr>
        <w:fldChar w:fldCharType="separate"/>
      </w:r>
      <w:r w:rsidR="00A37DE1" w:rsidRPr="00E67E82">
        <w:rPr>
          <w:rStyle w:val="Strong"/>
          <w:b w:val="0"/>
          <w:noProof/>
          <w:sz w:val="20"/>
          <w:szCs w:val="20"/>
        </w:rPr>
        <w:t xml:space="preserve">(Balkwill </w:t>
      </w:r>
      <w:r w:rsidR="003F4A87">
        <w:rPr>
          <w:rStyle w:val="Strong"/>
          <w:b w:val="0"/>
          <w:noProof/>
          <w:sz w:val="20"/>
          <w:szCs w:val="20"/>
        </w:rPr>
        <w:t>i</w:t>
      </w:r>
      <w:r w:rsidR="00A37DE1" w:rsidRPr="00E67E82">
        <w:rPr>
          <w:rStyle w:val="Strong"/>
          <w:b w:val="0"/>
          <w:noProof/>
          <w:sz w:val="20"/>
          <w:szCs w:val="20"/>
        </w:rPr>
        <w:t xml:space="preserve"> Mantovani, 2001)</w:t>
      </w:r>
      <w:r w:rsidR="00A37DE1" w:rsidRPr="00E67E82">
        <w:rPr>
          <w:rStyle w:val="Strong"/>
          <w:b w:val="0"/>
          <w:sz w:val="20"/>
          <w:szCs w:val="20"/>
        </w:rPr>
        <w:fldChar w:fldCharType="end"/>
      </w:r>
      <w:r w:rsidR="00A37DE1" w:rsidRPr="00E67E82">
        <w:rPr>
          <w:rStyle w:val="Strong"/>
          <w:b w:val="0"/>
          <w:sz w:val="20"/>
          <w:szCs w:val="20"/>
        </w:rPr>
        <w:t xml:space="preserve">. Epidemiološke studije pokazale su da je kronična upala predisponirajući čimbenik za neke tipove zloćudnih novotvorina. Kao što je ranije navedeno, kronična infekcija bakterijom </w:t>
      </w:r>
      <w:r w:rsidR="00A37DE1" w:rsidRPr="00E67E82">
        <w:rPr>
          <w:rStyle w:val="Strong"/>
          <w:b w:val="0"/>
          <w:i/>
          <w:sz w:val="20"/>
          <w:szCs w:val="20"/>
        </w:rPr>
        <w:t>H. pylori</w:t>
      </w:r>
      <w:r w:rsidR="00A37DE1" w:rsidRPr="00E67E82">
        <w:rPr>
          <w:rStyle w:val="Strong"/>
          <w:b w:val="0"/>
          <w:sz w:val="20"/>
          <w:szCs w:val="20"/>
        </w:rPr>
        <w:t xml:space="preserve"> najčešći je uzrok karcinoma želuca u svijetu. Osim toga, kronična infekcija ovom bakterijom povezuje se i s razvojem MALT limfoma želuca</w:t>
      </w:r>
      <w:r w:rsidR="00FF5FDA" w:rsidRPr="00E67E82">
        <w:rPr>
          <w:rStyle w:val="Strong"/>
          <w:b w:val="0"/>
          <w:sz w:val="20"/>
          <w:szCs w:val="20"/>
        </w:rPr>
        <w:t>.</w:t>
      </w:r>
      <w:r w:rsidR="00A37DE1" w:rsidRPr="00E67E82">
        <w:rPr>
          <w:rStyle w:val="Strong"/>
          <w:b w:val="0"/>
          <w:sz w:val="20"/>
          <w:szCs w:val="20"/>
        </w:rPr>
        <w:t xml:space="preserve"> Općenito, tumorski mikrookoliš bogat upalnim stanicama i faktorima rasta ima važnu ulogu u fazama promoc</w:t>
      </w:r>
      <w:r w:rsidR="004F24E8">
        <w:rPr>
          <w:rStyle w:val="Strong"/>
          <w:b w:val="0"/>
          <w:sz w:val="20"/>
          <w:szCs w:val="20"/>
        </w:rPr>
        <w:t xml:space="preserve">ije i progresije tumorskog rasta. </w:t>
      </w:r>
      <w:r w:rsidR="00A37DE1" w:rsidRPr="00E67E82">
        <w:rPr>
          <w:rStyle w:val="Strong"/>
          <w:b w:val="0"/>
          <w:sz w:val="20"/>
          <w:szCs w:val="20"/>
        </w:rPr>
        <w:t>Poremećaj regulacije upalne reakcije u stromi tumori analogan je rani koja cijeli, ali nikako ne zacjeljuje</w:t>
      </w:r>
      <w:r w:rsidR="00517381" w:rsidRPr="00E67E82">
        <w:rPr>
          <w:rStyle w:val="Strong"/>
          <w:b w:val="0"/>
          <w:sz w:val="20"/>
          <w:szCs w:val="20"/>
        </w:rPr>
        <w:t xml:space="preserve"> </w:t>
      </w:r>
      <w:r w:rsidR="00517381" w:rsidRPr="00E67E82">
        <w:rPr>
          <w:rStyle w:val="Strong"/>
          <w:b w:val="0"/>
          <w:sz w:val="20"/>
          <w:szCs w:val="20"/>
        </w:rPr>
        <w:fldChar w:fldCharType="begin" w:fldLock="1"/>
      </w:r>
      <w:r w:rsidR="00714985" w:rsidRPr="00E67E82">
        <w:rPr>
          <w:rStyle w:val="Strong"/>
          <w:b w:val="0"/>
          <w:sz w:val="20"/>
          <w:szCs w:val="20"/>
        </w:rPr>
        <w:instrText>ADDIN CSL_CITATION {"citationItems":[{"id":"ITEM-1","itemData":{"author":[{"dropping-particle":"","family":"Dvorak","given":"Harold F.","non-dropping-particle":"","parse-names":false,"suffix":""}],"container-title":"The New England Journal of Medicine","id":"ITEM-1","issued":{"date-parts":[["1986"]]},"title":"Similarities between Tumour Stroma Generation and Wound Healing","type":"article-journal"},"uris":["http://www.mendeley.com/documents/?uuid=14d4a0ab-94ed-4711-80b8-3b6684c1b8e0"]}],"mendeley":{"formattedCitation":"(Dvorak, 1986)","plainTextFormattedCitation":"(Dvorak, 1986)","previouslyFormattedCitation":"(Dvorak, 1986)"},"properties":{"noteIndex":0},"schema":"https://github.com/citation-style-language/schema/raw/master/csl-citation.json"}</w:instrText>
      </w:r>
      <w:r w:rsidR="00517381" w:rsidRPr="00E67E82">
        <w:rPr>
          <w:rStyle w:val="Strong"/>
          <w:b w:val="0"/>
          <w:sz w:val="20"/>
          <w:szCs w:val="20"/>
        </w:rPr>
        <w:fldChar w:fldCharType="separate"/>
      </w:r>
      <w:r w:rsidR="00517381" w:rsidRPr="00E67E82">
        <w:rPr>
          <w:rStyle w:val="Strong"/>
          <w:b w:val="0"/>
          <w:noProof/>
          <w:sz w:val="20"/>
          <w:szCs w:val="20"/>
        </w:rPr>
        <w:t>(Dvorak, 1986)</w:t>
      </w:r>
      <w:r w:rsidR="00517381" w:rsidRPr="00E67E82">
        <w:rPr>
          <w:rStyle w:val="Strong"/>
          <w:b w:val="0"/>
          <w:sz w:val="20"/>
          <w:szCs w:val="20"/>
        </w:rPr>
        <w:fldChar w:fldCharType="end"/>
      </w:r>
      <w:r w:rsidR="00517381" w:rsidRPr="00E67E82">
        <w:rPr>
          <w:rStyle w:val="Strong"/>
          <w:b w:val="0"/>
          <w:sz w:val="20"/>
          <w:szCs w:val="20"/>
        </w:rPr>
        <w:t xml:space="preserve">. </w:t>
      </w:r>
      <w:r w:rsidR="00A37DE1" w:rsidRPr="00E67E82">
        <w:rPr>
          <w:rStyle w:val="Strong"/>
          <w:b w:val="0"/>
          <w:sz w:val="20"/>
          <w:szCs w:val="20"/>
        </w:rPr>
        <w:t>Uloga PTX3 u tumorigenezi još je kontroverzna. Čini se da PTX3 ima dvojaku ulogu: tumorsupresorsku i tumorpromotorsku, ovisno o tipu tumora, staničnom podrijetlu i kontekstu, tj. ravnoteži između mnogobrojnih čim</w:t>
      </w:r>
      <w:r w:rsidR="00714985" w:rsidRPr="00E67E82">
        <w:rPr>
          <w:rStyle w:val="Strong"/>
          <w:b w:val="0"/>
          <w:sz w:val="20"/>
          <w:szCs w:val="20"/>
        </w:rPr>
        <w:t xml:space="preserve">benika mikrookoliša </w:t>
      </w:r>
      <w:r w:rsidR="00714985" w:rsidRPr="00E67E82">
        <w:rPr>
          <w:rStyle w:val="Strong"/>
          <w:b w:val="0"/>
          <w:sz w:val="20"/>
          <w:szCs w:val="20"/>
        </w:rPr>
        <w:fldChar w:fldCharType="begin" w:fldLock="1"/>
      </w:r>
      <w:r w:rsidR="00F41B60">
        <w:rPr>
          <w:rStyle w:val="Strong"/>
          <w:b w:val="0"/>
          <w:sz w:val="20"/>
          <w:szCs w:val="20"/>
        </w:rPr>
        <w:instrText>ADDIN CSL_CITATION {"citationItems":[{"id":"ITEM-1","itemData":{"DOI":"10.1016/j.bbcan.2017.11.004","ISSN":"18792561","abstract":"Since its discovery in 1992, long pentraxin 3 (PTX3) has been characterized as soluble patter recognition receptor, a key player of the innate immunity arm with non-redundant functions in pathogen recognition and inflammatory responses. As a component of the extra-cellular matrix milieu, PTX3 has been implicated also in wound healing/tissue remodeling, cardiovascular diseases, fertility, and infectious diseases. Consequently, PTX3 levels in biological fluids have been proposed as a fluid-phase biomarker in different pathological conditions. In the last decade, experimental evidences have shown that PTX3 may exert a significant impact also on different aspects of cancer biology, including tumor onset, angiogenesis, metastatic dissemination and immune-modulation. However, it remains unclear whether PTX3 acts as a good cop or bad cop in cancer. In this review, we will summarize and discuss the scientific literature data focusing on the role of PTX3 in experimental and human tumors, including its putative translational implications.","author":[{"dropping-particle":"","family":"Giacomini","given":"Arianna","non-dropping-particle":"","parse-names":false,"suffix":""},{"dropping-particle":"","family":"Ghedini","given":"Gaia Cristina","non-dropping-particle":"","parse-names":false,"suffix":""},{"dropping-particle":"","family":"Presta","given":"Marco","non-dropping-particle":"","parse-names":false,"suffix":""},{"dropping-particle":"","family":"Ronca","given":"Roberto","non-dropping-particle":"","parse-names":false,"suffix":""}],"container-title":"Biochimica et Biophysica Acta - Reviews on Cancer","id":"ITEM-1","issue":"1","issued":{"date-parts":[["2018"]]},"page":"53-63","publisher":"Elsevier","title":"Long pentraxin 3: A novel multifaceted player in cancer","type":"article-journal","volume":"1869"},"uris":["http://www.mendeley.com/documents/?uuid=a10b75f2-5203-49f4-b53a-8fbb8d06ad3e"]}],"mendeley":{"formattedCitation":"(Giacomini &lt;i&gt;et al.&lt;/i&gt;, 2018)","manualFormatting":"(Giacomini i sur., 2018)","plainTextFormattedCitation":"(Giacomini et al., 2018)","previouslyFormattedCitation":"(Giacomini &lt;i&gt;et al.&lt;/i&gt;, 2018)"},"properties":{"noteIndex":0},"schema":"https://github.com/citation-style-language/schema/raw/master/csl-citation.json"}</w:instrText>
      </w:r>
      <w:r w:rsidR="00714985" w:rsidRPr="00E67E82">
        <w:rPr>
          <w:rStyle w:val="Strong"/>
          <w:b w:val="0"/>
          <w:sz w:val="20"/>
          <w:szCs w:val="20"/>
        </w:rPr>
        <w:fldChar w:fldCharType="separate"/>
      </w:r>
      <w:r w:rsidR="00714985" w:rsidRPr="00E67E82">
        <w:rPr>
          <w:rStyle w:val="Strong"/>
          <w:b w:val="0"/>
          <w:noProof/>
          <w:sz w:val="20"/>
          <w:szCs w:val="20"/>
        </w:rPr>
        <w:t xml:space="preserve">(Giacomini </w:t>
      </w:r>
      <w:r w:rsidR="003F4A87">
        <w:rPr>
          <w:rStyle w:val="Strong"/>
          <w:b w:val="0"/>
          <w:i/>
          <w:noProof/>
          <w:sz w:val="20"/>
          <w:szCs w:val="20"/>
        </w:rPr>
        <w:t>i sur.,</w:t>
      </w:r>
      <w:r w:rsidR="00714985" w:rsidRPr="00E67E82">
        <w:rPr>
          <w:rStyle w:val="Strong"/>
          <w:b w:val="0"/>
          <w:noProof/>
          <w:sz w:val="20"/>
          <w:szCs w:val="20"/>
        </w:rPr>
        <w:t xml:space="preserve"> 2018)</w:t>
      </w:r>
      <w:r w:rsidR="00714985" w:rsidRPr="00E67E82">
        <w:rPr>
          <w:rStyle w:val="Strong"/>
          <w:b w:val="0"/>
          <w:sz w:val="20"/>
          <w:szCs w:val="20"/>
        </w:rPr>
        <w:fldChar w:fldCharType="end"/>
      </w:r>
      <w:r w:rsidR="00714985" w:rsidRPr="00E67E82">
        <w:rPr>
          <w:rStyle w:val="Strong"/>
          <w:b w:val="0"/>
          <w:sz w:val="20"/>
          <w:szCs w:val="20"/>
        </w:rPr>
        <w:t xml:space="preserve">. </w:t>
      </w:r>
      <w:r w:rsidR="00A37DE1" w:rsidRPr="00E67E82">
        <w:rPr>
          <w:rStyle w:val="Strong"/>
          <w:b w:val="0"/>
          <w:sz w:val="20"/>
          <w:szCs w:val="20"/>
        </w:rPr>
        <w:t>Primjerice, postoje studije koje su pokazale da se u određenim tipovima tumora PTX3 ponaša kao tumorsupresor. Na mišjem modelu pokazano je da je tumorigeni i metastatski potencijal FGF-ovisnog melanoma bio značajno povećan kad su tumorske stanice transpl</w:t>
      </w:r>
      <w:r w:rsidR="006C03E8">
        <w:rPr>
          <w:rStyle w:val="Strong"/>
          <w:b w:val="0"/>
          <w:sz w:val="20"/>
          <w:szCs w:val="20"/>
        </w:rPr>
        <w:t xml:space="preserve">antirane </w:t>
      </w:r>
      <w:r w:rsidR="00714985" w:rsidRPr="00E67E82">
        <w:rPr>
          <w:rStyle w:val="Strong"/>
          <w:b w:val="0"/>
          <w:sz w:val="20"/>
          <w:szCs w:val="20"/>
        </w:rPr>
        <w:t xml:space="preserve">Ptx3-/- miševima </w:t>
      </w:r>
      <w:r w:rsidR="00714985" w:rsidRPr="00E67E82">
        <w:rPr>
          <w:rStyle w:val="Strong"/>
          <w:b w:val="0"/>
          <w:sz w:val="20"/>
          <w:szCs w:val="20"/>
        </w:rPr>
        <w:fldChar w:fldCharType="begin" w:fldLock="1"/>
      </w:r>
      <w:r w:rsidR="00F41B60">
        <w:rPr>
          <w:rStyle w:val="Strong"/>
          <w:b w:val="0"/>
          <w:sz w:val="20"/>
          <w:szCs w:val="20"/>
        </w:rPr>
        <w:instrText>ADDIN CSL_CITATION {"citationItems":[{"id":"ITEM-1","itemData":{"DOI":"10.1016/j.ccell.2015.07.002","ISSN":"18783686","abstract":"The fibroblast growth factor (FGF)/FGF receptor (FGFR) system plays a crucial role in cancer by affecting tumor growth, angiogenesis, drug resistance, and escape from anti-angiogenic anti-vascular endothelial growth factor therapy. The soluble pattern recognition receptor long-pentraxin 3 (PTX3) acts as a multi-FGF antagonist. Here we demonstrate that human PTX3 overexpression in transgenic mice driven by the Tie2 promoter inhibits tumor growth, angiogenesis, and metastasis in heterotopic, orthotopic, and autochthonous FGF-dependent tumor models. Using pharmacophore modeling of the interaction of a minimal PTX3-derived FGF-binding pentapeptide with FGF2, we identified a small-molecule chemical (NSC12) that acts as an extracellular FGF trap with significant implications in cancer therapy. Ronca et al. show that overexpression of long-pentraxin 3 (PTX3) in mice inhibits the growth of FGF-dependent tumor models. On the basis of pharmacophore modeling of PTX3-FGF2 interaction, they identify a small molecule that acts as an extracellular FGF trap and inhibits FGF-dependent tumor growth in mice.","author":[{"dropping-particle":"","family":"Ronca","given":"Roberto","non-dropping-particle":"","parse-names":false,"suffix":""},{"dropping-particle":"","family":"Giacomini","given":"Arianna","non-dropping-particle":"","parse-names":false,"suffix":""},{"dropping-particle":"","family":"Salle","given":"Emanuela","non-dropping-particle":"Di","parse-names":false,"suffix":""},{"dropping-particle":"","family":"Coltrini","given":"Daniela","non-dropping-particle":"","parse-names":false,"suffix":""},{"dropping-particle":"","family":"Pagano","given":"Katiuscia","non-dropping-particle":"","parse-names":false,"suffix":""},{"dropping-particle":"","family":"Ragona","given":"Laura","non-dropping-particle":"","parse-names":false,"suffix":""},{"dropping-particle":"","family":"Matarazzo","given":"Sara","non-dropping-particle":"","parse-names":false,"suffix":""},{"dropping-particle":"","family":"Rezzola","given":"Sara","non-dropping-particle":"","parse-names":false,"suffix":""},{"dropping-particle":"","family":"Maiolo","given":"Daniele","non-dropping-particle":"","parse-names":false,"suffix":""},{"dropping-particle":"","family":"Torrella","given":"Rubben","non-dropping-particle":"","parse-names":false,"suffix":""},{"dropping-particle":"","family":"Moroni","given":"Elisabetta","non-dropping-particle":"","parse-names":false,"suffix":""},{"dropping-particle":"","family":"Mazzieri","given":"Roberta","non-dropping-particle":"","parse-names":false,"suffix":""},{"dropping-particle":"","family":"Escobar","given":"Giulia","non-dropping-particle":"","parse-names":false,"suffix":""},{"dropping-particle":"","family":"Mor","given":"Marco","non-dropping-particle":"","parse-names":false,"suffix":""},{"dropping-particle":"","family":"Colombo","given":"Giorgio","non-dropping-particle":"","parse-names":false,"suffix":""},{"dropping-particle":"","family":"Presta","given":"Marco","non-dropping-particle":"","parse-names":false,"suffix":""}],"container-title":"Cancer Cell","id":"ITEM-1","issue":"2","issued":{"date-parts":[["2015"]]},"page":"225-239","publisher":"Elsevier Inc.","title":"Long-Pentraxin 3 Derivative as a Small-Molecule FGF Trap for Cancer Therapy","type":"article-journal","volume":"28"},"uris":["http://www.mendeley.com/documents/?uuid=afd96846-0ae8-49ac-86b7-b5b05d308cc8"]}],"mendeley":{"formattedCitation":"(Ronca &lt;i&gt;et al.&lt;/i&gt;, 2015)","manualFormatting":"(Ronca i sur., 2015)","plainTextFormattedCitation":"(Ronca et al., 2015)","previouslyFormattedCitation":"(Ronca &lt;i&gt;et al.&lt;/i&gt;, 2015)"},"properties":{"noteIndex":0},"schema":"https://github.com/citation-style-language/schema/raw/master/csl-citation.json"}</w:instrText>
      </w:r>
      <w:r w:rsidR="00714985" w:rsidRPr="00E67E82">
        <w:rPr>
          <w:rStyle w:val="Strong"/>
          <w:b w:val="0"/>
          <w:sz w:val="20"/>
          <w:szCs w:val="20"/>
        </w:rPr>
        <w:fldChar w:fldCharType="separate"/>
      </w:r>
      <w:r w:rsidR="00714985" w:rsidRPr="00E67E82">
        <w:rPr>
          <w:rStyle w:val="Strong"/>
          <w:b w:val="0"/>
          <w:noProof/>
          <w:sz w:val="20"/>
          <w:szCs w:val="20"/>
        </w:rPr>
        <w:t xml:space="preserve">(Ronca </w:t>
      </w:r>
      <w:r w:rsidR="003F4A87">
        <w:rPr>
          <w:rStyle w:val="Strong"/>
          <w:b w:val="0"/>
          <w:i/>
          <w:noProof/>
          <w:sz w:val="20"/>
          <w:szCs w:val="20"/>
        </w:rPr>
        <w:t>i sur.,</w:t>
      </w:r>
      <w:r w:rsidR="00714985" w:rsidRPr="00E67E82">
        <w:rPr>
          <w:rStyle w:val="Strong"/>
          <w:b w:val="0"/>
          <w:noProof/>
          <w:sz w:val="20"/>
          <w:szCs w:val="20"/>
        </w:rPr>
        <w:t xml:space="preserve"> 2015)</w:t>
      </w:r>
      <w:r w:rsidR="00714985" w:rsidRPr="00E67E82">
        <w:rPr>
          <w:rStyle w:val="Strong"/>
          <w:b w:val="0"/>
          <w:sz w:val="20"/>
          <w:szCs w:val="20"/>
        </w:rPr>
        <w:fldChar w:fldCharType="end"/>
      </w:r>
      <w:r w:rsidR="00714985" w:rsidRPr="00E67E82">
        <w:rPr>
          <w:rStyle w:val="Strong"/>
          <w:b w:val="0"/>
          <w:sz w:val="20"/>
          <w:szCs w:val="20"/>
        </w:rPr>
        <w:t xml:space="preserve">. </w:t>
      </w:r>
      <w:r w:rsidR="00A37DE1" w:rsidRPr="00E67E82">
        <w:rPr>
          <w:rStyle w:val="Strong"/>
          <w:b w:val="0"/>
          <w:sz w:val="20"/>
          <w:szCs w:val="20"/>
        </w:rPr>
        <w:t>Deficit PTX3 kod Ptx3-/- miševa povezan je i s većom vjerojatnošću razvoja karcinoma uslijed izloženosti različitim kožnim kemijskim karcinogenima. Deficit PTX3 rezultirao je pojačanom aktivacijom komplementa, povećanom infiltracijom makrofagima i M2 diferencijacijom, produkcijom citokina i a</w:t>
      </w:r>
      <w:r w:rsidR="00CC23EB" w:rsidRPr="00E67E82">
        <w:rPr>
          <w:rStyle w:val="Strong"/>
          <w:b w:val="0"/>
          <w:sz w:val="20"/>
          <w:szCs w:val="20"/>
        </w:rPr>
        <w:t xml:space="preserve">ngiogenezom </w:t>
      </w:r>
      <w:r w:rsidR="00CC23EB" w:rsidRPr="00E67E82">
        <w:rPr>
          <w:rStyle w:val="Strong"/>
          <w:b w:val="0"/>
          <w:sz w:val="20"/>
          <w:szCs w:val="20"/>
        </w:rPr>
        <w:fldChar w:fldCharType="begin" w:fldLock="1"/>
      </w:r>
      <w:r w:rsidR="00F41B60">
        <w:rPr>
          <w:rStyle w:val="Strong"/>
          <w:b w:val="0"/>
          <w:sz w:val="20"/>
          <w:szCs w:val="20"/>
        </w:rPr>
        <w:instrText>ADDIN CSL_CITATION {"citationItems":[{"id":"ITEM-1","itemData":{"DOI":"10.1016/j.cell.2015.01.004","ISSN":"10974172","abstract":"PTX3 is an essential component of the humoral arm of innate immunity, playing a nonredundant role in resistance against selected microbes and in the regulation of inflammation. PTX3 activates and regulates the Complement cascade by interacting with C1q and with Factor H. PTX3 deficiency was associated with increased susceptibility to mesenchymal and epithelial carcinogenesis. Increased susceptibility of Ptx3-/- mice was associated with enhanced macrophage infiltration, cytokine production, angiogenesis, and Trp53 mutations. Correlative evidence, gene-targeted mice, and pharmacological blocking experiments indicated that PTX3 deficiency resulted in amplification of Complement activation, CCL2 production, and tumor-promoting macrophage recruitment. PTX3 expression was epigenetically regulated in selected human tumors (e.g., leiomyosarcomas and colorectal cancer) by methylation of the promoter region and of a putative enhancer. Thus, PTX3, an effector molecule belonging to the humoral arm of innate immunity, acts as an extrinsic oncosuppressor gene in mouse and man by regulating Complement-dependent, macrophage-sustained, tumor-promoting inflammation. Video Abstract","author":[{"dropping-particle":"","family":"Bonavita","given":"Eduardo","non-dropping-particle":"","parse-names":false,"suffix":""},{"dropping-particle":"","family":"Gentile","given":"Stefania","non-dropping-particle":"","parse-names":false,"suffix":""},{"dropping-particle":"","family":"Rubino","given":"Marcello","non-dropping-particle":"","parse-names":false,"suffix":""},{"dropping-particle":"","family":"Maina","given":"Virginia","non-dropping-particle":"","parse-names":false,"suffix":""},{"dropping-particle":"","family":"Papait","given":"Roberto","non-dropping-particle":"","parse-names":false,"suffix":""},{"dropping-particle":"","family":"Kunderfranco","given":"Paolo","non-dropping-particle":"","parse-names":false,"suffix":""},{"dropping-particle":"","family":"Greco","given":"Carolina","non-dropping-particle":"","parse-names":false,"suffix":""},{"dropping-particle":"","family":"Feruglio","given":"Francesca","non-dropping-particle":"","parse-names":false,"suffix":""},{"dropping-particle":"","family":"Molgora","given":"Martina","non-dropping-particle":"","parse-names":false,"suffix":""},{"dropping-particle":"","family":"Laface","given":"Ilaria","non-dropping-particle":"","parse-names":false,"suffix":""},{"dropping-particle":"","family":"Tartari","given":"Silvia","non-dropping-particle":"","parse-names":false,"suffix":""},{"dropping-particle":"","family":"Doni","given":"Andrea","non-dropping-particle":"","parse-names":false,"suffix":""},{"dropping-particle":"","family":"Pasqualini","given":"Fabio","non-dropping-particle":"","parse-names":false,"suffix":""},{"dropping-particle":"","family":"Barbati","given":"Elisa","non-dropping-particle":"","parse-names":false,"suffix":""},{"dropping-particle":"","family":"Basso","given":"Gianluca","non-dropping-particle":"","parse-names":false,"suffix":""},{"dropping-particle":"","family":"Galdiero","given":"Maria Rosaria","non-dropping-particle":"","parse-names":false,"suffix":""},{"dropping-particle":"","family":"Nebuloni","given":"Manuela","non-dropping-particle":"","parse-names":false,"suffix":""},{"dropping-particle":"","family":"Roncalli","given":"Massimo","non-dropping-particle":"","parse-names":false,"suffix":""},{"dropping-particle":"","family":"Colombo","given":"Piergiuseppe","non-dropping-particle":"","parse-names":false,"suffix":""},{"dropping-particle":"","family":"Laghi","given":"Luigi","non-dropping-particle":"","parse-names":false,"suffix":""},{"dropping-particle":"","family":"Lambris","given":"John D.","non-dropping-particle":"","parse-names":false,"suffix":""},{"dropping-particle":"","family":"Jaillon","given":"Sébastien","non-dropping-particle":"","parse-names":false,"suffix":""},{"dropping-particle":"","family":"Garlanda","given":"Cecilia","non-dropping-particle":"","parse-names":false,"suffix":""},{"dropping-particle":"","family":"Mantovani","given":"Alberto","non-dropping-particle":"","parse-names":false,"suffix":""}],"container-title":"Cell","id":"ITEM-1","issue":"4","issued":{"date-parts":[["2015"]]},"page":"700-714","title":"PTX3 is an extrinsic oncosuppressor regulating complement-dependent inflammation in cancer","type":"article-journal","volume":"160"},"uris":["http://www.mendeley.com/documents/?uuid=2acab704-7106-47c2-91df-fa6d1a0fc137"]}],"mendeley":{"formattedCitation":"(Bonavita &lt;i&gt;et al.&lt;/i&gt;, 2015)","manualFormatting":"(Bonavita i sur., 2015)","plainTextFormattedCitation":"(Bonavita et al., 2015)","previouslyFormattedCitation":"(Bonavita &lt;i&gt;et al.&lt;/i&gt;, 2015)"},"properties":{"noteIndex":0},"schema":"https://github.com/citation-style-language/schema/raw/master/csl-citation.json"}</w:instrText>
      </w:r>
      <w:r w:rsidR="00CC23EB" w:rsidRPr="00E67E82">
        <w:rPr>
          <w:rStyle w:val="Strong"/>
          <w:b w:val="0"/>
          <w:sz w:val="20"/>
          <w:szCs w:val="20"/>
        </w:rPr>
        <w:fldChar w:fldCharType="separate"/>
      </w:r>
      <w:r w:rsidR="00CC23EB" w:rsidRPr="00E67E82">
        <w:rPr>
          <w:rStyle w:val="Strong"/>
          <w:b w:val="0"/>
          <w:noProof/>
          <w:sz w:val="20"/>
          <w:szCs w:val="20"/>
        </w:rPr>
        <w:t xml:space="preserve">(Bonavita </w:t>
      </w:r>
      <w:r w:rsidR="003F4A87">
        <w:rPr>
          <w:rStyle w:val="Strong"/>
          <w:b w:val="0"/>
          <w:i/>
          <w:noProof/>
          <w:sz w:val="20"/>
          <w:szCs w:val="20"/>
        </w:rPr>
        <w:t>i sur.,</w:t>
      </w:r>
      <w:r w:rsidR="00CC23EB" w:rsidRPr="00E67E82">
        <w:rPr>
          <w:rStyle w:val="Strong"/>
          <w:b w:val="0"/>
          <w:noProof/>
          <w:sz w:val="20"/>
          <w:szCs w:val="20"/>
        </w:rPr>
        <w:t xml:space="preserve"> 2015)</w:t>
      </w:r>
      <w:r w:rsidR="00CC23EB" w:rsidRPr="00E67E82">
        <w:rPr>
          <w:rStyle w:val="Strong"/>
          <w:b w:val="0"/>
          <w:sz w:val="20"/>
          <w:szCs w:val="20"/>
        </w:rPr>
        <w:fldChar w:fldCharType="end"/>
      </w:r>
      <w:r w:rsidR="00CC23EB" w:rsidRPr="00E67E82">
        <w:rPr>
          <w:rStyle w:val="Strong"/>
          <w:b w:val="0"/>
          <w:sz w:val="20"/>
          <w:szCs w:val="20"/>
        </w:rPr>
        <w:t xml:space="preserve">. </w:t>
      </w:r>
      <w:r w:rsidR="00A37DE1" w:rsidRPr="00E67E82">
        <w:rPr>
          <w:rStyle w:val="Strong"/>
          <w:b w:val="0"/>
          <w:sz w:val="20"/>
          <w:szCs w:val="20"/>
        </w:rPr>
        <w:t>Inibicijom FGF2-posredovane proliferacije i angiogeneze PTX3 ostvaruje svoj antiangiogeni učinak i u humanom mel</w:t>
      </w:r>
      <w:r w:rsidR="00CC23EB" w:rsidRPr="00E67E82">
        <w:rPr>
          <w:rStyle w:val="Strong"/>
          <w:b w:val="0"/>
          <w:sz w:val="20"/>
          <w:szCs w:val="20"/>
        </w:rPr>
        <w:t xml:space="preserve">anomu i multiplom mijelomu </w:t>
      </w:r>
      <w:r w:rsidR="00CC23EB" w:rsidRPr="00E67E82">
        <w:rPr>
          <w:rStyle w:val="Strong"/>
          <w:b w:val="0"/>
          <w:sz w:val="20"/>
          <w:szCs w:val="20"/>
        </w:rPr>
        <w:fldChar w:fldCharType="begin" w:fldLock="1"/>
      </w:r>
      <w:r w:rsidR="00F41B60">
        <w:rPr>
          <w:rStyle w:val="Strong"/>
          <w:b w:val="0"/>
          <w:sz w:val="20"/>
          <w:szCs w:val="20"/>
        </w:rPr>
        <w:instrText>ADDIN CSL_CITATION {"citationItems":[{"id":"ITEM-1","itemData":{"DOI":"10.1158/1535-7163.MCT-13-0487","ISSN":"1535-7163","abstract":"During melanoma progression, malignant melanocytes are reprogrammed into mesenchymal-like cells through to an epithelial-mesenchymal transition (EMT) process associated with the acquisition of an invasive, prometastatic phenotype. The fibroblast growth factor-2 (FGF2)/FGF receptor (FGFR) system plays a pivotal role in melanoma, leading to autocrine/paracrine induction of tumor cell proliferation and angiogenesis. Long pentraxin-3 (PTX3) interacts with FGF2, and other FGF family members, inhibiting FGF-dependent neovascularization and tumor growth. Here, PTX3 protein and the PTX3-derived acetylated pentapeptide Ac-ARPCA-NH2 inhibit FGF2-driven proliferation and downstream FGFR signaling in murine melanoma B16-F10 cells. Moreover, human PTX3-overexpressing hPTX_B16-F10 cells are characterized by the reversed transition from a mesenchymal to an epithelial-like appearance, inhibition of cell proliferation, loss of clonogenic potential, reduced motility and invasive capacity, downregulation of various mesenchymal markers, and upregulation of the epithelial marker E-cadherin. Accordingly, PTX3 affects cell proliferation and EMT transition in human A375 and A2058 melanoma cells. Also, hPTX_B16-F10 cells showed a reduced tumorigenic and metastatic activity in syngeneic C57BL/6 mice. In conclusion, PTX3 inhibits FGF/FGFR-driven EMT in melanoma cells, hampering their tumorigenic and metastatic potential. These data represent the first experimental evidence about a nonredundant role of the FGF/FGFR system in the modulation of the EMT process in melanoma and indicate that PTX3 or its derivatives may represent the basis for the design of novel therapeutic approaches in FGF/FGFR-dependent tumors, including melanoma.","author":[{"dropping-particle":"","family":"Ronca","given":"R.","non-dropping-particle":"","parse-names":false,"suffix":""},{"dropping-particle":"","family":"Salle","given":"E.","non-dropping-particle":"Di","parse-names":false,"suffix":""},{"dropping-particle":"","family":"Giacomini","given":"A.","non-dropping-particle":"","parse-names":false,"suffix":""},{"dropping-particle":"","family":"Leali","given":"D.","non-dropping-particle":"","parse-names":false,"suffix":""},{"dropping-particle":"","family":"Alessi","given":"P.","non-dropping-particle":"","parse-names":false,"suffix":""},{"dropping-particle":"","family":"Coltrini","given":"D.","non-dropping-particle":"","parse-names":false,"suffix":""},{"dropping-particle":"","family":"Ravelli","given":"C.","non-dropping-particle":"","parse-names":false,"suffix":""},{"dropping-particle":"","family":"Matarazzo","given":"S.","non-dropping-particle":"","parse-names":false,"suffix":""},{"dropping-particle":"","family":"Ribatti","given":"D.","non-dropping-particle":"","parse-names":false,"suffix":""},{"dropping-particle":"","family":"Vermi","given":"W.","non-dropping-particle":"","parse-names":false,"suffix":""},{"dropping-particle":"","family":"Presta","given":"M.","non-dropping-particle":"","parse-names":false,"suffix":""}],"container-title":"Molecular Cancer Therapeutics","id":"ITEM-1","issue":"12","issued":{"date-parts":[["2013"]]},"page":"2760-2771","title":"Long Pentraxin-3 Inhibits Epithelial-Mesenchymal Transition in Melanoma Cells","type":"article-journal","volume":"12"},"uris":["http://www.mendeley.com/documents/?uuid=ba471d05-db15-49df-9079-747207eb9340"]},{"id":"ITEM-2","itemData":{"DOI":"10.1002/path.4081","ISSN":"00223417","abstract":"Pentraxin 3 (PTX3) is a soluble pattern recognition receptor that binds with high affinity and selectivity to fibroblast growth factor-2 (FGF2), thus inhibiting its pro-angiogenic activity. Here we investigated the effects of PTX3 on monoclonal gammopathy of undetermined significance (MGUS) and multiple myeloma (MM) patient-derived bone marrow (BM) plasma cells (PCs), endothelial cells (ECs), and fibroblasts (FBs), and assessed whether PTX3 can modulate the cross-talk between PCs and those microenvironment cells. PTX3 and FGF2 expression was evaluated by ELISA. Functional studies, including cell viability, wound healing, chemotaxis, and Matrigel(®) assays, were performed on MGUS and MM ECs and FBs upon the PTX3 treatment. Through western blot PTX3-induced modulation in FGF2/FGF receptor signalling pathways was evaluated in MGUS and MM ECs and FBs through western blot. Co-cultures between MM ECs/FBs and human PC lines were used to evaluate possible PTX3 indirect effects on MM PCs. Adhesion molecules were studied by flow cytometry. PTX3 provides a direct time- and dose-dependent apoptotic effect on MM ECs and FBs, but not on either MM primary PCs or human PC lines. PTX3 inhibits migration of MM ECs and FBs in a dose-dependent manner, and impacts in vitro and in vivo FGF2-mediated MM angiogenesis. Co-cultures of PCs and ECs/FBs show that PTX3 treatment indirectly impairs PC viability and adhesion. We conclude that PTX3 is an anti-angiogenic factor in MM and behaves as a cytotoxic molecule on MM cells by inhibiting the cross-talk between PCs and ECs/FBs.","author":[{"dropping-particle":"","family":"Basile","given":"Antonio","non-dropping-particle":"","parse-names":false,"suffix":""},{"dropping-particle":"","family":"Moschetta","given":"Michele","non-dropping-particle":"","parse-names":false,"suffix":""},{"dropping-particle":"","family":"Ditonno","given":"Paolo","non-dropping-particle":"","parse-names":false,"suffix":""},{"dropping-particle":"","family":"Ria","given":"Roberto","non-dropping-particle":"","parse-names":false,"suffix":""},{"dropping-particle":"","family":"Marech","given":"Ilaria","non-dropping-particle":"","parse-names":false,"suffix":""},{"dropping-particle":"","family":"Luisi","given":"Annunziata","non-dropping-particle":"De","parse-names":false,"suffix":""},{"dropping-particle":"","family":"Berardi","given":"Simona","non-dropping-particle":"","parse-names":false,"suffix":""},{"dropping-particle":"","family":"Frassanito","given":"Maria Antonia","non-dropping-particle":"","parse-names":false,"suffix":""},{"dropping-particle":"","family":"Angelucci","given":"Emanuele","non-dropping-particle":"","parse-names":false,"suffix":""},{"dropping-particle":"","family":"Derudas","given":"Daniele","non-dropping-particle":"","parse-names":false,"suffix":""},{"dropping-particle":"","family":"Specchia","given":"Giorgina","non-dropping-particle":"","parse-names":false,"suffix":""},{"dropping-particle":"","family":"Curci","given":"Paola","non-dropping-particle":"","parse-names":false,"suffix":""},{"dropping-particle":"","family":"Pavone","given":"Vincenzo","non-dropping-particle":"","parse-names":false,"suffix":""},{"dropping-particle":"","family":"Rossini","given":"Bernardo","non-dropping-particle":"","parse-names":false,"suffix":""},{"dropping-particle":"","family":"Ribatti","given":"Domenico","non-dropping-particle":"","parse-names":false,"suffix":""},{"dropping-particle":"","family":"Bottazzi","given":"Barbara","non-dropping-particle":"","parse-names":false,"suffix":""},{"dropping-particle":"","family":"Mantovani","given":"Alberto","non-dropping-particle":"","parse-names":false,"suffix":""},{"dropping-particle":"","family":"Presta","given":"Marco","non-dropping-particle":"","parse-names":false,"suffix":""},{"dropping-particle":"","family":"Dammacco","given":"Franco","non-dropping-particle":"","parse-names":false,"suffix":""},{"dropping-particle":"","family":"Vacca","given":"Angelo","non-dropping-particle":"","parse-names":false,"suffix":""}],"container-title":"Journal of Pathology","id":"ITEM-2","issue":"1","issued":{"date-parts":[["2013"]]},"page":"87-98","title":"Pentraxin 3 (PTX3) inhibits plasma cell/stromal cell cross-talk in the bone marrow of multiple myeloma patients","type":"article-journal","volume":"229"},"uris":["http://www.mendeley.com/documents/?uuid=a340d018-0431-4346-8d38-eb4db9d177d7"]}],"mendeley":{"formattedCitation":"(Basile &lt;i&gt;et al.&lt;/i&gt;, 2013; R. Ronca &lt;i&gt;et al.&lt;/i&gt;, 2013)","manualFormatting":"(Basile i sur., 2013; R. Ronca i sur., 2013)","plainTextFormattedCitation":"(Basile et al., 2013; R. Ronca et al., 2013)","previouslyFormattedCitation":"(Basile &lt;i&gt;et al.&lt;/i&gt;, 2013; R. Ronca &lt;i&gt;et al.&lt;/i&gt;, 2013)"},"properties":{"noteIndex":0},"schema":"https://github.com/citation-style-language/schema/raw/master/csl-citation.json"}</w:instrText>
      </w:r>
      <w:r w:rsidR="00CC23EB" w:rsidRPr="00E67E82">
        <w:rPr>
          <w:rStyle w:val="Strong"/>
          <w:b w:val="0"/>
          <w:sz w:val="20"/>
          <w:szCs w:val="20"/>
        </w:rPr>
        <w:fldChar w:fldCharType="separate"/>
      </w:r>
      <w:r w:rsidR="00CC23EB" w:rsidRPr="00E67E82">
        <w:rPr>
          <w:rStyle w:val="Strong"/>
          <w:b w:val="0"/>
          <w:noProof/>
          <w:sz w:val="20"/>
          <w:szCs w:val="20"/>
        </w:rPr>
        <w:t xml:space="preserve">(Basile </w:t>
      </w:r>
      <w:r w:rsidR="003F4A87">
        <w:rPr>
          <w:rStyle w:val="Strong"/>
          <w:b w:val="0"/>
          <w:i/>
          <w:noProof/>
          <w:sz w:val="20"/>
          <w:szCs w:val="20"/>
        </w:rPr>
        <w:t>i sur.,</w:t>
      </w:r>
      <w:r w:rsidR="00CC23EB" w:rsidRPr="00E67E82">
        <w:rPr>
          <w:rStyle w:val="Strong"/>
          <w:b w:val="0"/>
          <w:noProof/>
          <w:sz w:val="20"/>
          <w:szCs w:val="20"/>
        </w:rPr>
        <w:t xml:space="preserve"> 2013; R. Ronca </w:t>
      </w:r>
      <w:r w:rsidR="003F4A87">
        <w:rPr>
          <w:rStyle w:val="Strong"/>
          <w:b w:val="0"/>
          <w:i/>
          <w:noProof/>
          <w:sz w:val="20"/>
          <w:szCs w:val="20"/>
        </w:rPr>
        <w:t>i sur.,</w:t>
      </w:r>
      <w:r w:rsidR="00CC23EB" w:rsidRPr="00E67E82">
        <w:rPr>
          <w:rStyle w:val="Strong"/>
          <w:b w:val="0"/>
          <w:noProof/>
          <w:sz w:val="20"/>
          <w:szCs w:val="20"/>
        </w:rPr>
        <w:t xml:space="preserve"> 2013)</w:t>
      </w:r>
      <w:r w:rsidR="00CC23EB" w:rsidRPr="00E67E82">
        <w:rPr>
          <w:rStyle w:val="Strong"/>
          <w:b w:val="0"/>
          <w:sz w:val="20"/>
          <w:szCs w:val="20"/>
        </w:rPr>
        <w:fldChar w:fldCharType="end"/>
      </w:r>
      <w:r w:rsidR="00CC23EB" w:rsidRPr="00E67E82">
        <w:rPr>
          <w:rStyle w:val="Strong"/>
          <w:b w:val="0"/>
          <w:sz w:val="20"/>
          <w:szCs w:val="20"/>
        </w:rPr>
        <w:t xml:space="preserve">. </w:t>
      </w:r>
      <w:r w:rsidR="00A37DE1" w:rsidRPr="00E67E82">
        <w:rPr>
          <w:rStyle w:val="Strong"/>
          <w:b w:val="0"/>
          <w:sz w:val="20"/>
          <w:szCs w:val="20"/>
        </w:rPr>
        <w:t>Nadalje, u humanom modelu karcinoma prostate, PTX3 imunoreaktivnost, inače izražena u bazalnim stanicama zdrave prostate, izgubljena je u prostatičnoj intraepitelnoj neoplaziji i adenokarcinomu prostate</w:t>
      </w:r>
      <w:r w:rsidR="00CC23EB" w:rsidRPr="00E67E82">
        <w:rPr>
          <w:rStyle w:val="Strong"/>
          <w:b w:val="0"/>
          <w:sz w:val="20"/>
          <w:szCs w:val="20"/>
        </w:rPr>
        <w:t xml:space="preserve"> </w:t>
      </w:r>
      <w:r w:rsidR="00CC23EB" w:rsidRPr="00E67E82">
        <w:rPr>
          <w:rStyle w:val="Strong"/>
          <w:b w:val="0"/>
          <w:sz w:val="20"/>
          <w:szCs w:val="20"/>
        </w:rPr>
        <w:fldChar w:fldCharType="begin" w:fldLock="1"/>
      </w:r>
      <w:r w:rsidR="00F41B60">
        <w:rPr>
          <w:rStyle w:val="Strong"/>
          <w:b w:val="0"/>
          <w:sz w:val="20"/>
          <w:szCs w:val="20"/>
        </w:rPr>
        <w:instrText>ADDIN CSL_CITATION {"citationItems":[{"id":"ITEM-1","itemData":{"DOI":"10.1002/path.4181","ISSN":"00223417","abstract":"Fibroblast growth factors (FGFs) exert autocrine/paracrine functions in prostate cancer by stimulating angiogenesis and tumour growth. Here dihydrotestosterone (DHT) up-regulates FGF2 and FGF8b production in murine TRAMP-C2 prostate cancer cells, activating a FGF-dependent autocrine loop of stimulation. The soluble pattern recognition receptor long pentraxin-3 (PTX3) acts as a natural FGF antagonist that binds FGF2 and FGF8b via its N-terminal domain. We demonstrate that recombinant PTX3 protein and the PTX3-derived pentapeptide Ac-ARPCA-NH2 abolish the mitogenic response of murine TRAMP-C2 cells and human LNCaP prostate cancer cells to DHT and FGFs. Also, PTX3 hampers the angiogenic activity of DHT-activated TRAMP-C2 cells on the chick embryo chorioallantoic membrane (CAM). Accordingly, human PTX3 overexpression inhibits the mitogenic activity exerted by DHT or FGFs on hPTX3_TRAMP-C2 cell transfectants and their angiogenic activity. Also, hPTX3_TRAMP-C2 cells show a dramatic decrease of their angiogenic and tumourigenic potential when grafted in syngeneic or immunodeficient athymic male mice. A similar inhibitory effect is observed when TRAMP-C2 cells overexpress only the FGF-binding N-terminal PTX3 domain. In keeping with the anti-tumour activity of PTX3 in experimental prostate cancer, immunohistochemical analysis of prostate needle biopsies from primary prostate adenocarcinoma patients shows that parenchymal PTX3 expression, abundant in basal cells of normal glands, is lost in high-grade prostatic intraepithelial neoplasia and in invasive tumour areas. These results identify PTX3 as a potent FGF antagonist endowed with anti-angiogenic and anti-neoplastic activity in prostate cancer.","author":[{"dropping-particle":"","family":"Ronca","given":"Roberto","non-dropping-particle":"","parse-names":false,"suffix":""},{"dropping-particle":"","family":"Alessi","given":"Patrizia","non-dropping-particle":"","parse-names":false,"suffix":""},{"dropping-particle":"","family":"Coltrini","given":"Daniela","non-dropping-particle":"","parse-names":false,"suffix":""},{"dropping-particle":"","family":"Salle","given":"Emanuela","non-dropping-particle":"Di","parse-names":false,"suffix":""},{"dropping-particle":"","family":"Giacomini","given":"Arianna","non-dropping-particle":"","parse-names":false,"suffix":""},{"dropping-particle":"","family":"Leali","given":"Daria","non-dropping-particle":"","parse-names":false,"suffix":""},{"dropping-particle":"","family":"Corsini","given":"Michela","non-dropping-particle":"","parse-names":false,"suffix":""},{"dropping-particle":"","family":"Belleri","given":"Mirella","non-dropping-particle":"","parse-names":false,"suffix":""},{"dropping-particle":"","family":"Tobia","given":"Chiara","non-dropping-particle":"","parse-names":false,"suffix":""},{"dropping-particle":"","family":"Garlanda","given":"Cecilia","non-dropping-particle":"","parse-names":false,"suffix":""},{"dropping-particle":"","family":"Bonomi","given":"Elisa","non-dropping-particle":"","parse-names":false,"suffix":""},{"dropping-particle":"","family":"Tardanico","given":"Regina","non-dropping-particle":"","parse-names":false,"suffix":""},{"dropping-particle":"","family":"Vermi","given":"William","non-dropping-particle":"","parse-names":false,"suffix":""},{"dropping-particle":"","family":"Presta","given":"Marco","non-dropping-particle":"","parse-names":false,"suffix":""}],"container-title":"Journal of Pathology","id":"ITEM-1","issue":"2","issued":{"date-parts":[["2013"]]},"page":"228-238","title":"Long pentraxin-3 as an epithelial-stromal fibroblast growth factor-targeting inhibitor in prostate cancer","type":"article-journal","volume":"230"},"uris":["http://www.mendeley.com/documents/?uuid=5dad3213-158b-4316-b750-fe0cb4c485de"]}],"mendeley":{"formattedCitation":"(Roberto Ronca &lt;i&gt;et al.&lt;/i&gt;, 2013)","manualFormatting":"(Roberto Ronca i sur., 2013)","plainTextFormattedCitation":"(Roberto Ronca et al., 2013)","previouslyFormattedCitation":"(Roberto Ronca &lt;i&gt;et al.&lt;/i&gt;, 2013)"},"properties":{"noteIndex":0},"schema":"https://github.com/citation-style-language/schema/raw/master/csl-citation.json"}</w:instrText>
      </w:r>
      <w:r w:rsidR="00CC23EB" w:rsidRPr="00E67E82">
        <w:rPr>
          <w:rStyle w:val="Strong"/>
          <w:b w:val="0"/>
          <w:sz w:val="20"/>
          <w:szCs w:val="20"/>
        </w:rPr>
        <w:fldChar w:fldCharType="separate"/>
      </w:r>
      <w:r w:rsidR="00CC23EB" w:rsidRPr="00E67E82">
        <w:rPr>
          <w:rStyle w:val="Strong"/>
          <w:b w:val="0"/>
          <w:noProof/>
          <w:sz w:val="20"/>
          <w:szCs w:val="20"/>
        </w:rPr>
        <w:t xml:space="preserve">(Roberto Ronca </w:t>
      </w:r>
      <w:r w:rsidR="003F4A87">
        <w:rPr>
          <w:rStyle w:val="Strong"/>
          <w:b w:val="0"/>
          <w:i/>
          <w:noProof/>
          <w:sz w:val="20"/>
          <w:szCs w:val="20"/>
        </w:rPr>
        <w:t>i sur.,</w:t>
      </w:r>
      <w:r w:rsidR="00CC23EB" w:rsidRPr="00E67E82">
        <w:rPr>
          <w:rStyle w:val="Strong"/>
          <w:b w:val="0"/>
          <w:noProof/>
          <w:sz w:val="20"/>
          <w:szCs w:val="20"/>
        </w:rPr>
        <w:t xml:space="preserve"> 2013)</w:t>
      </w:r>
      <w:r w:rsidR="00CC23EB" w:rsidRPr="00E67E82">
        <w:rPr>
          <w:rStyle w:val="Strong"/>
          <w:b w:val="0"/>
          <w:sz w:val="20"/>
          <w:szCs w:val="20"/>
        </w:rPr>
        <w:fldChar w:fldCharType="end"/>
      </w:r>
      <w:r w:rsidR="00CC23EB" w:rsidRPr="00E67E82">
        <w:rPr>
          <w:rStyle w:val="Strong"/>
          <w:b w:val="0"/>
          <w:sz w:val="20"/>
          <w:szCs w:val="20"/>
        </w:rPr>
        <w:t>.</w:t>
      </w:r>
      <w:r w:rsidR="00A37DE1" w:rsidRPr="00E67E82">
        <w:rPr>
          <w:rStyle w:val="Strong"/>
          <w:b w:val="0"/>
          <w:sz w:val="20"/>
          <w:szCs w:val="20"/>
        </w:rPr>
        <w:t xml:space="preserve"> Epigenetska regulacija ekspresije PTX3 također je opisana u nekim zloćudnim novotvorinama. Hipermetilacija promotorske regije PTX3 i posljedična smanjena ekspresija opisana je kod planocelularnog karcinoma jednjaka </w:t>
      </w:r>
      <w:r w:rsidR="00CC23EB" w:rsidRPr="00E67E82">
        <w:rPr>
          <w:rStyle w:val="Strong"/>
          <w:b w:val="0"/>
          <w:sz w:val="20"/>
          <w:szCs w:val="20"/>
        </w:rPr>
        <w:fldChar w:fldCharType="begin" w:fldLock="1"/>
      </w:r>
      <w:r w:rsidR="00F41B60">
        <w:rPr>
          <w:rStyle w:val="Strong"/>
          <w:b w:val="0"/>
          <w:sz w:val="20"/>
          <w:szCs w:val="20"/>
        </w:rPr>
        <w:instrText>ADDIN CSL_CITATION {"citationItems":[{"id":"ITEM-1","itemData":{"DOI":"10.3748/wjg.v17.i37.4225","ISSN":"10079327","abstract":"AIM: To identify the novel methylation-silenced gene pentraxin 3 (PTX3) in esophageal squamous cell carcinoma (ESCC).\\n\\nMETHODS: PTX3 mRNA expression was examined in six human ESCC cell lines, one human immortalized normal esophageal epithelial cell line, primary ESCC tumor tissue, and paired adjacent nontumor tissue using reverse transcription polymerase chain reaction (RT-PCR). Semi-quantitative immunohistochemistry was used to examine cellular localisation and protein levels. Methylation specific PCR and bisulphite genomic sequencing were employed to investigate the methylation of the candidate gene.\\n\\nRESULTS: In the majority of ESCC cell lines, we found that PTX3 expression was down-regulated due to gene promoter hypermethylation, which was further confirmed by bisulphite genomic sequencing. Demethylation treatment with 5-aza-2'-deoxycytidine restored PTX3 mRNA expression in ESCC cell lines. Methylation was more common in tumor tissues (85%) than in adjacent nontumor tissues (25%) (P &lt; 0 .01).\\n\\nCONCLUSION: PTX3 is down-regulated through promoter hypermethylation in ESCC, and could potentially serve as a biomarker of ESCC.","author":[{"dropping-particle":"","family":"Wang","given":"Jun Xiong","non-dropping-particle":"","parse-names":false,"suffix":""},{"dropping-particle":"","family":"He","given":"Yuan Long","non-dropping-particle":"","parse-names":false,"suffix":""},{"dropping-particle":"","family":"Zhu","given":"Sheng Tao","non-dropping-particle":"","parse-names":false,"suffix":""},{"dropping-particle":"","family":"Yang","given":"Shuo","non-dropping-particle":"","parse-names":false,"suffix":""},{"dropping-particle":"","family":"Zhang","given":"Shu Tian","non-dropping-particle":"","parse-names":false,"suffix":""}],"container-title":"World Journal of Gastroenterology","id":"ITEM-1","issue":"37","issued":{"date-parts":[["2011"]]},"page":"4225-4230","title":"Aberrant methylation of the 3q25 tumor suppressor gene PTX3 in human esophageal squamous cell carcinoma","type":"article-journal","volume":"17"},"uris":["http://www.mendeley.com/documents/?uuid=379cbe05-815f-45c5-a91c-e515ac2f6ccd"]},{"id":"ITEM-2","itemData":{"DOI":"10.18632/oncotarget.13510","abstract":"We performed a two-stage molecular epidemiological study to explore DNA\\nmethylation profiles for potential biomarkers of esophageal squamous\\ncell carcinoma (ESCC) in a Chinese population. Infinium Methylation 450K\\nBeadChip was used to identify genes with differentially methylated CpG\\nsites. Sixteen candidate genes were validated by sequencing 1160 CpG\\nsites in their promoter regions using the Illumina MiSeq platform. When\\nexcluding sites with negative changes, 10 genes (BNIP3, BRCA1, CCND1,\\nCDKN2A, HTATIP2, ITGAV, NFKB1, PIK3R1, PRDM16 and PTX3) showed\\nsignificantly different methylation levels among cancer lesions, remote\\nnormal-appearing tissues, and healthy controls. PRDM16 had the highest\\ndiagnostic value with the AUC (95% CI) of 0.988 (0.965-1.000), followed\\nby PIK3R1, with the AUC (95% CI) of 0.969 (0.928-1.000). In addition,\\nthe methylation status was higher in patients with advanced cancer\\nstages. These results indicate that aberrant DNA methylation may be a\\npotential biomarker for the diagnosis of ESCC.","author":[{"dropping-particle":"","family":"Peng","given":"Xianzhen","non-dropping-particle":"","parse-names":false,"suffix":""},{"dropping-particle":"","family":"Xue","given":"Hengchuan","non-dropping-particle":"","parse-names":false,"suffix":""},{"dropping-particle":"","family":"Lü","given":"Lingshuang","non-dropping-particle":"","parse-names":false,"suffix":""},{"dropping-particle":"","family":"Shi","given":"Peiyi","non-dropping-particle":"","parse-names":false,"suffix":""},{"dropping-particle":"","family":"Wang","given":"Jianping","non-dropping-particle":"","parse-names":false,"suffix":""},{"dropping-particle":"","family":"Wang","given":"Jianming","non-dropping-particle":"","parse-names":false,"suffix":""}],"container-title":"Oncotarget","id":"ITEM-2","issue":"1","issued":{"date-parts":[["2016"]]},"page":"679-691","title":"Accumulated promoter methylation as a potential biomarker for esophageal cancer","type":"article-journal","volume":"8"},"uris":["http://www.mendeley.com/documents/?uuid=f50213cf-2801-4521-b583-219b847f467b"]}],"mendeley":{"formattedCitation":"(Wang &lt;i&gt;et al.&lt;/i&gt;, 2011; Peng &lt;i&gt;et al.&lt;/i&gt;, 2016)","manualFormatting":"(Wang i sur., 2011; Peng i sur., 2016)","plainTextFormattedCitation":"(Wang et al., 2011; Peng et al., 2016)","previouslyFormattedCitation":"(Wang &lt;i&gt;et al.&lt;/i&gt;, 2011; Peng &lt;i&gt;et al.&lt;/i&gt;, 2016)"},"properties":{"noteIndex":0},"schema":"https://github.com/citation-style-language/schema/raw/master/csl-citation.json"}</w:instrText>
      </w:r>
      <w:r w:rsidR="00CC23EB" w:rsidRPr="00E67E82">
        <w:rPr>
          <w:rStyle w:val="Strong"/>
          <w:b w:val="0"/>
          <w:sz w:val="20"/>
          <w:szCs w:val="20"/>
        </w:rPr>
        <w:fldChar w:fldCharType="separate"/>
      </w:r>
      <w:r w:rsidR="00CC23EB" w:rsidRPr="00E67E82">
        <w:rPr>
          <w:rStyle w:val="Strong"/>
          <w:b w:val="0"/>
          <w:noProof/>
          <w:sz w:val="20"/>
          <w:szCs w:val="20"/>
        </w:rPr>
        <w:t xml:space="preserve">(Wang </w:t>
      </w:r>
      <w:r w:rsidR="003F4A87">
        <w:rPr>
          <w:rStyle w:val="Strong"/>
          <w:b w:val="0"/>
          <w:i/>
          <w:noProof/>
          <w:sz w:val="20"/>
          <w:szCs w:val="20"/>
        </w:rPr>
        <w:t>i sur.,</w:t>
      </w:r>
      <w:r w:rsidR="00CC23EB" w:rsidRPr="00E67E82">
        <w:rPr>
          <w:rStyle w:val="Strong"/>
          <w:b w:val="0"/>
          <w:noProof/>
          <w:sz w:val="20"/>
          <w:szCs w:val="20"/>
        </w:rPr>
        <w:t xml:space="preserve"> 2011; Peng </w:t>
      </w:r>
      <w:r w:rsidR="003F4A87">
        <w:rPr>
          <w:rStyle w:val="Strong"/>
          <w:b w:val="0"/>
          <w:i/>
          <w:noProof/>
          <w:sz w:val="20"/>
          <w:szCs w:val="20"/>
        </w:rPr>
        <w:t>i sur.,</w:t>
      </w:r>
      <w:r w:rsidR="00CC23EB" w:rsidRPr="00E67E82">
        <w:rPr>
          <w:rStyle w:val="Strong"/>
          <w:b w:val="0"/>
          <w:noProof/>
          <w:sz w:val="20"/>
          <w:szCs w:val="20"/>
        </w:rPr>
        <w:t xml:space="preserve"> 2016)</w:t>
      </w:r>
      <w:r w:rsidR="00CC23EB" w:rsidRPr="00E67E82">
        <w:rPr>
          <w:rStyle w:val="Strong"/>
          <w:b w:val="0"/>
          <w:sz w:val="20"/>
          <w:szCs w:val="20"/>
        </w:rPr>
        <w:fldChar w:fldCharType="end"/>
      </w:r>
      <w:r w:rsidR="00CC23EB" w:rsidRPr="00E67E82">
        <w:rPr>
          <w:rStyle w:val="Strong"/>
          <w:b w:val="0"/>
          <w:sz w:val="20"/>
          <w:szCs w:val="20"/>
        </w:rPr>
        <w:t xml:space="preserve">. </w:t>
      </w:r>
      <w:r w:rsidR="00A37DE1" w:rsidRPr="00E67E82">
        <w:rPr>
          <w:rStyle w:val="Strong"/>
          <w:b w:val="0"/>
          <w:sz w:val="20"/>
          <w:szCs w:val="20"/>
        </w:rPr>
        <w:t xml:space="preserve">U razvoju kolorektalnog karcinoma značajnu ulogu ima metilacija različitih regulatornih regija. Tako metilacija enhancera-1 dominira u ranim stadijima, dok se metilacija enhancera-2 pojačava paralelno s progresijom </w:t>
      </w:r>
      <w:r w:rsidR="00CC23EB" w:rsidRPr="00E67E82">
        <w:rPr>
          <w:rStyle w:val="Strong"/>
          <w:b w:val="0"/>
          <w:sz w:val="20"/>
          <w:szCs w:val="20"/>
        </w:rPr>
        <w:t xml:space="preserve">tumora prema kasnijim stadijima </w:t>
      </w:r>
      <w:r w:rsidR="00CC23EB" w:rsidRPr="00E67E82">
        <w:rPr>
          <w:rStyle w:val="Strong"/>
          <w:b w:val="0"/>
          <w:sz w:val="20"/>
          <w:szCs w:val="20"/>
        </w:rPr>
        <w:fldChar w:fldCharType="begin" w:fldLock="1"/>
      </w:r>
      <w:r w:rsidR="00F41B60">
        <w:rPr>
          <w:rStyle w:val="Strong"/>
          <w:b w:val="0"/>
          <w:sz w:val="20"/>
          <w:szCs w:val="20"/>
        </w:rPr>
        <w:instrText>ADDIN CSL_CITATION {"citationItems":[{"id":"ITEM-1","itemData":{"DOI":"10.1080/2162402X.2017.1333215","ISSN":"2162402X","abstract":"PTX3 is a component of the humoral arm of innate immunity and an extrinsic oncosuppressor gene taming tumor-promoting inflammation. Here, we show that two enhancers differently regulate PTX3 expression: enhancer 1, located 230 kb upstream of PTX3 promoter, mediated the action of inflammatory transcription factors; and enhancer 2, encompassing PTX3 second exon, was implicated in pre-initiation complex assembly. Polycomb repressive complex 2 silenced these regulatory elements and the promoter in basal condition. Enhancer 1 was epigenetically inactivated in early colorectal cancer (CRC) stages, while the promoter and enhancer 2 showed increasingly DNA methylation during CRC progression from adenomas to stage II and III CRC. Inhibition of DNA methylation rescued PTX3 expression in CRC. Finally, enhancer 1 acquired the binding of STAT3 in stage I CRC, and inhibition of STAT3 phosphorylation restored PTX3 activity and decreased enhancer 1 methylation. Thus, the expression of PTX3 is under the control of two enhancers, which emerge as important fine regulators of PTX3 expression in inflammation and cancer.","author":[{"dropping-particle":"","family":"Rubino","given":"Marcello","non-dropping-particle":"","parse-names":false,"suffix":""},{"dropping-particle":"","family":"Kunderfranco","given":"Paolo","non-dropping-particle":"","parse-names":false,"suffix":""},{"dropping-particle":"","family":"Basso","given":"Gianluca","non-dropping-particle":"","parse-names":false,"suffix":""},{"dropping-particle":"","family":"Greco","given":"Carolina Magdalen","non-dropping-particle":"","parse-names":false,"suffix":""},{"dropping-particle":"","family":"Pasqualini","given":"Fabio","non-dropping-particle":"","parse-names":false,"suffix":""},{"dropping-particle":"","family":"Serio","given":"Simone","non-dropping-particle":"","parse-names":false,"suffix":""},{"dropping-particle":"","family":"Roncalli","given":"Massimo","non-dropping-particle":"","parse-names":false,"suffix":""},{"dropping-particle":"","family":"Laghi","given":"Luigi","non-dropping-particle":"","parse-names":false,"suffix":""},{"dropping-particle":"","family":"Mantovani","given":"Alberto","non-dropping-particle":"","parse-names":false,"suffix":""},{"dropping-particle":"","family":"Papait","given":"Roberto","non-dropping-particle":"","parse-names":false,"suffix":""},{"dropping-particle":"","family":"Garlanda","given":"Cecilia","non-dropping-particle":"","parse-names":false,"suffix":""}],"container-title":"OncoImmunology","id":"ITEM-1","issue":"7","issued":{"date-parts":[["2017"]]},"title":"Epigenetic regulation of the extrinsic oncosuppressor PTX3 gene in inflammation and cancer","type":"article-journal","volume":"6"},"uris":["http://www.mendeley.com/documents/?uuid=cc73df19-a880-41c4-b402-3eacf8fbad56"]}],"mendeley":{"formattedCitation":"(Rubino &lt;i&gt;et al.&lt;/i&gt;, 2017)","manualFormatting":"(Rubino i sur., 2017)","plainTextFormattedCitation":"(Rubino et al., 2017)","previouslyFormattedCitation":"(Rubino &lt;i&gt;et al.&lt;/i&gt;, 2017)"},"properties":{"noteIndex":0},"schema":"https://github.com/citation-style-language/schema/raw/master/csl-citation.json"}</w:instrText>
      </w:r>
      <w:r w:rsidR="00CC23EB" w:rsidRPr="00E67E82">
        <w:rPr>
          <w:rStyle w:val="Strong"/>
          <w:b w:val="0"/>
          <w:sz w:val="20"/>
          <w:szCs w:val="20"/>
        </w:rPr>
        <w:fldChar w:fldCharType="separate"/>
      </w:r>
      <w:r w:rsidR="00CC23EB" w:rsidRPr="00E67E82">
        <w:rPr>
          <w:rStyle w:val="Strong"/>
          <w:b w:val="0"/>
          <w:noProof/>
          <w:sz w:val="20"/>
          <w:szCs w:val="20"/>
        </w:rPr>
        <w:t xml:space="preserve">(Rubino </w:t>
      </w:r>
      <w:r w:rsidR="003F4A87">
        <w:rPr>
          <w:rStyle w:val="Strong"/>
          <w:b w:val="0"/>
          <w:i/>
          <w:noProof/>
          <w:sz w:val="20"/>
          <w:szCs w:val="20"/>
        </w:rPr>
        <w:t>i sur.,</w:t>
      </w:r>
      <w:r w:rsidR="00CC23EB" w:rsidRPr="00E67E82">
        <w:rPr>
          <w:rStyle w:val="Strong"/>
          <w:b w:val="0"/>
          <w:noProof/>
          <w:sz w:val="20"/>
          <w:szCs w:val="20"/>
        </w:rPr>
        <w:t xml:space="preserve"> 2017)</w:t>
      </w:r>
      <w:r w:rsidR="00CC23EB" w:rsidRPr="00E67E82">
        <w:rPr>
          <w:rStyle w:val="Strong"/>
          <w:b w:val="0"/>
          <w:sz w:val="20"/>
          <w:szCs w:val="20"/>
        </w:rPr>
        <w:fldChar w:fldCharType="end"/>
      </w:r>
      <w:r w:rsidR="00CC23EB" w:rsidRPr="00E67E82">
        <w:rPr>
          <w:rStyle w:val="Strong"/>
          <w:b w:val="0"/>
          <w:sz w:val="20"/>
          <w:szCs w:val="20"/>
        </w:rPr>
        <w:t>.</w:t>
      </w:r>
      <w:r w:rsidR="00FC5A3E">
        <w:rPr>
          <w:rStyle w:val="Strong"/>
          <w:b w:val="0"/>
          <w:sz w:val="20"/>
          <w:szCs w:val="20"/>
        </w:rPr>
        <w:t xml:space="preserve"> </w:t>
      </w:r>
      <w:r w:rsidR="00EB6F9D" w:rsidRPr="00E67E82">
        <w:rPr>
          <w:rStyle w:val="Strong"/>
          <w:b w:val="0"/>
          <w:sz w:val="20"/>
          <w:szCs w:val="20"/>
        </w:rPr>
        <w:t>S druge strane, pojačana ekspresija PTX3 uočena je kod karcinoma gušterače</w:t>
      </w:r>
      <w:r w:rsidR="0014407F" w:rsidRPr="00E67E82">
        <w:rPr>
          <w:rStyle w:val="Strong"/>
          <w:b w:val="0"/>
          <w:sz w:val="20"/>
          <w:szCs w:val="20"/>
        </w:rPr>
        <w:t xml:space="preserve"> </w:t>
      </w:r>
      <w:r w:rsidR="0014407F" w:rsidRPr="00E67E82">
        <w:rPr>
          <w:rStyle w:val="Strong"/>
          <w:b w:val="0"/>
          <w:sz w:val="20"/>
          <w:szCs w:val="20"/>
        </w:rPr>
        <w:fldChar w:fldCharType="begin" w:fldLock="1"/>
      </w:r>
      <w:r w:rsidR="00F41B60">
        <w:rPr>
          <w:rStyle w:val="Strong"/>
          <w:b w:val="0"/>
          <w:sz w:val="20"/>
          <w:szCs w:val="20"/>
        </w:rPr>
        <w:instrText>ADDIN CSL_CITATION {"citationItems":[{"id":"ITEM-1","itemData":{"DOI":"10.1038/bjc.2013.348","ISSN":"00070920","abstract":"BACKGROUND: Inflammatory mediators may have decisive roles at different stages of tumour development. Mediators within the pentraxin family may be used as strong biomarkers in prognosis of advanced pancreatic carcinoma patients.\\n\\nMETHODS: Using pancreatic carcinoma cell lines and gene transfectant, we measured long pentraxin (PTX3) level in culture solution and carried out cellular migration assay in vitro. In vivo study of the treatment-naive patients with advanced pancreatic carcinoma assigned to undergo gemcitabine therapy was prospectively conducted to measure and investigate the role of plasma PTX3, C-reactive protein (CRP), and eight inflammatory mediators by using collected clinical data.\\n\\nRESULTS: Elevated PTX3 production was observed in several cell lines, and a direct relationship between migratory activity and PTX3 level was identified in vitro. High PTX3 level (117 days) was significantly less than that of patients with low PTX3 level (357 days, P&lt;0.001). Multivariate analysis of the pancreatic carcinoma revealed a strong correlation between pentraxin family member expression and prognosis of pancreatic carcinoma. The relationship between PTX3 expression and the expression of other pro-inflammatory mediators indicated that PTX3 level is positively correlated with levels of CRP, interleukin-6, and macrophage-inhibitory factor.\\n\\nCONCLUSION: Pentraxin family members, especially PTX3, may be used as promising biomarkers in the prognosis of pancreatic carcinoma patients.","author":[{"dropping-particle":"","family":"Kondo","given":"S.","non-dropping-particle":"","parse-names":false,"suffix":""},{"dropping-particle":"","family":"Ueno","given":"H.","non-dropping-particle":"","parse-names":false,"suffix":""},{"dropping-particle":"","family":"Hosoi","given":"H.","non-dropping-particle":"","parse-names":false,"suffix":""},{"dropping-particle":"","family":"Hashimoto","given":"J.","non-dropping-particle":"","parse-names":false,"suffix":""},{"dropping-particle":"","family":"Morizane","given":"C.","non-dropping-particle":"","parse-names":false,"suffix":""},{"dropping-particle":"","family":"Koizumi","given":"F.","non-dropping-particle":"","parse-names":false,"suffix":""},{"dropping-particle":"","family":"Tamura","given":"K.","non-dropping-particle":"","parse-names":false,"suffix":""},{"dropping-particle":"","family":"Okusaka","given":"T.","non-dropping-particle":"","parse-names":false,"suffix":""}],"container-title":"British Journal of Cancer","id":"ITEM-1","issue":"3","issued":{"date-parts":[["2013"]]},"page":"739-746","publisher":"Nature Publishing Group","title":"Clinical impact of pentraxin family expression on prognosis of pancreatic carcinoma","type":"article-journal","volume":"109"},"uris":["http://www.mendeley.com/documents/?uuid=634f61b7-f0e0-4493-8eeb-d9a6ccfb9d20"]}],"mendeley":{"formattedCitation":"(Kondo &lt;i&gt;et al.&lt;/i&gt;, 2013)","manualFormatting":"(Kondo i sur., 2013)","plainTextFormattedCitation":"(Kondo et al., 2013)","previouslyFormattedCitation":"(Kondo &lt;i&gt;et al.&lt;/i&gt;, 2013)"},"properties":{"noteIndex":0},"schema":"https://github.com/citation-style-language/schema/raw/master/csl-citation.json"}</w:instrText>
      </w:r>
      <w:r w:rsidR="0014407F" w:rsidRPr="00E67E82">
        <w:rPr>
          <w:rStyle w:val="Strong"/>
          <w:b w:val="0"/>
          <w:sz w:val="20"/>
          <w:szCs w:val="20"/>
        </w:rPr>
        <w:fldChar w:fldCharType="separate"/>
      </w:r>
      <w:r w:rsidR="0014407F" w:rsidRPr="00E67E82">
        <w:rPr>
          <w:rStyle w:val="Strong"/>
          <w:b w:val="0"/>
          <w:noProof/>
          <w:sz w:val="20"/>
          <w:szCs w:val="20"/>
        </w:rPr>
        <w:t xml:space="preserve">(Kondo </w:t>
      </w:r>
      <w:r w:rsidR="003F4A87">
        <w:rPr>
          <w:rStyle w:val="Strong"/>
          <w:b w:val="0"/>
          <w:i/>
          <w:noProof/>
          <w:sz w:val="20"/>
          <w:szCs w:val="20"/>
        </w:rPr>
        <w:t>i sur.,</w:t>
      </w:r>
      <w:r w:rsidR="0014407F" w:rsidRPr="00E67E82">
        <w:rPr>
          <w:rStyle w:val="Strong"/>
          <w:b w:val="0"/>
          <w:noProof/>
          <w:sz w:val="20"/>
          <w:szCs w:val="20"/>
        </w:rPr>
        <w:t xml:space="preserve"> 2013)</w:t>
      </w:r>
      <w:r w:rsidR="0014407F" w:rsidRPr="00E67E82">
        <w:rPr>
          <w:rStyle w:val="Strong"/>
          <w:b w:val="0"/>
          <w:sz w:val="20"/>
          <w:szCs w:val="20"/>
        </w:rPr>
        <w:fldChar w:fldCharType="end"/>
      </w:r>
      <w:r w:rsidR="00EB6F9D" w:rsidRPr="00E67E82">
        <w:rPr>
          <w:rStyle w:val="Strong"/>
          <w:b w:val="0"/>
          <w:sz w:val="20"/>
          <w:szCs w:val="20"/>
        </w:rPr>
        <w:t>, metastatskog planocelularnog karcinoma glave i vrata ovisnog o EG</w:t>
      </w:r>
      <w:r w:rsidR="0014407F" w:rsidRPr="00E67E82">
        <w:rPr>
          <w:rStyle w:val="Strong"/>
          <w:b w:val="0"/>
          <w:sz w:val="20"/>
          <w:szCs w:val="20"/>
        </w:rPr>
        <w:t xml:space="preserve">F-u </w:t>
      </w:r>
      <w:r w:rsidR="0014407F" w:rsidRPr="00E67E82">
        <w:rPr>
          <w:rStyle w:val="Strong"/>
          <w:b w:val="0"/>
          <w:sz w:val="20"/>
          <w:szCs w:val="20"/>
        </w:rPr>
        <w:fldChar w:fldCharType="begin" w:fldLock="1"/>
      </w:r>
      <w:r w:rsidR="00F41B60">
        <w:rPr>
          <w:rStyle w:val="Strong"/>
          <w:b w:val="0"/>
          <w:sz w:val="20"/>
          <w:szCs w:val="20"/>
        </w:rPr>
        <w:instrText>ADDIN CSL_CITATION {"citationItems":[{"id":"ITEM-1","itemData":{"DOI":"10.18632/oncotarget.3482","abstract":"Overexpression of the epidermal growth factor (EGF) receptor (EGFR) is associated with enhanced invasion and metastasis in head and neck squamous cell carcinoma (HNSCC). Long Pentraxin PTX3 is involved in immune escape in cancer cells. Here, we identified PTX3 as a promoting factor that mediates EGF-induced HNSCC metastasis. EGF-induced PTX3 transcriptional activation is via the binding of c-Jun to the activator protein (AP)-1 binding site of the PTX3 promoter. PI3K/Akt and NF-κB were essential for the PTX3 activation. EGF-induced PTX3 expression was blocked in c-Jun- and NF-κB-knockdown cells. EGF-mediated PTX3 secretion resulted in the enhancement of cell migration and invasion, and interactions between cancer and endothelial cells. The tail-vein injection animal model revealed that depletion of PTX3 decreased EGF-primed tumor cell metastatic seeding of the lungs. In addition, fibronectin, matrix metalloproteinase-9 (MMP9) and E-cadherin were essential components in EGFR/PTX3-mediated cancer metastasis. In conclusion, PI3K/Akt and NF-κB-dependent regulation of AP-1 mediates PTX3 transcriptional responses to EGF. Autocrine production of EGF-induced PTX3 in turn induces metastatic molecules, activating inflammatory cascades and metastasis.","author":[{"dropping-particle":"","family":"Chang","given":"Wei-Chiao","non-dropping-particle":"","parse-names":false,"suffix":""},{"dropping-particle":"","family":"Wu","given":"Shuo-Lun","non-dropping-particle":"","parse-names":false,"suffix":""},{"dropping-particle":"","family":"Huang","given":"Wan-Chen","non-dropping-particle":"","parse-names":false,"suffix":""},{"dropping-particle":"","family":"Hsu","given":"Jinn-Yuan","non-dropping-particle":"","parse-names":false,"suffix":""},{"dropping-particle":"","family":"Chan","given":"Shih-Hung","non-dropping-particle":"","parse-names":false,"suffix":""},{"dropping-particle":"","family":"Wang","given":"Ju-Ming","non-dropping-particle":"","parse-names":false,"suffix":""},{"dropping-particle":"","family":"Tsai","given":"Jhih-Peng","non-dropping-particle":"","parse-names":false,"suffix":""},{"dropping-particle":"","family":"Chen","given":"Ben-Kuen","non-dropping-particle":"","parse-names":false,"suffix":""}],"container-title":"Oncotarget","id":"ITEM-1","issue":"10","issued":{"date-parts":[["2015"]]},"title":"PTX3 gene activation in EGF-induced head and neck cancer cell metastasis","type":"article-journal","volume":"6"},"uris":["http://www.mendeley.com/documents/?uuid=15bcf158-3297-4884-94cb-74457ad2fcb4"]}],"mendeley":{"formattedCitation":"(Chang &lt;i&gt;et al.&lt;/i&gt;, 2015)","manualFormatting":"(Chang i sur., 2015)","plainTextFormattedCitation":"(Chang et al., 2015)","previouslyFormattedCitation":"(Chang &lt;i&gt;et al.&lt;/i&gt;, 2015)"},"properties":{"noteIndex":0},"schema":"https://github.com/citation-style-language/schema/raw/master/csl-citation.json"}</w:instrText>
      </w:r>
      <w:r w:rsidR="0014407F" w:rsidRPr="00E67E82">
        <w:rPr>
          <w:rStyle w:val="Strong"/>
          <w:b w:val="0"/>
          <w:sz w:val="20"/>
          <w:szCs w:val="20"/>
        </w:rPr>
        <w:fldChar w:fldCharType="separate"/>
      </w:r>
      <w:r w:rsidR="0014407F" w:rsidRPr="00E67E82">
        <w:rPr>
          <w:rStyle w:val="Strong"/>
          <w:b w:val="0"/>
          <w:noProof/>
          <w:sz w:val="20"/>
          <w:szCs w:val="20"/>
        </w:rPr>
        <w:t xml:space="preserve">(Chang </w:t>
      </w:r>
      <w:r w:rsidR="003F4A87">
        <w:rPr>
          <w:rStyle w:val="Strong"/>
          <w:b w:val="0"/>
          <w:i/>
          <w:noProof/>
          <w:sz w:val="20"/>
          <w:szCs w:val="20"/>
        </w:rPr>
        <w:t>i sur.,</w:t>
      </w:r>
      <w:r w:rsidR="0014407F" w:rsidRPr="00E67E82">
        <w:rPr>
          <w:rStyle w:val="Strong"/>
          <w:b w:val="0"/>
          <w:noProof/>
          <w:sz w:val="20"/>
          <w:szCs w:val="20"/>
        </w:rPr>
        <w:t xml:space="preserve"> 2015)</w:t>
      </w:r>
      <w:r w:rsidR="0014407F" w:rsidRPr="00E67E82">
        <w:rPr>
          <w:rStyle w:val="Strong"/>
          <w:b w:val="0"/>
          <w:sz w:val="20"/>
          <w:szCs w:val="20"/>
        </w:rPr>
        <w:fldChar w:fldCharType="end"/>
      </w:r>
      <w:r w:rsidR="0014407F" w:rsidRPr="00E67E82">
        <w:rPr>
          <w:rStyle w:val="Strong"/>
          <w:b w:val="0"/>
          <w:sz w:val="20"/>
          <w:szCs w:val="20"/>
        </w:rPr>
        <w:t xml:space="preserve">, karcinoma dojke </w:t>
      </w:r>
      <w:r w:rsidR="0014407F" w:rsidRPr="00E67E82">
        <w:rPr>
          <w:rStyle w:val="Strong"/>
          <w:b w:val="0"/>
          <w:sz w:val="20"/>
          <w:szCs w:val="20"/>
        </w:rPr>
        <w:fldChar w:fldCharType="begin" w:fldLock="1"/>
      </w:r>
      <w:r w:rsidR="00F41B60">
        <w:rPr>
          <w:rStyle w:val="Strong"/>
          <w:b w:val="0"/>
          <w:sz w:val="20"/>
          <w:szCs w:val="20"/>
        </w:rPr>
        <w:instrText>ADDIN CSL_CITATION {"citationItems":[{"id":"ITEM-1","itemData":{"DOI":"10.1126/scisignal.aah4674","ISSN":"19379145","abstract":"Pentraxin-3 promotes growth of stem-like cancers\\nThe phosphoinositide 3-kinase (PI3K) pathway is activated in various cancers. Unfortunately, PI3K inhibitors have limited clinical efficacy, particularly in patients with a subtype of breast cancer characterized by cells with stem cell–like properties. Thomas et al. found that an activating mutation in the catalytic α subunit of PI3K enhanced the expression of a gene encoding pentraxin-3, a protein that functions in the innate immune response. Furthermore, an increase in the abundance of pentraxin-3 promoted stem cell–like traits in mammary epithelial and breast cancer cells. The mRNA abundance of PTX3 correlated with poor prognosis of patients with basal-like breast cancer. The findings link innate immune signaling with breast cancer development and suggest that targeting pentraxin-3 may suppress tumor growth in a subset of patients.\\nBasal-like breast cancers (BLBCs) exhibit hyperactivation of the phosphoinositide 3-kinase (PI3K) signaling pathway because of the frequent mutational activation of the PIK3CA catalytic subunit and the genetic loss of its negative regulators PTEN (phosphatase and tensin homolog) and INPP4B (inositol polyphosphate-4-phosphatase type II). However, PI3K inhibitors have had limited clinical efficacy in BLBC management because of compensatory amplification of PI3K downstream signaling loops. Therefore, identification of critical PI3K mediators is paramount to the development of effective BLBC therapeutics. Using transcriptomic analysis of activated PIK3CA–expressing BLBC cells, we identified the gene encoding the humoral pattern recognition molecule pentraxin-3 (PTX3) as a critical target of oncogenic PI3K signaling. We found that PTX3 abundance is stimulated, in part, through AKT- and nuclear factor κB (NF-κB)–dependent pathways and that presence of PTX3 is necessary for PI3K-induced stem cell–like traits. We further showed that PTX3 expression is greater in tumor samples from patients with BLBC and that it is prognostic of poor patient survival. Our results thus reveal PTX3 as a newly identified PI3K-regulated biomarker and a potential therapeutic target in BLBC.\\nPI3K-stimulated induction of pentraxin-3 links innate immune signaling with the growth of basal-like breast cancer.\\nPI3K-stimulated induction of pentraxin-3 links innate immune signaling with the growth of basal-like breast cancer.","author":[{"dropping-particle":"","family":"Thomas","given":"Clémence","non-dropping-particle":"","parse-names":false,"suffix":""},{"dropping-particle":"","family":"Henry","given":"Whitney","non-dropping-particle":"","parse-names":false,"suffix":""},{"dropping-particle":"","family":"Cuiffo","given":"Benjamin G.","non-dropping-particle":"","parse-names":false,"suffix":""},{"dropping-particle":"","family":"Collmann","given":"Anthony Y.","non-dropping-particle":"","parse-names":false,"suffix":""},{"dropping-particle":"","family":"Marangoni","given":"Elisabetta","non-dropping-particle":"","parse-names":false,"suffix":""},{"dropping-particle":"","family":"Benhamo","given":"Vanessa","non-dropping-particle":"","parse-names":false,"suffix":""},{"dropping-particle":"","family":"Bhasin","given":"Manoj K.","non-dropping-particle":"","parse-names":false,"suffix":""},{"dropping-particle":"","family":"Fan","given":"Cheng","non-dropping-particle":"","parse-names":false,"suffix":""},{"dropping-particle":"","family":"Fuhrmann","given":"Laetitia","non-dropping-particle":"","parse-names":false,"suffix":""},{"dropping-particle":"","family":"Baldwin","given":"Albert S.","non-dropping-particle":"","parse-names":false,"suffix":""},{"dropping-particle":"","family":"Perou","given":"Charles","non-dropping-particle":"","parse-names":false,"suffix":""},{"dropping-particle":"","family":"Vincent-Salomon","given":"Anne","non-dropping-particle":"","parse-names":false,"suffix":""},{"dropping-particle":"","family":"Toker","given":"Alex","non-dropping-particle":"","parse-names":false,"suffix":""},{"dropping-particle":"","family":"Karnoub","given":"Antoine E.","non-dropping-particle":"","parse-names":false,"suffix":""}],"container-title":"Science Signaling","id":"ITEM-1","issue":"467","issued":{"date-parts":[["2017"]]},"page":"1-10","title":"Pentraxin-3 is a PI3K signaling target that promotes stem cell-like traits in basal-like breast cancers","type":"article-journal","volume":"10"},"uris":["http://www.mendeley.com/documents/?uuid=72606a35-b6f8-4783-88d2-3e42b1859f17"]}],"mendeley":{"formattedCitation":"(Thomas &lt;i&gt;et al.&lt;/i&gt;, 2017)","manualFormatting":"(Thomas i sur., 2017)","plainTextFormattedCitation":"(Thomas et al., 2017)","previouslyFormattedCitation":"(Thomas &lt;i&gt;et al.&lt;/i&gt;, 2017)"},"properties":{"noteIndex":0},"schema":"https://github.com/citation-style-language/schema/raw/master/csl-citation.json"}</w:instrText>
      </w:r>
      <w:r w:rsidR="0014407F" w:rsidRPr="00E67E82">
        <w:rPr>
          <w:rStyle w:val="Strong"/>
          <w:b w:val="0"/>
          <w:sz w:val="20"/>
          <w:szCs w:val="20"/>
        </w:rPr>
        <w:fldChar w:fldCharType="separate"/>
      </w:r>
      <w:r w:rsidR="0014407F" w:rsidRPr="00E67E82">
        <w:rPr>
          <w:rStyle w:val="Strong"/>
          <w:b w:val="0"/>
          <w:noProof/>
          <w:sz w:val="20"/>
          <w:szCs w:val="20"/>
        </w:rPr>
        <w:t xml:space="preserve">(Thomas </w:t>
      </w:r>
      <w:r w:rsidR="003F4A87">
        <w:rPr>
          <w:rStyle w:val="Strong"/>
          <w:b w:val="0"/>
          <w:i/>
          <w:noProof/>
          <w:sz w:val="20"/>
          <w:szCs w:val="20"/>
        </w:rPr>
        <w:t>i sur.,</w:t>
      </w:r>
      <w:r w:rsidR="0014407F" w:rsidRPr="00E67E82">
        <w:rPr>
          <w:rStyle w:val="Strong"/>
          <w:b w:val="0"/>
          <w:noProof/>
          <w:sz w:val="20"/>
          <w:szCs w:val="20"/>
        </w:rPr>
        <w:t xml:space="preserve"> 2017)</w:t>
      </w:r>
      <w:r w:rsidR="0014407F" w:rsidRPr="00E67E82">
        <w:rPr>
          <w:rStyle w:val="Strong"/>
          <w:b w:val="0"/>
          <w:sz w:val="20"/>
          <w:szCs w:val="20"/>
        </w:rPr>
        <w:fldChar w:fldCharType="end"/>
      </w:r>
      <w:r w:rsidR="0014407F" w:rsidRPr="00E67E82">
        <w:rPr>
          <w:rStyle w:val="Strong"/>
          <w:b w:val="0"/>
          <w:sz w:val="20"/>
          <w:szCs w:val="20"/>
        </w:rPr>
        <w:t xml:space="preserve">, </w:t>
      </w:r>
      <w:r w:rsidR="00EB6F9D" w:rsidRPr="00E67E82">
        <w:rPr>
          <w:rStyle w:val="Strong"/>
          <w:b w:val="0"/>
          <w:sz w:val="20"/>
          <w:szCs w:val="20"/>
        </w:rPr>
        <w:t>karcinoma vrata maternice</w:t>
      </w:r>
      <w:r w:rsidR="0014407F" w:rsidRPr="00E67E82">
        <w:rPr>
          <w:rStyle w:val="Strong"/>
          <w:b w:val="0"/>
          <w:sz w:val="20"/>
          <w:szCs w:val="20"/>
        </w:rPr>
        <w:t xml:space="preserve"> </w:t>
      </w:r>
      <w:r w:rsidR="0014407F" w:rsidRPr="00E67E82">
        <w:rPr>
          <w:rStyle w:val="Strong"/>
          <w:b w:val="0"/>
          <w:sz w:val="20"/>
          <w:szCs w:val="20"/>
        </w:rPr>
        <w:fldChar w:fldCharType="begin" w:fldLock="1"/>
      </w:r>
      <w:r w:rsidR="00F41B60">
        <w:rPr>
          <w:rStyle w:val="Strong"/>
          <w:b w:val="0"/>
          <w:sz w:val="20"/>
          <w:szCs w:val="20"/>
        </w:rPr>
        <w:instrText>ADDIN CSL_CITATION {"citationItems":[{"id":"ITEM-1","itemData":{"DOI":"10.1038/srep29385","ISSN":"20452322","abstract":"Knockdown of Pentraxin 3 suppresses tumorigenicity and metastasis of human cervical cancer cells","author":[{"dropping-particle":"","family":"Ying","given":"Tsung Ho","non-dropping-particle":"","parse-names":false,"suffix":""},{"dropping-particle":"","family":"Lee","given":"Chien Hsing","non-dropping-particle":"","parse-names":false,"suffix":""},{"dropping-particle":"","family":"Chiou","given":"Hui Ling","non-dropping-particle":"","parse-names":false,"suffix":""},{"dropping-particle":"","family":"Yang","given":"Shun Fa","non-dropping-particle":"","parse-names":false,"suffix":""},{"dropping-particle":"","family":"Lin","given":"Chu Liang","non-dropping-particle":"","parse-names":false,"suffix":""},{"dropping-particle":"","family":"Hung","given":"Chia Hung","non-dropping-particle":"","parse-names":false,"suffix":""},{"dropping-particle":"","family":"Tsai","given":"Jen Pi","non-dropping-particle":"","parse-names":false,"suffix":""},{"dropping-particle":"","family":"Hsieh","given":"Yi Hsien","non-dropping-particle":"","parse-names":false,"suffix":""}],"container-title":"Scientific Reports","id":"ITEM-1","issue":"July","issued":{"date-parts":[["2016"]]},"page":"1-12","publisher":"Nature Publishing Group","title":"Knockdown of Pentraxin 3 suppresses tumorigenicity and metastasis of human cervical cancer cells","type":"article-journal","volume":"6"},"uris":["http://www.mendeley.com/documents/?uuid=5fdc55cb-aad2-47a7-b0ba-1cc670802e17"]}],"mendeley":{"formattedCitation":"(Ying &lt;i&gt;et al.&lt;/i&gt;, 2016)","manualFormatting":"(Ying i sur., 2016)","plainTextFormattedCitation":"(Ying et al., 2016)","previouslyFormattedCitation":"(Ying &lt;i&gt;et al.&lt;/i&gt;, 2016)"},"properties":{"noteIndex":0},"schema":"https://github.com/citation-style-language/schema/raw/master/csl-citation.json"}</w:instrText>
      </w:r>
      <w:r w:rsidR="0014407F" w:rsidRPr="00E67E82">
        <w:rPr>
          <w:rStyle w:val="Strong"/>
          <w:b w:val="0"/>
          <w:sz w:val="20"/>
          <w:szCs w:val="20"/>
        </w:rPr>
        <w:fldChar w:fldCharType="separate"/>
      </w:r>
      <w:r w:rsidR="0014407F" w:rsidRPr="00E67E82">
        <w:rPr>
          <w:rStyle w:val="Strong"/>
          <w:b w:val="0"/>
          <w:noProof/>
          <w:sz w:val="20"/>
          <w:szCs w:val="20"/>
        </w:rPr>
        <w:t xml:space="preserve">(Ying </w:t>
      </w:r>
      <w:r w:rsidR="003F4A87">
        <w:rPr>
          <w:rStyle w:val="Strong"/>
          <w:b w:val="0"/>
          <w:i/>
          <w:noProof/>
          <w:sz w:val="20"/>
          <w:szCs w:val="20"/>
        </w:rPr>
        <w:t>i sur.,</w:t>
      </w:r>
      <w:r w:rsidR="0014407F" w:rsidRPr="00E67E82">
        <w:rPr>
          <w:rStyle w:val="Strong"/>
          <w:b w:val="0"/>
          <w:noProof/>
          <w:sz w:val="20"/>
          <w:szCs w:val="20"/>
        </w:rPr>
        <w:t xml:space="preserve"> 2016)</w:t>
      </w:r>
      <w:r w:rsidR="0014407F" w:rsidRPr="00E67E82">
        <w:rPr>
          <w:rStyle w:val="Strong"/>
          <w:b w:val="0"/>
          <w:sz w:val="20"/>
          <w:szCs w:val="20"/>
        </w:rPr>
        <w:fldChar w:fldCharType="end"/>
      </w:r>
      <w:r w:rsidR="00EB6F9D" w:rsidRPr="00E67E82">
        <w:rPr>
          <w:rStyle w:val="Strong"/>
          <w:b w:val="0"/>
          <w:sz w:val="20"/>
          <w:szCs w:val="20"/>
        </w:rPr>
        <w:t>, glioma</w:t>
      </w:r>
      <w:r w:rsidR="0014407F" w:rsidRPr="00E67E82">
        <w:rPr>
          <w:rStyle w:val="Strong"/>
          <w:b w:val="0"/>
          <w:sz w:val="20"/>
          <w:szCs w:val="20"/>
        </w:rPr>
        <w:t xml:space="preserve"> </w:t>
      </w:r>
      <w:r w:rsidR="0014407F" w:rsidRPr="00E67E82">
        <w:rPr>
          <w:rStyle w:val="Strong"/>
          <w:b w:val="0"/>
          <w:sz w:val="20"/>
          <w:szCs w:val="20"/>
        </w:rPr>
        <w:fldChar w:fldCharType="begin" w:fldLock="1"/>
      </w:r>
      <w:r w:rsidR="00F41B60">
        <w:rPr>
          <w:rStyle w:val="Strong"/>
          <w:b w:val="0"/>
          <w:sz w:val="20"/>
          <w:szCs w:val="20"/>
        </w:rPr>
        <w:instrText>ADDIN CSL_CITATION {"citationItems":[{"id":"ITEM-1","itemData":{"DOI":"10.1016/j.jneuroim.2013.04.009","ISSN":"01655728","abstract":"Inflammation is a component of glioma microenvironment. PTX3 is a component of the humoral arm of innate immunity and a candidate marker of inflammation. In the present study we assessed the expression of PTX3 in gliomas by immunohistochemistry. PTX3 expression differed across low and high-grade tumors based on histopathological diagnosis and clinical severity, positively correlating with tumor grade and severity. In a multivariate logistic regression model, only the PTX3 score was significantly associated with the presence of a high-grade tumor. Thus, PTX3 may represent a new marker of cancer-related inflammation and glioma malignancy. © 2013 Elsevier B.V.","author":[{"dropping-particle":"","family":"Locatelli","given":"Marco","non-dropping-particle":"","parse-names":false,"suffix":""},{"dropping-particle":"","family":"Ferrero","given":"Stefano","non-dropping-particle":"","parse-names":false,"suffix":""},{"dropping-particle":"","family":"Martinelli Boneschi","given":"Filippo","non-dropping-particle":"","parse-names":false,"suffix":""},{"dropping-particle":"","family":"Boiocchi","given":"Leonardo","non-dropping-particle":"","parse-names":false,"suffix":""},{"dropping-particle":"","family":"Zavanone","given":"Mario","non-dropping-particle":"","parse-names":false,"suffix":""},{"dropping-particle":"","family":"Maria Gaini","given":"Sergio","non-dropping-particle":"","parse-names":false,"suffix":""},{"dropping-particle":"","family":"Bello","given":"Lorenzo","non-dropping-particle":"","parse-names":false,"suffix":""},{"dropping-particle":"","family":"Valentino","given":"Sonia","non-dropping-particle":"","parse-names":false,"suffix":""},{"dropping-particle":"","family":"Barbati","given":"Elisa","non-dropping-particle":"","parse-names":false,"suffix":""},{"dropping-particle":"","family":"Nebuloni","given":"Manuela","non-dropping-particle":"","parse-names":false,"suffix":""},{"dropping-particle":"","family":"Mantovani","given":"Alberto","non-dropping-particle":"","parse-names":false,"suffix":""},{"dropping-particle":"","family":"Garlanda","given":"Cecilia","non-dropping-particle":"","parse-names":false,"suffix":""}],"container-title":"Journal of Neuroimmunology","id":"ITEM-1","issue":"1-2","issued":{"date-parts":[["2013"]]},"page":"99-106","publisher":"Elsevier B.V.","title":"The long pentraxin PTX3 as a correlate of cancer-related inflammation and prognosis of malignancy in gliomas","type":"article-journal","volume":"260"},"uris":["http://www.mendeley.com/documents/?uuid=75bbd1f4-7c19-4228-b380-70656407c560"]},{"id":"ITEM-2","itemData":{"DOI":"10.1007/s11060-016-2168-z","ISBN":"1106001621","ISSN":"15737373","abstract":"Pentraxin 3 (PTX3) is an inflammatory molecule that is involved in immune responses, inflammation, and cancer. Recent evidence suggests that PTX3 plays a critical role in tumor progression; however, its impact on the biological function of gliomas remains unknown. In the present study, immunohistochemical staining showed that patients with high-grade gliomas exhibited increased expression levels of PTX3 compared to those with low-grade gliomas (P &lt; 0.001). Furthermore, knockdown of PTX3 in GBM8401 cells inhibits proliferation, increases p21 protein levels, and decreases cyclin D1 protein levels, resulting in cell cycle arrest at the G0/G1 phase. In addition, knockdown of PTX3 significantly decreases GBM8401 cell migration and invasion through the downregulation of matrix metalloproteinase-1 and -2 (MMP-1 and MMP-2) expression. In a GBM8401 xenograft animal model, PTX3 knockdown decreases tumor growth in vivo. In conclusion, PTX3 plays an important role in glioma cell proliferation and invasion, and may thus serve as a novel potential therapeutic target in the treatment of gliomas.","author":[{"dropping-particle":"","family":"Tung","given":"Jai Nien","non-dropping-particle":"","parse-names":false,"suffix":""},{"dropping-particle":"","family":"Ko","given":"Chung Po","non-dropping-particle":"","parse-names":false,"suffix":""},{"dropping-particle":"","family":"Yang","given":"Shun Fa","non-dropping-particle":"","parse-names":false,"suffix":""},{"dropping-particle":"","family":"Cheng","given":"Chun Wen","non-dropping-particle":"","parse-names":false,"suffix":""},{"dropping-particle":"","family":"Chen","given":"Pei Ni","non-dropping-particle":"","parse-names":false,"suffix":""},{"dropping-particle":"","family":"Chang","given":"Chia Yu","non-dropping-particle":"","parse-names":false,"suffix":""},{"dropping-particle":"","family":"Lin","given":"Chia Liang","non-dropping-particle":"","parse-names":false,"suffix":""},{"dropping-particle":"","family":"Yang","given":"Te Fang","non-dropping-particle":"","parse-names":false,"suffix":""},{"dropping-particle":"","family":"Hsieh","given":"Yi Hsien","non-dropping-particle":"","parse-names":false,"suffix":""},{"dropping-particle":"","family":"Chen","given":"Kun Chung","non-dropping-particle":"","parse-names":false,"suffix":""}],"container-title":"Journal of Neuro-Oncology","id":"ITEM-2","issue":"2","issued":{"date-parts":[["2016"]]},"page":"201-209","publisher":"Springer US","title":"Inhibition of pentraxin 3 in glioma cells impairs proliferation and invasion in vitro and in vivo","type":"article-journal","volume":"129"},"uris":["http://www.mendeley.com/documents/?uuid=7e024ef2-929d-4125-84f8-9d0e9621b63a"]}],"mendeley":{"formattedCitation":"(Locatelli &lt;i&gt;et al.&lt;/i&gt;, 2013; Tung &lt;i&gt;et al.&lt;/i&gt;, 2016)","manualFormatting":"(Locatelli i sur., 2013; Tung i sur., 2016)","plainTextFormattedCitation":"(Locatelli et al., 2013; Tung et al., 2016)","previouslyFormattedCitation":"(Locatelli &lt;i&gt;et al.&lt;/i&gt;, 2013; Tung &lt;i&gt;et al.&lt;/i&gt;, 2016)"},"properties":{"noteIndex":0},"schema":"https://github.com/citation-style-language/schema/raw/master/csl-citation.json"}</w:instrText>
      </w:r>
      <w:r w:rsidR="0014407F" w:rsidRPr="00E67E82">
        <w:rPr>
          <w:rStyle w:val="Strong"/>
          <w:b w:val="0"/>
          <w:sz w:val="20"/>
          <w:szCs w:val="20"/>
        </w:rPr>
        <w:fldChar w:fldCharType="separate"/>
      </w:r>
      <w:r w:rsidR="0014407F" w:rsidRPr="00E67E82">
        <w:rPr>
          <w:rStyle w:val="Strong"/>
          <w:b w:val="0"/>
          <w:noProof/>
          <w:sz w:val="20"/>
          <w:szCs w:val="20"/>
        </w:rPr>
        <w:t xml:space="preserve">(Locatelli </w:t>
      </w:r>
      <w:r w:rsidR="003F4A87">
        <w:rPr>
          <w:rStyle w:val="Strong"/>
          <w:b w:val="0"/>
          <w:i/>
          <w:noProof/>
          <w:sz w:val="20"/>
          <w:szCs w:val="20"/>
        </w:rPr>
        <w:t>i sur.,</w:t>
      </w:r>
      <w:r w:rsidR="0014407F" w:rsidRPr="00E67E82">
        <w:rPr>
          <w:rStyle w:val="Strong"/>
          <w:b w:val="0"/>
          <w:noProof/>
          <w:sz w:val="20"/>
          <w:szCs w:val="20"/>
        </w:rPr>
        <w:t xml:space="preserve"> 2013; Tung </w:t>
      </w:r>
      <w:r w:rsidR="003F4A87">
        <w:rPr>
          <w:rStyle w:val="Strong"/>
          <w:b w:val="0"/>
          <w:i/>
          <w:noProof/>
          <w:sz w:val="20"/>
          <w:szCs w:val="20"/>
        </w:rPr>
        <w:t>i sur.,</w:t>
      </w:r>
      <w:r w:rsidR="0014407F" w:rsidRPr="00E67E82">
        <w:rPr>
          <w:rStyle w:val="Strong"/>
          <w:b w:val="0"/>
          <w:noProof/>
          <w:sz w:val="20"/>
          <w:szCs w:val="20"/>
        </w:rPr>
        <w:t xml:space="preserve"> 2016)</w:t>
      </w:r>
      <w:r w:rsidR="0014407F" w:rsidRPr="00E67E82">
        <w:rPr>
          <w:rStyle w:val="Strong"/>
          <w:b w:val="0"/>
          <w:sz w:val="20"/>
          <w:szCs w:val="20"/>
        </w:rPr>
        <w:fldChar w:fldCharType="end"/>
      </w:r>
      <w:r w:rsidR="00EB6F9D" w:rsidRPr="00E67E82">
        <w:rPr>
          <w:rStyle w:val="Strong"/>
          <w:b w:val="0"/>
          <w:sz w:val="20"/>
          <w:szCs w:val="20"/>
        </w:rPr>
        <w:t>, liposarkoma</w:t>
      </w:r>
      <w:r w:rsidR="0014407F" w:rsidRPr="00E67E82">
        <w:rPr>
          <w:rStyle w:val="Strong"/>
          <w:b w:val="0"/>
          <w:sz w:val="20"/>
          <w:szCs w:val="20"/>
        </w:rPr>
        <w:t xml:space="preserve"> </w:t>
      </w:r>
      <w:r w:rsidR="0014407F" w:rsidRPr="00E67E82">
        <w:rPr>
          <w:rStyle w:val="Strong"/>
          <w:b w:val="0"/>
          <w:sz w:val="20"/>
          <w:szCs w:val="20"/>
        </w:rPr>
        <w:fldChar w:fldCharType="begin" w:fldLock="1"/>
      </w:r>
      <w:r w:rsidR="00F41B60">
        <w:rPr>
          <w:rStyle w:val="Strong"/>
          <w:b w:val="0"/>
          <w:sz w:val="20"/>
          <w:szCs w:val="20"/>
        </w:rPr>
        <w:instrText>ADDIN CSL_CITATION {"citationItems":[{"id":"ITEM-1","itemData":{"DOI":"10.1016/j.ejca.2006.05.035","ISSN":"09598049","abstract":"A unique feature of human soft tissue liposarcoma is a stable (12;16)(q13;p11) translocation observed mainly in myxoid and roundcell liposarcomas. This translocation results in FUS/CHOP fusion transcripts with a corresponding oncogenic protein. We hypothesised that genes downstream of FUS/CHOP might serve as attractive candidates for novel tumour associated antigens. Among a panel of analysed genes, only pentraxin related gene (PTX3) demonstrated high expression in liposarcomas as compared to normal tissues. The analysis of RNA and protein expression demonstrated concordant results. However, the level of RNA and protein overexpression did not correlate in all cases. Finally, PTX3 expression was not related to presence of a FUS/CHOP fusion transcript within the liposarcoma tissues. PTX3 has been associated with adipocyte differentiation and now, additionally, is characterised by a markedly increased expression in human soft tissue liposarcoma. This finding mandates further research efforts to clarify the exact role of PTX3 in liposarcoma oncogenesis. © 2006 Elsevier Ltd. All rights reserved.","author":[{"dropping-particle":"","family":"Willeke","given":"F.","non-dropping-particle":"","parse-names":false,"suffix":""},{"dropping-particle":"","family":"Assad","given":"A.","non-dropping-particle":"","parse-names":false,"suffix":""},{"dropping-particle":"","family":"Findeisen","given":"P.","non-dropping-particle":"","parse-names":false,"suffix":""},{"dropping-particle":"","family":"Schromm","given":"E.","non-dropping-particle":"","parse-names":false,"suffix":""},{"dropping-particle":"","family":"Grobholz","given":"R.","non-dropping-particle":"","parse-names":false,"suffix":""},{"dropping-particle":"","family":"Gerstenbergk","given":"B.","non-dropping-particle":"von","parse-names":false,"suffix":""},{"dropping-particle":"","family":"Mantovani","given":"A.","non-dropping-particle":"","parse-names":false,"suffix":""},{"dropping-particle":"","family":"Peri","given":"S.","non-dropping-particle":"","parse-names":false,"suffix":""},{"dropping-particle":"","family":"Friess","given":"H. H.","non-dropping-particle":"","parse-names":false,"suffix":""},{"dropping-particle":"","family":"Post","given":"S.","non-dropping-particle":"","parse-names":false,"suffix":""},{"dropping-particle":"","family":"Knebel Doeberitz","given":"M.","non-dropping-particle":"von","parse-names":false,"suffix":""},{"dropping-particle":"","family":"Schwarzbach","given":"M. H.M.","non-dropping-particle":"","parse-names":false,"suffix":""}],"container-title":"European Journal of Cancer","id":"ITEM-1","issue":"15","issued":{"date-parts":[["2006"]]},"page":"2639-2646","title":"Overexpression of a member of the pentraxin family (PTX3) in human soft tissue liposarcoma","type":"article-journal","volume":"42"},"uris":["http://www.mendeley.com/documents/?uuid=829a7113-405f-4382-80c9-f491ebc03bfb"]}],"mendeley":{"formattedCitation":"(Willeke &lt;i&gt;et al.&lt;/i&gt;, 2006)","manualFormatting":"(Willeke i sur., 2006)","plainTextFormattedCitation":"(Willeke et al., 2006)","previouslyFormattedCitation":"(Willeke &lt;i&gt;et al.&lt;/i&gt;, 2006)"},"properties":{"noteIndex":0},"schema":"https://github.com/citation-style-language/schema/raw/master/csl-citation.json"}</w:instrText>
      </w:r>
      <w:r w:rsidR="0014407F" w:rsidRPr="00E67E82">
        <w:rPr>
          <w:rStyle w:val="Strong"/>
          <w:b w:val="0"/>
          <w:sz w:val="20"/>
          <w:szCs w:val="20"/>
        </w:rPr>
        <w:fldChar w:fldCharType="separate"/>
      </w:r>
      <w:r w:rsidR="0014407F" w:rsidRPr="00E67E82">
        <w:rPr>
          <w:rStyle w:val="Strong"/>
          <w:b w:val="0"/>
          <w:noProof/>
          <w:sz w:val="20"/>
          <w:szCs w:val="20"/>
        </w:rPr>
        <w:t xml:space="preserve">(Willeke </w:t>
      </w:r>
      <w:r w:rsidR="003F4A87">
        <w:rPr>
          <w:rStyle w:val="Strong"/>
          <w:b w:val="0"/>
          <w:i/>
          <w:noProof/>
          <w:sz w:val="20"/>
          <w:szCs w:val="20"/>
        </w:rPr>
        <w:t>i sur.,</w:t>
      </w:r>
      <w:r w:rsidR="0014407F" w:rsidRPr="00E67E82">
        <w:rPr>
          <w:rStyle w:val="Strong"/>
          <w:b w:val="0"/>
          <w:noProof/>
          <w:sz w:val="20"/>
          <w:szCs w:val="20"/>
        </w:rPr>
        <w:t xml:space="preserve"> 2006)</w:t>
      </w:r>
      <w:r w:rsidR="0014407F" w:rsidRPr="00E67E82">
        <w:rPr>
          <w:rStyle w:val="Strong"/>
          <w:b w:val="0"/>
          <w:sz w:val="20"/>
          <w:szCs w:val="20"/>
        </w:rPr>
        <w:fldChar w:fldCharType="end"/>
      </w:r>
      <w:r w:rsidR="00EB6F9D" w:rsidRPr="00E67E82">
        <w:rPr>
          <w:rStyle w:val="Strong"/>
          <w:b w:val="0"/>
          <w:sz w:val="20"/>
          <w:szCs w:val="20"/>
        </w:rPr>
        <w:t>, karcinoma prostate</w:t>
      </w:r>
      <w:r w:rsidR="0014407F" w:rsidRPr="00E67E82">
        <w:rPr>
          <w:rStyle w:val="Strong"/>
          <w:b w:val="0"/>
          <w:sz w:val="20"/>
          <w:szCs w:val="20"/>
        </w:rPr>
        <w:t xml:space="preserve"> </w:t>
      </w:r>
      <w:r w:rsidR="0014407F" w:rsidRPr="00E67E82">
        <w:rPr>
          <w:rStyle w:val="Strong"/>
          <w:b w:val="0"/>
          <w:sz w:val="20"/>
          <w:szCs w:val="20"/>
        </w:rPr>
        <w:fldChar w:fldCharType="begin" w:fldLock="1"/>
      </w:r>
      <w:r w:rsidR="00F41B60">
        <w:rPr>
          <w:rStyle w:val="Strong"/>
          <w:b w:val="0"/>
          <w:sz w:val="20"/>
          <w:szCs w:val="20"/>
        </w:rPr>
        <w:instrText>ADDIN CSL_CITATION {"citationItems":[{"id":"ITEM-1","itemData":{"DOI":"10.1002/pros.20966","ISSN":"02704137","abstract":"Recent studies have underlined the role of tumor cells in the endogenous synthesis of pro-inflammatory molecules. We tested whether malignant progression in prostate cancer was associated with the activation of a phenotype typical of the innate immune system.","author":[{"dropping-particle":"","family":"Ravenna","given":"Linda","non-dropping-particle":"","parse-names":false,"suffix":""},{"dropping-particle":"","family":"Sale","given":"Patrizio","non-dropping-particle":"","parse-names":false,"suffix":""},{"dropping-particle":"","family":"Vito","given":"Maura","non-dropping-particle":"Di","parse-names":false,"suffix":""},{"dropping-particle":"","family":"Russo","given":"Andrea","non-dropping-particle":"","parse-names":false,"suffix":""},{"dropping-particle":"","family":"Salvatori","given":"Luisa","non-dropping-particle":"","parse-names":false,"suffix":""},{"dropping-particle":"","family":"Tafani","given":"Marco","non-dropping-particle":"","parse-names":false,"suffix":""},{"dropping-particle":"","family":"Mari","given":"Emanuela","non-dropping-particle":"","parse-names":false,"suffix":""},{"dropping-particle":"","family":"Sentinelli","given":"Steno","non-dropping-particle":"","parse-names":false,"suffix":""},{"dropping-particle":"","family":"Petrangeli","given":"Elisa","non-dropping-particle":"","parse-names":false,"suffix":""},{"dropping-particle":"","family":"Gallucci","given":"Michele","non-dropping-particle":"","parse-names":false,"suffix":""},{"dropping-particle":"","family":"Silverio","given":"Franco","non-dropping-particle":"Di","parse-names":false,"suffix":""},{"dropping-particle":"","family":"Russo","given":"Matteo A.","non-dropping-particle":"","parse-names":false,"suffix":""}],"container-title":"Prostate","id":"ITEM-1","issue":"11","issued":{"date-parts":[["2009"]]},"page":"1245-1255","title":"Up-regulation of the inflammatory-reparative phenotype in human prostate carcinoma","type":"article-journal","volume":"69"},"uris":["http://www.mendeley.com/documents/?uuid=8974cd18-8624-4e6a-adc7-ba0564770432"]}],"mendeley":{"formattedCitation":"(Ravenna &lt;i&gt;et al.&lt;/i&gt;, 2009)","manualFormatting":"(Ravenna i sur., 2009)","plainTextFormattedCitation":"(Ravenna et al., 2009)","previouslyFormattedCitation":"(Ravenna &lt;i&gt;et al.&lt;/i&gt;, 2009)"},"properties":{"noteIndex":0},"schema":"https://github.com/citation-style-language/schema/raw/master/csl-citation.json"}</w:instrText>
      </w:r>
      <w:r w:rsidR="0014407F" w:rsidRPr="00E67E82">
        <w:rPr>
          <w:rStyle w:val="Strong"/>
          <w:b w:val="0"/>
          <w:sz w:val="20"/>
          <w:szCs w:val="20"/>
        </w:rPr>
        <w:fldChar w:fldCharType="separate"/>
      </w:r>
      <w:r w:rsidR="0014407F" w:rsidRPr="00E67E82">
        <w:rPr>
          <w:rStyle w:val="Strong"/>
          <w:b w:val="0"/>
          <w:noProof/>
          <w:sz w:val="20"/>
          <w:szCs w:val="20"/>
        </w:rPr>
        <w:t xml:space="preserve">(Ravenna </w:t>
      </w:r>
      <w:r w:rsidR="003F4A87">
        <w:rPr>
          <w:rStyle w:val="Strong"/>
          <w:b w:val="0"/>
          <w:i/>
          <w:noProof/>
          <w:sz w:val="20"/>
          <w:szCs w:val="20"/>
        </w:rPr>
        <w:t>i sur.,</w:t>
      </w:r>
      <w:r w:rsidR="0014407F" w:rsidRPr="00E67E82">
        <w:rPr>
          <w:rStyle w:val="Strong"/>
          <w:b w:val="0"/>
          <w:noProof/>
          <w:sz w:val="20"/>
          <w:szCs w:val="20"/>
        </w:rPr>
        <w:t xml:space="preserve"> 2009)</w:t>
      </w:r>
      <w:r w:rsidR="0014407F" w:rsidRPr="00E67E82">
        <w:rPr>
          <w:rStyle w:val="Strong"/>
          <w:b w:val="0"/>
          <w:sz w:val="20"/>
          <w:szCs w:val="20"/>
        </w:rPr>
        <w:fldChar w:fldCharType="end"/>
      </w:r>
      <w:r w:rsidR="00EB6F9D" w:rsidRPr="00E67E82">
        <w:rPr>
          <w:rStyle w:val="Strong"/>
          <w:b w:val="0"/>
          <w:sz w:val="20"/>
          <w:szCs w:val="20"/>
        </w:rPr>
        <w:t>, karcinoma pluća</w:t>
      </w:r>
      <w:r w:rsidR="00F00649" w:rsidRPr="00E67E82">
        <w:rPr>
          <w:rStyle w:val="Strong"/>
          <w:b w:val="0"/>
          <w:sz w:val="20"/>
          <w:szCs w:val="20"/>
        </w:rPr>
        <w:t xml:space="preserve"> </w:t>
      </w:r>
      <w:r w:rsidR="00F00649" w:rsidRPr="00E67E82">
        <w:rPr>
          <w:rStyle w:val="Strong"/>
          <w:b w:val="0"/>
          <w:sz w:val="20"/>
          <w:szCs w:val="20"/>
        </w:rPr>
        <w:fldChar w:fldCharType="begin" w:fldLock="1"/>
      </w:r>
      <w:r w:rsidR="00F41B60">
        <w:rPr>
          <w:rStyle w:val="Strong"/>
          <w:b w:val="0"/>
          <w:sz w:val="20"/>
          <w:szCs w:val="20"/>
        </w:rPr>
        <w:instrText>ADDIN CSL_CITATION {"citationItems":[{"id":"ITEM-1","itemData":{"DOI":"10.1158/1078-0432.CCR-10-3024","ISSN":"10780432","abstract":"Our objective was to validate the performance of three new candidate lung cancer biomarkers, pentraxin-3 (PTX3), human kallikrein 11 (KLK11), and progranulin.","author":[{"dropping-particle":"","family":"Diamandis","given":"Eleftherios P.","non-dropping-particle":"","parse-names":false,"suffix":""},{"dropping-particle":"","family":"Goodglick","given":"Lee","non-dropping-particle":"","parse-names":false,"suffix":""},{"dropping-particle":"","family":"Planque","given":"Chris","non-dropping-particle":"","parse-names":false,"suffix":""},{"dropping-particle":"","family":"Thornquist","given":"Mark D.","non-dropping-particle":"","parse-names":false,"suffix":""}],"container-title":"Clinical Cancer Research","id":"ITEM-1","issue":"8","issued":{"date-parts":[["2011"]]},"page":"2395-2399","title":"Pentraxin-3 is a novel biomarker of lung carcinoma","type":"article-journal","volume":"17"},"uris":["http://www.mendeley.com/documents/?uuid=b86cd84d-e3f2-4802-9511-7861ff187956"]}],"mendeley":{"formattedCitation":"(Diamandis &lt;i&gt;et al.&lt;/i&gt;, 2011)","manualFormatting":"(Diamandis i sur., 2011)","plainTextFormattedCitation":"(Diamandis et al., 2011)","previouslyFormattedCitation":"(Diamandis &lt;i&gt;et al.&lt;/i&gt;, 2011)"},"properties":{"noteIndex":0},"schema":"https://github.com/citation-style-language/schema/raw/master/csl-citation.json"}</w:instrText>
      </w:r>
      <w:r w:rsidR="00F00649" w:rsidRPr="00E67E82">
        <w:rPr>
          <w:rStyle w:val="Strong"/>
          <w:b w:val="0"/>
          <w:sz w:val="20"/>
          <w:szCs w:val="20"/>
        </w:rPr>
        <w:fldChar w:fldCharType="separate"/>
      </w:r>
      <w:r w:rsidR="00F00649" w:rsidRPr="00E67E82">
        <w:rPr>
          <w:rStyle w:val="Strong"/>
          <w:b w:val="0"/>
          <w:noProof/>
          <w:sz w:val="20"/>
          <w:szCs w:val="20"/>
        </w:rPr>
        <w:t xml:space="preserve">(Diamandis </w:t>
      </w:r>
      <w:r w:rsidR="003F4A87">
        <w:rPr>
          <w:rStyle w:val="Strong"/>
          <w:b w:val="0"/>
          <w:i/>
          <w:noProof/>
          <w:sz w:val="20"/>
          <w:szCs w:val="20"/>
        </w:rPr>
        <w:t>i sur.,</w:t>
      </w:r>
      <w:r w:rsidR="00F00649" w:rsidRPr="00E67E82">
        <w:rPr>
          <w:rStyle w:val="Strong"/>
          <w:b w:val="0"/>
          <w:noProof/>
          <w:sz w:val="20"/>
          <w:szCs w:val="20"/>
        </w:rPr>
        <w:t xml:space="preserve"> 2011)</w:t>
      </w:r>
      <w:r w:rsidR="00F00649" w:rsidRPr="00E67E82">
        <w:rPr>
          <w:rStyle w:val="Strong"/>
          <w:b w:val="0"/>
          <w:sz w:val="20"/>
          <w:szCs w:val="20"/>
        </w:rPr>
        <w:fldChar w:fldCharType="end"/>
      </w:r>
      <w:r w:rsidR="00EB6F9D" w:rsidRPr="00E67E82">
        <w:rPr>
          <w:rStyle w:val="Strong"/>
          <w:b w:val="0"/>
          <w:sz w:val="20"/>
          <w:szCs w:val="20"/>
        </w:rPr>
        <w:t xml:space="preserve"> i karcinoma želuca, a više razine PTX3 redovito su povezivane s lošijom prognozom</w:t>
      </w:r>
      <w:r w:rsidR="0014407F" w:rsidRPr="00E67E82">
        <w:rPr>
          <w:rStyle w:val="Strong"/>
          <w:b w:val="0"/>
          <w:sz w:val="20"/>
          <w:szCs w:val="20"/>
        </w:rPr>
        <w:t>.</w:t>
      </w:r>
      <w:r w:rsidR="00EB6F9D" w:rsidRPr="00E67E82">
        <w:rPr>
          <w:rStyle w:val="Strong"/>
          <w:b w:val="0"/>
          <w:color w:val="FF0000"/>
          <w:sz w:val="20"/>
          <w:szCs w:val="20"/>
        </w:rPr>
        <w:t xml:space="preserve"> </w:t>
      </w:r>
      <w:r w:rsidR="00EB6F9D" w:rsidRPr="00E67E82">
        <w:rPr>
          <w:rStyle w:val="Strong"/>
          <w:b w:val="0"/>
          <w:sz w:val="20"/>
          <w:szCs w:val="20"/>
        </w:rPr>
        <w:t xml:space="preserve">Choi i suradnici </w:t>
      </w:r>
      <w:r w:rsidR="006921C1" w:rsidRPr="00E67E82">
        <w:rPr>
          <w:rStyle w:val="Strong"/>
          <w:b w:val="0"/>
          <w:sz w:val="20"/>
          <w:szCs w:val="20"/>
        </w:rPr>
        <w:fldChar w:fldCharType="begin" w:fldLock="1"/>
      </w:r>
      <w:r w:rsidR="00F41B60">
        <w:rPr>
          <w:rStyle w:val="Strong"/>
          <w:b w:val="0"/>
          <w:sz w:val="20"/>
          <w:szCs w:val="20"/>
        </w:rPr>
        <w:instrText>ADDIN CSL_CITATION {"citationItems":[{"id":"ITEM-1","itemData":{"ISSN":"02507005","abstract":"Background: Chronic inflammation characterized by the recruitment and activation of macrophages has been implicated in the development of gastric cancer. Materials and Methods: Expression of the long form of pentraxin-3 (PTX3) in gastric cancer cells was examined by reverse transcription-polymerase chain reaction and enzyme-linked immunosorbent assay. The migratory capacity of gastric cancer cells and chemotaxis of macrophages by PTX3 were assessed by wound-healing and transwell assays. PTX3 silencing using small interfering RNA (siRNA) was performed to confirm PTX3-mediated effects. Results: We demonstrated that PTX3 expression was elevated in human advanced gastric cancer tissues with increased infiltration of CD11b+ macrophages. Tumor necrosis factor-alpha increased PTX3 expression via nuclear factor-kappa B activation in human gastric cancer cells. PTX3 promoted the tumor cell migratory potential, the recruitment of macrophages and their subsequent binding to gastric cancer cells. These effects were suppressed by PTX3 knockdown using siRNA. Conclusion: Our findings suggest that gastric cancer-derived PTX3 promotes macrophage recruitment, which may contribute to gastric cancer-related inflammation.","author":[{"dropping-particle":"","family":"Choi","given":"Bongkun","non-dropping-particle":"","parse-names":false,"suffix":""},{"dropping-particle":"","family":"Lee","given":"Eun Jin","non-dropping-particle":"","parse-names":false,"suffix":""},{"dropping-particle":"","family":"Park","given":"Young Soo","non-dropping-particle":"","parse-names":false,"suffix":""},{"dropping-particle":"","family":"Kim","given":"Sang Min","non-dropping-particle":"","parse-names":false,"suffix":""},{"dropping-particle":"","family":"Kim","given":"Eun Young","non-dropping-particle":"","parse-names":false,"suffix":""},{"dropping-particle":"","family":"Song","given":"Youngsup","non-dropping-particle":"","parse-names":false,"suffix":""},{"dropping-particle":"","family":"Kang","given":"Sang Wook","non-dropping-particle":"","parse-names":false,"suffix":""},{"dropping-particle":"","family":"Rhu","given":"Min Hee","non-dropping-particle":"","parse-names":false,"suffix":""},{"dropping-particle":"","family":"Chang","given":"Eun Ju","non-dropping-particle":"","parse-names":false,"suffix":""}],"container-title":"Anticancer Research","id":"ITEM-1","issue":"5","issued":{"date-parts":[["2015"]]},"page":"2663-2668","title":"Pentraxin-3 silencing suppresses gastric cancer-related inflammation by inhibiting chemotactic migration of macrophages","type":"article-journal","volume":"35"},"uris":["http://www.mendeley.com/documents/?uuid=343e1a4c-fa98-4eda-9e73-bd0c7e417872"]}],"mendeley":{"formattedCitation":"(Choi &lt;i&gt;et al.&lt;/i&gt;, 2015)","manualFormatting":"(Choi i sur., 2015)","plainTextFormattedCitation":"(Choi et al., 2015)","previouslyFormattedCitation":"(Choi &lt;i&gt;et al.&lt;/i&gt;, 2015)"},"properties":{"noteIndex":0},"schema":"https://github.com/citation-style-language/schema/raw/master/csl-citation.json"}</w:instrText>
      </w:r>
      <w:r w:rsidR="006921C1" w:rsidRPr="00E67E82">
        <w:rPr>
          <w:rStyle w:val="Strong"/>
          <w:b w:val="0"/>
          <w:sz w:val="20"/>
          <w:szCs w:val="20"/>
        </w:rPr>
        <w:fldChar w:fldCharType="separate"/>
      </w:r>
      <w:r w:rsidR="006921C1" w:rsidRPr="00E67E82">
        <w:rPr>
          <w:rStyle w:val="Strong"/>
          <w:b w:val="0"/>
          <w:noProof/>
          <w:sz w:val="20"/>
          <w:szCs w:val="20"/>
        </w:rPr>
        <w:t xml:space="preserve">(Choi </w:t>
      </w:r>
      <w:r w:rsidR="003F4A87">
        <w:rPr>
          <w:rStyle w:val="Strong"/>
          <w:b w:val="0"/>
          <w:i/>
          <w:noProof/>
          <w:sz w:val="20"/>
          <w:szCs w:val="20"/>
        </w:rPr>
        <w:t>i sur.,</w:t>
      </w:r>
      <w:r w:rsidR="006921C1" w:rsidRPr="00E67E82">
        <w:rPr>
          <w:rStyle w:val="Strong"/>
          <w:b w:val="0"/>
          <w:noProof/>
          <w:sz w:val="20"/>
          <w:szCs w:val="20"/>
        </w:rPr>
        <w:t xml:space="preserve"> 2015)</w:t>
      </w:r>
      <w:r w:rsidR="006921C1" w:rsidRPr="00E67E82">
        <w:rPr>
          <w:rStyle w:val="Strong"/>
          <w:b w:val="0"/>
          <w:sz w:val="20"/>
          <w:szCs w:val="20"/>
        </w:rPr>
        <w:fldChar w:fldCharType="end"/>
      </w:r>
      <w:r w:rsidR="00EB6F9D" w:rsidRPr="00E67E82">
        <w:rPr>
          <w:rStyle w:val="Strong"/>
          <w:b w:val="0"/>
          <w:sz w:val="20"/>
          <w:szCs w:val="20"/>
        </w:rPr>
        <w:t xml:space="preserve"> u svom su istraživanju pokazali povezanost između pojačane ekspresije PTX3 ovisne o TNF-α u stanicama humanog karcinoma želuca i invazivnog potencijala tih stanica. Nadalje, pojačana ekspresija PTX3 kemotaksijskim mehanizmima povećava regrutaciju makrofaga i njihovo vezanje za stanice želučanog karcinoma. Kako bi dodatno potvrdili tu povezanost, ekspresija PTX3 utišana je pomoću siRNA što je rezultiralo smanjenjem kemotaksije makrofaga. Naime, regrutacija makrofaga </w:t>
      </w:r>
      <w:r w:rsidR="00EB6F9D" w:rsidRPr="00E67E82">
        <w:rPr>
          <w:rStyle w:val="Strong"/>
          <w:b w:val="0"/>
          <w:sz w:val="20"/>
          <w:szCs w:val="20"/>
        </w:rPr>
        <w:lastRenderedPageBreak/>
        <w:t>važna je odrednica progresije tumora i metastatskog potencijala. Tako infiltracija M1 makrofagima predstavlja protektivni imuni odgovor protiv tumora, dok makrofagi u stromi tumora poprimaju M2-svojstva, a akumulacija tih stanica često se povezuje s progresijom različit</w:t>
      </w:r>
      <w:r w:rsidR="006921C1" w:rsidRPr="00E67E82">
        <w:rPr>
          <w:rStyle w:val="Strong"/>
          <w:b w:val="0"/>
          <w:sz w:val="20"/>
          <w:szCs w:val="20"/>
        </w:rPr>
        <w:t xml:space="preserve">ih tipova karcinoma </w:t>
      </w:r>
      <w:r w:rsidR="006921C1" w:rsidRPr="00E67E82">
        <w:rPr>
          <w:rStyle w:val="Strong"/>
          <w:b w:val="0"/>
          <w:sz w:val="20"/>
          <w:szCs w:val="20"/>
        </w:rPr>
        <w:fldChar w:fldCharType="begin" w:fldLock="1"/>
      </w:r>
      <w:r w:rsidR="00F41B60">
        <w:rPr>
          <w:rStyle w:val="Strong"/>
          <w:b w:val="0"/>
          <w:sz w:val="20"/>
          <w:szCs w:val="20"/>
        </w:rPr>
        <w:instrText>ADDIN CSL_CITATION {"citationItems":[{"id":"ITEM-1","itemData":{"DOI":"10.1016/j.cell.2010.03.014","ISSN":"1097-4172","PMID":"20371344","abstract":"There is persuasive clinical and experimental evidence that macrophages promote cancer initiation and malignant progression. During tumor initiation, they create an inflammatory environment that is mutagenic and promotes growth. As tumors progress to malignancy, macrophages stimulate angiogenesis, enhance tumor cell migration and invasion, and suppress antitumor immunity. At metastatic sites, macrophages prepare the target tissue for arrival of tumor cells, and then a different subpopulation of macrophages promotes tumor cell extravasation, survival, and subsequent growth. Specialized subpopulations of macrophages may represent important new therapeutic targets. © 2010 Elsevier Inc.","author":[{"dropping-particle":"","family":"Qian","given":"Bin-Zhi","non-dropping-particle":"","parse-names":false,"suffix":""},{"dropping-particle":"","family":"Pollard","given":"Jeffrey W","non-dropping-particle":"","parse-names":false,"suffix":""}],"container-title":"Cell","id":"ITEM-1","issue":"1","issued":{"date-parts":[["2010"]]},"page":"39-51","title":"Macrophage diversity enhances tumor progression and metastasis.","type":"article-journal","volume":"141"},"uris":["http://www.mendeley.com/documents/?uuid=26cb1581-fcaa-483f-8854-62df549fe5a0"]},{"id":"ITEM-2","itemData":{"DOI":"10.1038/ni.1937","ISSN":"15292908","abstract":"Plasticity is a hallmark of cells of the myelomonocytic lineage. In response to innate recognition or signals from lymphocyte subsets, mononuclear phagocytes undergo adaptive responses. Shaping of monocyte-macrophage function is an essential component of resistance to pathogens, tissue damage and repair. The orchestration of myelomonocytic cell function is a key element that links inflammation and cancer and provides a paradigm for macrophage plasticity and function. A better understanding of the molecular basis of myelomonocytic cell plasticity will open new vistas in immunopathology and therapeutic intervention.","author":[{"dropping-particle":"","family":"Biswas","given":"Subhra K.","non-dropping-particle":"","parse-names":false,"suffix":""},{"dropping-particle":"","family":"Mantovani","given":"Alberto","non-dropping-particle":"","parse-names":false,"suffix":""}],"container-title":"Nature Immunology","id":"ITEM-2","issue":"10","issued":{"date-parts":[["2010"]]},"page":"889-896","publisher":"Nature Publishing Group","title":"Macrophage plasticity and interaction with lymphocyte subsets: Cancer as a paradigm","type":"article-journal","volume":"11"},"uris":["http://www.mendeley.com/documents/?uuid=b59630d5-436f-436b-9162-d179385a1183"]}],"mendeley":{"formattedCitation":"(Biswas and Mantovani, 2010; Qian and Pollard, 2010)","manualFormatting":"(Biswas i Mantovani, 2010; Qian i Pollard, 2010)","plainTextFormattedCitation":"(Biswas and Mantovani, 2010; Qian and Pollard, 2010)","previouslyFormattedCitation":"(Biswas and Mantovani, 2010; Qian and Pollard, 2010)"},"properties":{"noteIndex":0},"schema":"https://github.com/citation-style-language/schema/raw/master/csl-citation.json"}</w:instrText>
      </w:r>
      <w:r w:rsidR="006921C1" w:rsidRPr="00E67E82">
        <w:rPr>
          <w:rStyle w:val="Strong"/>
          <w:b w:val="0"/>
          <w:sz w:val="20"/>
          <w:szCs w:val="20"/>
        </w:rPr>
        <w:fldChar w:fldCharType="separate"/>
      </w:r>
      <w:r w:rsidR="00FF0299" w:rsidRPr="00E67E82">
        <w:rPr>
          <w:rStyle w:val="Strong"/>
          <w:b w:val="0"/>
          <w:noProof/>
          <w:sz w:val="20"/>
          <w:szCs w:val="20"/>
        </w:rPr>
        <w:t xml:space="preserve">(Biswas </w:t>
      </w:r>
      <w:r w:rsidR="003F4A87">
        <w:rPr>
          <w:rStyle w:val="Strong"/>
          <w:b w:val="0"/>
          <w:noProof/>
          <w:sz w:val="20"/>
          <w:szCs w:val="20"/>
        </w:rPr>
        <w:t>i</w:t>
      </w:r>
      <w:r w:rsidR="00FF0299" w:rsidRPr="00E67E82">
        <w:rPr>
          <w:rStyle w:val="Strong"/>
          <w:b w:val="0"/>
          <w:noProof/>
          <w:sz w:val="20"/>
          <w:szCs w:val="20"/>
        </w:rPr>
        <w:t xml:space="preserve"> Mantovani, 2010; Qian </w:t>
      </w:r>
      <w:r w:rsidR="003F4A87">
        <w:rPr>
          <w:rStyle w:val="Strong"/>
          <w:b w:val="0"/>
          <w:noProof/>
          <w:sz w:val="20"/>
          <w:szCs w:val="20"/>
        </w:rPr>
        <w:t>i</w:t>
      </w:r>
      <w:r w:rsidR="00FF0299" w:rsidRPr="00E67E82">
        <w:rPr>
          <w:rStyle w:val="Strong"/>
          <w:b w:val="0"/>
          <w:noProof/>
          <w:sz w:val="20"/>
          <w:szCs w:val="20"/>
        </w:rPr>
        <w:t xml:space="preserve"> Pollard, 2010)</w:t>
      </w:r>
      <w:r w:rsidR="006921C1" w:rsidRPr="00E67E82">
        <w:rPr>
          <w:rStyle w:val="Strong"/>
          <w:b w:val="0"/>
          <w:sz w:val="20"/>
          <w:szCs w:val="20"/>
        </w:rPr>
        <w:fldChar w:fldCharType="end"/>
      </w:r>
      <w:r w:rsidR="006921C1" w:rsidRPr="00E67E82">
        <w:rPr>
          <w:rStyle w:val="Strong"/>
          <w:b w:val="0"/>
          <w:sz w:val="20"/>
          <w:szCs w:val="20"/>
        </w:rPr>
        <w:t xml:space="preserve">. </w:t>
      </w:r>
      <w:r w:rsidR="00EB6F9D" w:rsidRPr="00E67E82">
        <w:rPr>
          <w:rStyle w:val="Strong"/>
          <w:b w:val="0"/>
          <w:sz w:val="20"/>
          <w:szCs w:val="20"/>
        </w:rPr>
        <w:t>Ista skupina autora našla je povećanu ekspresiju PTX3 u koštanim metastazama humanog karcinoma želuca koje su povezane s osteolitičkom destrukcijom kosti. Povećana ekspresija PTX3 povećava ekspresiju RANKL u osteoblastima</w:t>
      </w:r>
      <w:r w:rsidR="006921C1" w:rsidRPr="00E67E82">
        <w:rPr>
          <w:rStyle w:val="Strong"/>
          <w:b w:val="0"/>
          <w:sz w:val="20"/>
          <w:szCs w:val="20"/>
        </w:rPr>
        <w:t xml:space="preserve"> i stimulira osteoklastogenezu </w:t>
      </w:r>
      <w:r w:rsidR="006921C1" w:rsidRPr="00E67E82">
        <w:rPr>
          <w:rStyle w:val="Strong"/>
          <w:b w:val="0"/>
          <w:sz w:val="20"/>
          <w:szCs w:val="20"/>
        </w:rPr>
        <w:fldChar w:fldCharType="begin" w:fldLock="1"/>
      </w:r>
      <w:r w:rsidR="00F41B60">
        <w:rPr>
          <w:rStyle w:val="Strong"/>
          <w:b w:val="0"/>
          <w:sz w:val="20"/>
          <w:szCs w:val="20"/>
        </w:rPr>
        <w:instrText>ADDIN CSL_CITATION {"citationItems":[{"id":"ITEM-1","itemData":{"DOI":"10.18632/oncotarget.10747","abstract":"The brain-derived neurotrophic factor (BDNF) activates its receptor, tropomyosin receptor kinase B (TrkB; also called NTRK2) that has been shown to promote the malignant progression of several cancers. In this study, we investigated the clinical and biological significance of the BDNF/TrkB axis in the progression of human gastric cancer. The increased co-expression of the BDNF/TrkB axis was significantly correlated with bone metastatic properties in advanced gastric cancers. BDNF acting via TrkB receptors increased the levels of long pentraxin 3 (PTX3) that was related to bone metastatic status of gastric cancer by enhancing gastric cancer-osteoblastic niche interactions. In bone metastatic gastric cancer, PTX3 knockdown using small interfering RNA significantly inhibited BDNF-induced interactions of cancer cells with osteoblasts. Moreover, BDNF-derived PTX3 induction supported subsequent osteoclastogenesis, and this effect was significantly reversed by PTX3 silencing. These findings suggest that a functional interaction between BDNF/TrkB and PTX3 enhances the osteolysis of bone metastatic gastric cancer, thereby providing potential prognostic factors for the development of bone metastasis of gastric cancer.","author":[{"dropping-particle":"","family":"Choi","given":"Bongkun","non-dropping-particle":"","parse-names":false,"suffix":""},{"dropping-particle":"","family":"Lee","given":"Eun-Jin","non-dropping-particle":"","parse-names":false,"suffix":""},{"dropping-particle":"","family":"Shin","given":"Min-Kyung","non-dropping-particle":"","parse-names":false,"suffix":""},{"dropping-particle":"","family":"Park","given":"Young Soo","non-dropping-particle":"","parse-names":false,"suffix":""},{"dropping-particle":"","family":"Ryu","given":"Min-Hee","non-dropping-particle":"","parse-names":false,"suffix":""},{"dropping-particle":"","family":"Kim","given":"Sang-Min","non-dropping-particle":"","parse-names":false,"suffix":""},{"dropping-particle":"","family":"Kim","given":"Eun-Young","non-dropping-particle":"","parse-names":false,"suffix":""},{"dropping-particle":"","family":"Lee","given":"Hyung Keun","non-dropping-particle":"","parse-names":false,"suffix":""},{"dropping-particle":"","family":"Chang","given":"Eun-Ju","non-dropping-particle":"","parse-names":false,"suffix":""}],"container-title":"Oncotarget","id":"ITEM-1","issue":"34","issued":{"date-parts":[["2016"]]},"title":"Upregulation of brain-derived neurotrophic factor in advanced gastric cancer contributes to bone metastatic osteolysis by inducing long pentraxin 3","type":"article-journal","volume":"7"},"uris":["http://www.mendeley.com/documents/?uuid=ac57315d-9e06-4e64-afd8-349c7fc3f87a"]}],"mendeley":{"formattedCitation":"(Choi &lt;i&gt;et al.&lt;/i&gt;, 2016)","manualFormatting":"(Choi i sur., 2016)","plainTextFormattedCitation":"(Choi et al., 2016)","previouslyFormattedCitation":"(Choi &lt;i&gt;et al.&lt;/i&gt;, 2016)"},"properties":{"noteIndex":0},"schema":"https://github.com/citation-style-language/schema/raw/master/csl-citation.json"}</w:instrText>
      </w:r>
      <w:r w:rsidR="006921C1" w:rsidRPr="00E67E82">
        <w:rPr>
          <w:rStyle w:val="Strong"/>
          <w:b w:val="0"/>
          <w:sz w:val="20"/>
          <w:szCs w:val="20"/>
        </w:rPr>
        <w:fldChar w:fldCharType="separate"/>
      </w:r>
      <w:r w:rsidR="006921C1" w:rsidRPr="00E67E82">
        <w:rPr>
          <w:rStyle w:val="Strong"/>
          <w:b w:val="0"/>
          <w:noProof/>
          <w:sz w:val="20"/>
          <w:szCs w:val="20"/>
        </w:rPr>
        <w:t xml:space="preserve">(Choi </w:t>
      </w:r>
      <w:r w:rsidR="003F4A87">
        <w:rPr>
          <w:rStyle w:val="Strong"/>
          <w:b w:val="0"/>
          <w:i/>
          <w:noProof/>
          <w:sz w:val="20"/>
          <w:szCs w:val="20"/>
        </w:rPr>
        <w:t>i sur.,</w:t>
      </w:r>
      <w:r w:rsidR="006921C1" w:rsidRPr="00E67E82">
        <w:rPr>
          <w:rStyle w:val="Strong"/>
          <w:b w:val="0"/>
          <w:noProof/>
          <w:sz w:val="20"/>
          <w:szCs w:val="20"/>
        </w:rPr>
        <w:t xml:space="preserve"> 2016)</w:t>
      </w:r>
      <w:r w:rsidR="006921C1" w:rsidRPr="00E67E82">
        <w:rPr>
          <w:rStyle w:val="Strong"/>
          <w:b w:val="0"/>
          <w:sz w:val="20"/>
          <w:szCs w:val="20"/>
        </w:rPr>
        <w:fldChar w:fldCharType="end"/>
      </w:r>
      <w:r w:rsidR="006921C1" w:rsidRPr="00E67E82">
        <w:rPr>
          <w:rStyle w:val="Strong"/>
          <w:b w:val="0"/>
          <w:sz w:val="20"/>
          <w:szCs w:val="20"/>
        </w:rPr>
        <w:t xml:space="preserve">. </w:t>
      </w:r>
      <w:r w:rsidR="00EB6F9D" w:rsidRPr="00E67E82">
        <w:rPr>
          <w:rStyle w:val="Strong"/>
          <w:b w:val="0"/>
          <w:sz w:val="20"/>
          <w:szCs w:val="20"/>
        </w:rPr>
        <w:t xml:space="preserve">Slični učinci PTX3 opisani su i u koštanim </w:t>
      </w:r>
      <w:r w:rsidR="006921C1" w:rsidRPr="00E67E82">
        <w:rPr>
          <w:rStyle w:val="Strong"/>
          <w:b w:val="0"/>
          <w:sz w:val="20"/>
          <w:szCs w:val="20"/>
        </w:rPr>
        <w:t xml:space="preserve">metastazama karcinoma dojke </w:t>
      </w:r>
      <w:r w:rsidR="006921C1" w:rsidRPr="00E67E82">
        <w:rPr>
          <w:rStyle w:val="Strong"/>
          <w:b w:val="0"/>
          <w:sz w:val="20"/>
          <w:szCs w:val="20"/>
        </w:rPr>
        <w:fldChar w:fldCharType="begin" w:fldLock="1"/>
      </w:r>
      <w:r w:rsidR="00F41B60">
        <w:rPr>
          <w:rStyle w:val="Strong"/>
          <w:b w:val="0"/>
          <w:sz w:val="20"/>
          <w:szCs w:val="20"/>
        </w:rPr>
        <w:instrText>ADDIN CSL_CITATION {"citationItems":[{"id":"ITEM-1","itemData":{"abstract":"Pentraxin 3 (PTX3), a modulator of tumor-associated inflammation, is known to be positively correlated with tumor grade and severity of malignancies, but its exact role remains unclear. This study found that PTX3 expression was up-regulated in distant bone metastases of breast cancer compared to lung, liver, and brain metastases in 64 human breast cancer patients. Elevated expression of PTX3 was correlated with poor survival in patients with breast cancer. PTX3 expression was also up-regulated in a bone metastatic breast cancer cell line and further enhanced by pro-inflammatory cytokine TNFα. Administration of PTX3 promoted the migratory potential of breast cancer cells and the mobilization of macrophages, a precursor of osteoclasts (OCs), toward breast cancer cells. In addition, elevated expression of PTX3 by TNFα led to enhanced OC formation, implying the distinct role of PTX3 in osteolytic bone metastasis of breast cancer cells. Furthermore, PTX3 silencing using PTX3-specific siRNA prevented breast cancer cell migration, macrophage chemotaxis, and subsequent OC formation. These findings provide an important insight into the key role of PTX3 in inflammation-associated osteolytic complications of breast cancer.","author":[{"dropping-particle":"","family":"Choi","given":"Bongkun","non-dropping-particle":"","parse-names":false,"suffix":""},{"dropping-particle":"","family":"Lee","given":"Eun-Jin","non-dropping-particle":"","parse-names":false,"suffix":""},{"dropping-particle":"","family":"Song","given":"Da-Hyun","non-dropping-particle":"","parse-names":false,"suffix":""},{"dropping-particle":"","family":"Yoon","given":"Sung-Chul","non-dropping-particle":"","parse-names":false,"suffix":""},{"dropping-particle":"","family":"Chung","given":"Yeon-Ho","non-dropping-particle":"","parse-names":false,"suffix":""},{"dropping-particle":"","family":"Jang","given":"Youngsaeng","non-dropping-particle":"","parse-names":false,"suffix":""},{"dropping-particle":"","family":"Kim","given":"Sang-Min","non-dropping-particle":"","parse-names":false,"suffix":""},{"dropping-particle":"","family":"Song","given":"Youngsup","non-dropping-particle":"","parse-names":false,"suffix":""},{"dropping-particle":"","family":"Kang","given":"Sang-Wook","non-dropping-particle":"","parse-names":false,"suffix":""},{"dropping-particle":"","family":"Yoon","given":"Seung-Yong","non-dropping-particle":"","parse-names":false,"suffix":""},{"dropping-particle":"","family":"Chang","given":"Eun-Ju","non-dropping-particle":"","parse-names":false,"suffix":""}],"container-title":"Oncotarget","id":"ITEM-1","issue":"2","issued":{"date-parts":[["2014"]]},"title":"Oncotarget 481 www.impactjournals.com/oncotarget Elevated Pentraxin 3 in bone metastatic breast cancer is correlated with osteolytic function","type":"article-journal","volume":"5"},"uris":["http://www.mendeley.com/documents/?uuid=7ce3e796-2ac4-4ff5-8a62-42dd7e030c1a"]}],"mendeley":{"formattedCitation":"(Choi &lt;i&gt;et al.&lt;/i&gt;, 2014)","manualFormatting":"(Choi i sur., 2014)","plainTextFormattedCitation":"(Choi et al., 2014)","previouslyFormattedCitation":"(Choi &lt;i&gt;et al.&lt;/i&gt;, 2014)"},"properties":{"noteIndex":0},"schema":"https://github.com/citation-style-language/schema/raw/master/csl-citation.json"}</w:instrText>
      </w:r>
      <w:r w:rsidR="006921C1" w:rsidRPr="00E67E82">
        <w:rPr>
          <w:rStyle w:val="Strong"/>
          <w:b w:val="0"/>
          <w:sz w:val="20"/>
          <w:szCs w:val="20"/>
        </w:rPr>
        <w:fldChar w:fldCharType="separate"/>
      </w:r>
      <w:r w:rsidR="006921C1" w:rsidRPr="00E67E82">
        <w:rPr>
          <w:rStyle w:val="Strong"/>
          <w:b w:val="0"/>
          <w:noProof/>
          <w:sz w:val="20"/>
          <w:szCs w:val="20"/>
        </w:rPr>
        <w:t xml:space="preserve">(Choi </w:t>
      </w:r>
      <w:r w:rsidR="003F4A87">
        <w:rPr>
          <w:rStyle w:val="Strong"/>
          <w:b w:val="0"/>
          <w:i/>
          <w:noProof/>
          <w:sz w:val="20"/>
          <w:szCs w:val="20"/>
        </w:rPr>
        <w:t>i sur.,</w:t>
      </w:r>
      <w:r w:rsidR="006921C1" w:rsidRPr="00E67E82">
        <w:rPr>
          <w:rStyle w:val="Strong"/>
          <w:b w:val="0"/>
          <w:noProof/>
          <w:sz w:val="20"/>
          <w:szCs w:val="20"/>
        </w:rPr>
        <w:t xml:space="preserve"> 2014)</w:t>
      </w:r>
      <w:r w:rsidR="006921C1" w:rsidRPr="00E67E82">
        <w:rPr>
          <w:rStyle w:val="Strong"/>
          <w:b w:val="0"/>
          <w:sz w:val="20"/>
          <w:szCs w:val="20"/>
        </w:rPr>
        <w:fldChar w:fldCharType="end"/>
      </w:r>
      <w:r w:rsidR="006921C1" w:rsidRPr="00E67E82">
        <w:rPr>
          <w:rStyle w:val="Strong"/>
          <w:b w:val="0"/>
          <w:sz w:val="20"/>
          <w:szCs w:val="20"/>
        </w:rPr>
        <w:t xml:space="preserve">. </w:t>
      </w:r>
      <w:r w:rsidR="00EB6F9D" w:rsidRPr="00E67E82">
        <w:rPr>
          <w:rStyle w:val="Strong"/>
          <w:b w:val="0"/>
          <w:sz w:val="20"/>
          <w:szCs w:val="20"/>
        </w:rPr>
        <w:t>Povećana ekspresija PTX3 rezultat je pojačane aktivacije  BDNF/TrkB sustava. Brain-derived neurotrophic factor (BDNF) aktivira tropomyo</w:t>
      </w:r>
      <w:r w:rsidR="006C03E8">
        <w:rPr>
          <w:rStyle w:val="Strong"/>
          <w:b w:val="0"/>
          <w:sz w:val="20"/>
          <w:szCs w:val="20"/>
        </w:rPr>
        <w:t>sin receptor kinase B (TrkB)</w:t>
      </w:r>
      <w:r w:rsidR="00EB6F9D" w:rsidRPr="00E67E82">
        <w:rPr>
          <w:rStyle w:val="Strong"/>
          <w:b w:val="0"/>
          <w:sz w:val="20"/>
          <w:szCs w:val="20"/>
        </w:rPr>
        <w:t>, a uloga ovog sustava opisuje se u patogenezi različitih tumora uključujući neuroblastom, karcinom pluća, hepatocelularni karcinom, karcinom ovarija, karcinom dojke, duktalni karcinom pankreasa, karci</w:t>
      </w:r>
      <w:r w:rsidR="009C742C">
        <w:rPr>
          <w:rStyle w:val="Strong"/>
          <w:b w:val="0"/>
          <w:sz w:val="20"/>
          <w:szCs w:val="20"/>
        </w:rPr>
        <w:t xml:space="preserve">nom prostate i multipli mijelom </w:t>
      </w:r>
      <w:r w:rsidR="009C742C">
        <w:rPr>
          <w:rStyle w:val="Strong"/>
          <w:b w:val="0"/>
          <w:sz w:val="20"/>
          <w:szCs w:val="20"/>
        </w:rPr>
        <w:fldChar w:fldCharType="begin" w:fldLock="1"/>
      </w:r>
      <w:r w:rsidR="009C742C">
        <w:rPr>
          <w:rStyle w:val="Strong"/>
          <w:b w:val="0"/>
          <w:sz w:val="20"/>
          <w:szCs w:val="20"/>
        </w:rPr>
        <w:instrText>ADDIN CSL_CITATION {"citationItems":[{"id":"ITEM-1","itemData":{"DOI":"10.18632/oncotarget.10747","abstract":"The brain-derived neurotrophic factor (BDNF) activates its receptor, tropomyosin receptor kinase B (TrkB; also called NTRK2) that has been shown to promote the malignant progression of several cancers. In this study, we investigated the clinical and biological significance of the BDNF/TrkB axis in the progression of human gastric cancer. The increased co-expression of the BDNF/TrkB axis was significantly correlated with bone metastatic properties in advanced gastric cancers. BDNF acting via TrkB receptors increased the levels of long pentraxin 3 (PTX3) that was related to bone metastatic status of gastric cancer by enhancing gastric cancer-osteoblastic niche interactions. In bone metastatic gastric cancer, PTX3 knockdown using small interfering RNA significantly inhibited BDNF-induced interactions of cancer cells with osteoblasts. Moreover, BDNF-derived PTX3 induction supported subsequent osteoclastogenesis, and this effect was significantly reversed by PTX3 silencing. These findings suggest that a functional interaction between BDNF/TrkB and PTX3 enhances the osteolysis of bone metastatic gastric cancer, thereby providing potential prognostic factors for the development of bone metastasis of gastric cancer.","author":[{"dropping-particle":"","family":"Choi","given":"Bongkun","non-dropping-particle":"","parse-names":false,"suffix":""},{"dropping-particle":"","family":"Lee","given":"Eun-Jin","non-dropping-particle":"","parse-names":false,"suffix":""},{"dropping-particle":"","family":"Shin","given":"Min-Kyung","non-dropping-particle":"","parse-names":false,"suffix":""},{"dropping-particle":"","family":"Park","given":"Young Soo","non-dropping-particle":"","parse-names":false,"suffix":""},{"dropping-particle":"","family":"Ryu","given":"Min-Hee","non-dropping-particle":"","parse-names":false,"suffix":""},{"dropping-particle":"","family":"Kim","given":"Sang-Min","non-dropping-particle":"","parse-names":false,"suffix":""},{"dropping-particle":"","family":"Kim","given":"Eun-Young","non-dropping-particle":"","parse-names":false,"suffix":""},{"dropping-particle":"","family":"Lee","given":"Hyung Keun","non-dropping-particle":"","parse-names":false,"suffix":""},{"dropping-particle":"","family":"Chang","given":"Eun-Ju","non-dropping-particle":"","parse-names":false,"suffix":""}],"container-title":"Oncotarget","id":"ITEM-1","issue":"34","issued":{"date-parts":[["2016"]]},"title":"Upregulation of brain-derived neurotrophic factor in advanced gastric cancer contributes to bone metastatic osteolysis by inducing long pentraxin 3","type":"article-journal","volume":"7"},"uris":["http://www.mendeley.com/documents/?uuid=ac57315d-9e06-4e64-afd8-349c7fc3f87a"]}],"mendeley":{"formattedCitation":"(Choi &lt;i&gt;et al.&lt;/i&gt;, 2016)","plainTextFormattedCitation":"(Choi et al., 2016)"},"properties":{"noteIndex":0},"schema":"https://github.com/citation-style-language/schema/raw/master/csl-citation.json"}</w:instrText>
      </w:r>
      <w:r w:rsidR="009C742C">
        <w:rPr>
          <w:rStyle w:val="Strong"/>
          <w:b w:val="0"/>
          <w:sz w:val="20"/>
          <w:szCs w:val="20"/>
        </w:rPr>
        <w:fldChar w:fldCharType="separate"/>
      </w:r>
      <w:r w:rsidR="009C742C" w:rsidRPr="009C742C">
        <w:rPr>
          <w:rStyle w:val="Strong"/>
          <w:b w:val="0"/>
          <w:noProof/>
          <w:sz w:val="20"/>
          <w:szCs w:val="20"/>
        </w:rPr>
        <w:t xml:space="preserve">(Choi </w:t>
      </w:r>
      <w:r w:rsidR="009C742C" w:rsidRPr="009C742C">
        <w:rPr>
          <w:rStyle w:val="Strong"/>
          <w:b w:val="0"/>
          <w:i/>
          <w:noProof/>
          <w:sz w:val="20"/>
          <w:szCs w:val="20"/>
        </w:rPr>
        <w:t>et al.</w:t>
      </w:r>
      <w:r w:rsidR="009C742C" w:rsidRPr="009C742C">
        <w:rPr>
          <w:rStyle w:val="Strong"/>
          <w:b w:val="0"/>
          <w:noProof/>
          <w:sz w:val="20"/>
          <w:szCs w:val="20"/>
        </w:rPr>
        <w:t>, 2016)</w:t>
      </w:r>
      <w:r w:rsidR="009C742C">
        <w:rPr>
          <w:rStyle w:val="Strong"/>
          <w:b w:val="0"/>
          <w:sz w:val="20"/>
          <w:szCs w:val="20"/>
        </w:rPr>
        <w:fldChar w:fldCharType="end"/>
      </w:r>
      <w:r w:rsidR="009C742C">
        <w:rPr>
          <w:rStyle w:val="Strong"/>
          <w:b w:val="0"/>
          <w:sz w:val="20"/>
          <w:szCs w:val="20"/>
        </w:rPr>
        <w:t>.</w:t>
      </w:r>
      <w:r w:rsidR="00FF0299" w:rsidRPr="00E67E82">
        <w:rPr>
          <w:rStyle w:val="Strong"/>
          <w:b w:val="0"/>
          <w:color w:val="FF0000"/>
          <w:sz w:val="20"/>
          <w:szCs w:val="20"/>
        </w:rPr>
        <w:t xml:space="preserve"> </w:t>
      </w:r>
      <w:r w:rsidR="00FF0299" w:rsidRPr="00E67E82">
        <w:rPr>
          <w:rStyle w:val="Strong"/>
          <w:b w:val="0"/>
          <w:sz w:val="20"/>
          <w:szCs w:val="20"/>
        </w:rPr>
        <w:t xml:space="preserve">Dosadašnja istraživanja sugeriraju da u karcinomima želuca povećana ekspresija PTX3 ima tumorpromotorsku ulogu. Iako se ukupna incidencija karcinoma želuca u svijetu smanjuje u posljednjih 50-ak godina prvenstveno zbog agresivnijeg liječenja </w:t>
      </w:r>
      <w:r w:rsidR="00FF0299" w:rsidRPr="00E67E82">
        <w:rPr>
          <w:rStyle w:val="Strong"/>
          <w:b w:val="0"/>
          <w:i/>
          <w:sz w:val="20"/>
          <w:szCs w:val="20"/>
        </w:rPr>
        <w:t>H.pylori</w:t>
      </w:r>
      <w:r w:rsidR="00FF0299" w:rsidRPr="00E67E82">
        <w:rPr>
          <w:rStyle w:val="Strong"/>
          <w:b w:val="0"/>
          <w:sz w:val="20"/>
          <w:szCs w:val="20"/>
        </w:rPr>
        <w:t xml:space="preserve"> infekcije </w:t>
      </w:r>
      <w:r w:rsidR="00FF0299" w:rsidRPr="00E67E82">
        <w:rPr>
          <w:rStyle w:val="Strong"/>
          <w:b w:val="0"/>
          <w:sz w:val="20"/>
          <w:szCs w:val="20"/>
        </w:rPr>
        <w:fldChar w:fldCharType="begin" w:fldLock="1"/>
      </w:r>
      <w:r w:rsidR="00F41B60">
        <w:rPr>
          <w:rStyle w:val="Strong"/>
          <w:b w:val="0"/>
          <w:sz w:val="20"/>
          <w:szCs w:val="20"/>
        </w:rPr>
        <w:instrText>ADDIN CSL_CITATION {"citationItems":[{"id":"ITEM-1","itemData":{"DOI":"10.1007/s11894-017-0575-8","ISBN":"1189401705758","ISSN":"1534312X","abstract":"The paper aims to discuss the global trends in gastric cancer incidence in relation to important factors involved in the pathogenesis of gastric cancer.","author":[{"dropping-particle":"","family":"Balakrishnan","given":"Maya","non-dropping-particle":"","parse-names":false,"suffix":""},{"dropping-particle":"","family":"George","given":"Rollin","non-dropping-particle":"","parse-names":false,"suffix":""},{"dropping-particle":"","family":"Sharma","given":"Ashish","non-dropping-particle":"","parse-names":false,"suffix":""},{"dropping-particle":"","family":"Graham","given":"David Y.","non-dropping-particle":"","parse-names":false,"suffix":""}],"container-title":"Current Gastroenterology Reports","id":"ITEM-1","issue":"8","issued":{"date-parts":[["2017"]]},"publisher":"Current Gastroenterology Reports","title":"Changing Trends in Stomach Cancer Throughout the World","type":"article-journal","volume":"19"},"uris":["http://www.mendeley.com/documents/?uuid=17371c8b-3b97-42b0-8e66-9a13376f93c4"]}],"mendeley":{"formattedCitation":"(Balakrishnan &lt;i&gt;et al.&lt;/i&gt;, 2017)","manualFormatting":"(Balakrishnan i sur., 2017)","plainTextFormattedCitation":"(Balakrishnan et al., 2017)","previouslyFormattedCitation":"(Balakrishnan &lt;i&gt;et al.&lt;/i&gt;, 2017)"},"properties":{"noteIndex":0},"schema":"https://github.com/citation-style-language/schema/raw/master/csl-citation.json"}</w:instrText>
      </w:r>
      <w:r w:rsidR="00FF0299" w:rsidRPr="00E67E82">
        <w:rPr>
          <w:rStyle w:val="Strong"/>
          <w:b w:val="0"/>
          <w:sz w:val="20"/>
          <w:szCs w:val="20"/>
        </w:rPr>
        <w:fldChar w:fldCharType="separate"/>
      </w:r>
      <w:r w:rsidR="00FF0299" w:rsidRPr="00E67E82">
        <w:rPr>
          <w:rStyle w:val="Strong"/>
          <w:b w:val="0"/>
          <w:noProof/>
          <w:sz w:val="20"/>
          <w:szCs w:val="20"/>
        </w:rPr>
        <w:t xml:space="preserve">(Balakrishnan </w:t>
      </w:r>
      <w:r w:rsidR="003F4A87">
        <w:rPr>
          <w:rStyle w:val="Strong"/>
          <w:b w:val="0"/>
          <w:i/>
          <w:noProof/>
          <w:sz w:val="20"/>
          <w:szCs w:val="20"/>
        </w:rPr>
        <w:t>i sur.,</w:t>
      </w:r>
      <w:r w:rsidR="00FF0299" w:rsidRPr="00E67E82">
        <w:rPr>
          <w:rStyle w:val="Strong"/>
          <w:b w:val="0"/>
          <w:noProof/>
          <w:sz w:val="20"/>
          <w:szCs w:val="20"/>
        </w:rPr>
        <w:t xml:space="preserve"> 2017)</w:t>
      </w:r>
      <w:r w:rsidR="00FF0299" w:rsidRPr="00E67E82">
        <w:rPr>
          <w:rStyle w:val="Strong"/>
          <w:b w:val="0"/>
          <w:sz w:val="20"/>
          <w:szCs w:val="20"/>
        </w:rPr>
        <w:fldChar w:fldCharType="end"/>
      </w:r>
      <w:r w:rsidR="00FF0299" w:rsidRPr="00E67E82">
        <w:rPr>
          <w:rStyle w:val="Strong"/>
          <w:b w:val="0"/>
          <w:sz w:val="20"/>
          <w:szCs w:val="20"/>
        </w:rPr>
        <w:t>, difuzni karcinomi želuca i dalje su aktualan problem jer</w:t>
      </w:r>
      <w:r w:rsidR="00E623F1" w:rsidRPr="00E67E82">
        <w:rPr>
          <w:rStyle w:val="Strong"/>
          <w:b w:val="0"/>
          <w:sz w:val="20"/>
          <w:szCs w:val="20"/>
        </w:rPr>
        <w:t xml:space="preserve"> se javljaju u mlađim dobnim skupinama</w:t>
      </w:r>
      <w:r w:rsidR="00FF0299" w:rsidRPr="00E67E82">
        <w:rPr>
          <w:rStyle w:val="Strong"/>
          <w:b w:val="0"/>
          <w:sz w:val="20"/>
          <w:szCs w:val="20"/>
        </w:rPr>
        <w:t>, dijagnosticiraju se u uznapredovalom stadiju i ima</w:t>
      </w:r>
      <w:r w:rsidR="00E623F1" w:rsidRPr="00E67E82">
        <w:rPr>
          <w:rStyle w:val="Strong"/>
          <w:b w:val="0"/>
          <w:sz w:val="20"/>
          <w:szCs w:val="20"/>
        </w:rPr>
        <w:t>ju lošiju prognozu.</w:t>
      </w:r>
    </w:p>
    <w:p w:rsidR="00FF0299" w:rsidRPr="00E67E82" w:rsidRDefault="00FF0299" w:rsidP="00E67E82">
      <w:pPr>
        <w:spacing w:line="360" w:lineRule="auto"/>
        <w:jc w:val="both"/>
        <w:rPr>
          <w:sz w:val="20"/>
          <w:szCs w:val="20"/>
        </w:rPr>
      </w:pPr>
    </w:p>
    <w:p w:rsidR="0073138B" w:rsidRPr="00E67E82" w:rsidRDefault="0073138B" w:rsidP="00E67E82">
      <w:pPr>
        <w:spacing w:line="360" w:lineRule="auto"/>
        <w:jc w:val="both"/>
        <w:rPr>
          <w:rStyle w:val="Strong"/>
          <w:rFonts w:cs="Times New Roman"/>
          <w:b w:val="0"/>
          <w:sz w:val="20"/>
          <w:szCs w:val="20"/>
        </w:rPr>
      </w:pPr>
      <w:r w:rsidRPr="00E67E82">
        <w:rPr>
          <w:rStyle w:val="Strong"/>
          <w:rFonts w:cs="Times New Roman"/>
          <w:b w:val="0"/>
          <w:sz w:val="20"/>
          <w:szCs w:val="20"/>
        </w:rPr>
        <w:br w:type="page"/>
      </w:r>
    </w:p>
    <w:p w:rsidR="00361110" w:rsidRPr="00C47C5C" w:rsidRDefault="00C57D02" w:rsidP="00C47C5C">
      <w:pPr>
        <w:pStyle w:val="Heading1"/>
      </w:pPr>
      <w:r>
        <w:rPr>
          <w:rStyle w:val="Strong"/>
        </w:rPr>
        <w:lastRenderedPageBreak/>
        <w:br/>
      </w:r>
      <w:bookmarkStart w:id="3" w:name="_Toc7695562"/>
      <w:r w:rsidR="00915A71">
        <w:t>2. HIPOTEZA</w:t>
      </w:r>
      <w:bookmarkEnd w:id="3"/>
    </w:p>
    <w:p w:rsidR="0096585E" w:rsidRDefault="0096585E" w:rsidP="0096585E"/>
    <w:p w:rsidR="0096585E" w:rsidRPr="00C47C5C" w:rsidRDefault="00A34888" w:rsidP="0096585E">
      <w:pPr>
        <w:rPr>
          <w:sz w:val="20"/>
          <w:szCs w:val="20"/>
        </w:rPr>
      </w:pPr>
      <w:r>
        <w:rPr>
          <w:sz w:val="20"/>
          <w:szCs w:val="20"/>
        </w:rPr>
        <w:t>Izraženost proteina pentraxin3</w:t>
      </w:r>
      <w:r w:rsidR="007550C4" w:rsidRPr="00C47C5C">
        <w:rPr>
          <w:sz w:val="20"/>
          <w:szCs w:val="20"/>
        </w:rPr>
        <w:t xml:space="preserve"> veća je u </w:t>
      </w:r>
      <w:r>
        <w:rPr>
          <w:sz w:val="20"/>
          <w:szCs w:val="20"/>
        </w:rPr>
        <w:t>uzorcima difuznih</w:t>
      </w:r>
      <w:r w:rsidR="00B8442B">
        <w:rPr>
          <w:sz w:val="20"/>
          <w:szCs w:val="20"/>
        </w:rPr>
        <w:t xml:space="preserve"> karcinoma</w:t>
      </w:r>
      <w:r w:rsidR="007550C4" w:rsidRPr="00C47C5C">
        <w:rPr>
          <w:sz w:val="20"/>
          <w:szCs w:val="20"/>
        </w:rPr>
        <w:t xml:space="preserve"> želuca u odnosu na kontrolno netumorsko tkivo.</w:t>
      </w:r>
    </w:p>
    <w:p w:rsidR="00915A71" w:rsidRDefault="00F0483A" w:rsidP="00915A71">
      <w:pPr>
        <w:pStyle w:val="Heading1"/>
      </w:pPr>
      <w:bookmarkStart w:id="4" w:name="_Toc7695563"/>
      <w:r>
        <w:t xml:space="preserve">3. </w:t>
      </w:r>
      <w:r w:rsidR="00675412">
        <w:t xml:space="preserve">OPĆI </w:t>
      </w:r>
      <w:r w:rsidR="00915A71">
        <w:t>CILJEVI RADA</w:t>
      </w:r>
      <w:bookmarkEnd w:id="4"/>
    </w:p>
    <w:p w:rsidR="00F0483A" w:rsidRDefault="00F0483A" w:rsidP="00F0483A"/>
    <w:p w:rsidR="00F0483A" w:rsidRPr="00C47C5C" w:rsidRDefault="00F46EEB" w:rsidP="00FC5A3E">
      <w:pPr>
        <w:spacing w:line="360" w:lineRule="auto"/>
        <w:jc w:val="both"/>
        <w:rPr>
          <w:sz w:val="20"/>
          <w:szCs w:val="20"/>
        </w:rPr>
      </w:pPr>
      <w:r w:rsidRPr="00C47C5C">
        <w:rPr>
          <w:sz w:val="20"/>
          <w:szCs w:val="20"/>
        </w:rPr>
        <w:t>Cilj ovog rada</w:t>
      </w:r>
      <w:r w:rsidR="00675412" w:rsidRPr="00C47C5C">
        <w:rPr>
          <w:sz w:val="20"/>
          <w:szCs w:val="20"/>
        </w:rPr>
        <w:t xml:space="preserve">  je usporediti imunohistokemijsku ekspresiju  PTX3 proteina i ekspresiju </w:t>
      </w:r>
      <w:r w:rsidR="00DE06A1" w:rsidRPr="00C47C5C">
        <w:rPr>
          <w:sz w:val="20"/>
          <w:szCs w:val="20"/>
        </w:rPr>
        <w:t xml:space="preserve">PTX3 </w:t>
      </w:r>
      <w:r w:rsidR="00675412" w:rsidRPr="00C47C5C">
        <w:rPr>
          <w:sz w:val="20"/>
          <w:szCs w:val="20"/>
        </w:rPr>
        <w:t>na razini mRNA u difuznom karcinomu želuca i kontrolnom netumorskom tkivu želuca.</w:t>
      </w:r>
      <w:r w:rsidR="00DE06A1" w:rsidRPr="00C47C5C">
        <w:rPr>
          <w:sz w:val="20"/>
          <w:szCs w:val="20"/>
        </w:rPr>
        <w:t xml:space="preserve"> </w:t>
      </w:r>
    </w:p>
    <w:p w:rsidR="007550C4" w:rsidRPr="00C47C5C" w:rsidRDefault="007550C4">
      <w:pPr>
        <w:rPr>
          <w:rFonts w:cs="Times New Roman"/>
          <w:b/>
          <w:bCs/>
          <w:sz w:val="20"/>
          <w:szCs w:val="20"/>
        </w:rPr>
      </w:pPr>
    </w:p>
    <w:p w:rsidR="003C662F" w:rsidRDefault="003C662F">
      <w:pPr>
        <w:rPr>
          <w:rFonts w:cs="Times New Roman"/>
          <w:b/>
          <w:bCs/>
          <w:szCs w:val="24"/>
        </w:rPr>
      </w:pPr>
      <w:r>
        <w:rPr>
          <w:rFonts w:cs="Times New Roman"/>
          <w:b/>
          <w:bCs/>
          <w:szCs w:val="24"/>
        </w:rPr>
        <w:br w:type="page"/>
      </w:r>
    </w:p>
    <w:p w:rsidR="00EB02A7" w:rsidRDefault="00EB02A7" w:rsidP="00EB02A7">
      <w:pPr>
        <w:pStyle w:val="Heading1"/>
      </w:pPr>
      <w:bookmarkStart w:id="5" w:name="_Toc7695564"/>
      <w:r>
        <w:lastRenderedPageBreak/>
        <w:t xml:space="preserve">4. </w:t>
      </w:r>
      <w:r w:rsidR="00C86AE8" w:rsidRPr="00EB02A7">
        <w:t>I</w:t>
      </w:r>
      <w:r w:rsidR="009E1963">
        <w:t>SPITANICI I METODE</w:t>
      </w:r>
      <w:bookmarkEnd w:id="5"/>
    </w:p>
    <w:p w:rsidR="00EB02A7" w:rsidRPr="00EB02A7" w:rsidRDefault="00C86AE8" w:rsidP="00B74D12">
      <w:pPr>
        <w:pStyle w:val="Heading2"/>
        <w:spacing w:after="300"/>
        <w:ind w:left="284"/>
        <w:rPr>
          <w:szCs w:val="28"/>
        </w:rPr>
      </w:pPr>
      <w:bookmarkStart w:id="6" w:name="_Toc7695565"/>
      <w:r w:rsidRPr="00EB02A7">
        <w:t>4.1. Uzorci tkiva</w:t>
      </w:r>
      <w:bookmarkEnd w:id="6"/>
    </w:p>
    <w:p w:rsidR="00EB02A7" w:rsidRPr="00C47C5C" w:rsidRDefault="00EB02A7" w:rsidP="00162375">
      <w:pPr>
        <w:spacing w:line="360" w:lineRule="auto"/>
        <w:rPr>
          <w:rFonts w:cs="Times New Roman"/>
          <w:sz w:val="20"/>
          <w:szCs w:val="20"/>
        </w:rPr>
      </w:pPr>
      <w:r w:rsidRPr="00C47C5C">
        <w:rPr>
          <w:rFonts w:cs="Times New Roman"/>
          <w:sz w:val="20"/>
          <w:szCs w:val="20"/>
        </w:rPr>
        <w:t>U istraživanju su korišteni perioperativno dobiveni uzorci tkiva s patohistološkom dijagnozom difuznog</w:t>
      </w:r>
      <w:r w:rsidR="00FE565C" w:rsidRPr="00C47C5C">
        <w:rPr>
          <w:rFonts w:cs="Times New Roman"/>
          <w:sz w:val="20"/>
          <w:szCs w:val="20"/>
        </w:rPr>
        <w:t xml:space="preserve"> karcinoma želuca i uzorci sluznice</w:t>
      </w:r>
      <w:r w:rsidRPr="00C47C5C">
        <w:rPr>
          <w:rFonts w:cs="Times New Roman"/>
          <w:sz w:val="20"/>
          <w:szCs w:val="20"/>
        </w:rPr>
        <w:t xml:space="preserve"> želuca dobiveni endoskopskim biopsijama, a patohistološk</w:t>
      </w:r>
      <w:r w:rsidR="00B74D12" w:rsidRPr="00C47C5C">
        <w:rPr>
          <w:rFonts w:cs="Times New Roman"/>
          <w:sz w:val="20"/>
          <w:szCs w:val="20"/>
        </w:rPr>
        <w:t xml:space="preserve">i bez elemenata tumorskog rasta </w:t>
      </w:r>
      <w:r w:rsidRPr="00C47C5C">
        <w:rPr>
          <w:rFonts w:cs="Times New Roman"/>
          <w:sz w:val="20"/>
          <w:szCs w:val="20"/>
        </w:rPr>
        <w:t>(kontrolno netumorsko tkivo).   Uzorci su prikupljeni iz arhive Kliničkog zavoda za patologiju i citologiju Kliničkog bolničkog centra Zagreb. Uzorci tkiva uzeti su prije započinjanja onkološkog liječenja. Tijekom uzimanja uzoraka zabilježeni su demografski podaci (spol i dob) te klinički i patološki parame</w:t>
      </w:r>
      <w:r w:rsidR="00FC5A3E">
        <w:rPr>
          <w:rFonts w:cs="Times New Roman"/>
          <w:sz w:val="20"/>
          <w:szCs w:val="20"/>
        </w:rPr>
        <w:t xml:space="preserve">tri (lokalizacija </w:t>
      </w:r>
      <w:r w:rsidR="00542AB2" w:rsidRPr="00C47C5C">
        <w:rPr>
          <w:rFonts w:cs="Times New Roman"/>
          <w:sz w:val="20"/>
          <w:szCs w:val="20"/>
        </w:rPr>
        <w:t>uzetog uzorka te TNM stadij bolesti</w:t>
      </w:r>
      <w:r w:rsidR="00162375">
        <w:rPr>
          <w:rFonts w:cs="Times New Roman"/>
          <w:sz w:val="20"/>
          <w:szCs w:val="20"/>
        </w:rPr>
        <w:t>).</w:t>
      </w:r>
      <w:r w:rsidR="00162375">
        <w:rPr>
          <w:rFonts w:cs="Times New Roman"/>
          <w:sz w:val="20"/>
          <w:szCs w:val="20"/>
        </w:rPr>
        <w:br/>
      </w:r>
    </w:p>
    <w:p w:rsidR="00EB02A7" w:rsidRPr="00EB02A7" w:rsidRDefault="00E454B0" w:rsidP="00B74D12">
      <w:pPr>
        <w:pStyle w:val="Heading2"/>
        <w:spacing w:after="300"/>
        <w:ind w:left="284"/>
      </w:pPr>
      <w:bookmarkStart w:id="7" w:name="_Toc7695566"/>
      <w:r>
        <w:t>4.2. Imunohistokemij</w:t>
      </w:r>
      <w:r w:rsidR="005E29E2">
        <w:t>ska analiza</w:t>
      </w:r>
      <w:bookmarkEnd w:id="7"/>
    </w:p>
    <w:p w:rsidR="00EB02A7" w:rsidRPr="00C47C5C" w:rsidRDefault="00EB02A7" w:rsidP="001F2EE8">
      <w:pPr>
        <w:spacing w:line="360" w:lineRule="auto"/>
        <w:jc w:val="both"/>
        <w:rPr>
          <w:rFonts w:cs="Times New Roman"/>
          <w:sz w:val="20"/>
          <w:szCs w:val="20"/>
        </w:rPr>
      </w:pPr>
      <w:r w:rsidRPr="00C47C5C">
        <w:rPr>
          <w:rFonts w:cs="Times New Roman"/>
          <w:sz w:val="20"/>
          <w:szCs w:val="20"/>
        </w:rPr>
        <w:t>Imunohistokemijska analiza korištena je kako bi se ustanovile</w:t>
      </w:r>
      <w:r w:rsidR="00162375">
        <w:rPr>
          <w:rFonts w:cs="Times New Roman"/>
          <w:sz w:val="20"/>
          <w:szCs w:val="20"/>
        </w:rPr>
        <w:t xml:space="preserve"> razine ekspresije i stanična </w:t>
      </w:r>
      <w:r w:rsidRPr="00C47C5C">
        <w:rPr>
          <w:rFonts w:cs="Times New Roman"/>
          <w:sz w:val="20"/>
          <w:szCs w:val="20"/>
        </w:rPr>
        <w:t>lokalizacija proteina PTX3.</w:t>
      </w:r>
    </w:p>
    <w:p w:rsidR="00EB02A7" w:rsidRPr="00EB02A7" w:rsidRDefault="00EB02A7" w:rsidP="00B74D12">
      <w:pPr>
        <w:pStyle w:val="Heading3"/>
        <w:spacing w:after="300"/>
        <w:ind w:left="340"/>
      </w:pPr>
      <w:r w:rsidRPr="00EB02A7">
        <w:t xml:space="preserve">      </w:t>
      </w:r>
      <w:bookmarkStart w:id="8" w:name="_Toc7695567"/>
      <w:r w:rsidRPr="00EB02A7">
        <w:t>4.2.1. Priprema uzoraka</w:t>
      </w:r>
      <w:bookmarkEnd w:id="8"/>
    </w:p>
    <w:p w:rsidR="00692926" w:rsidRPr="00C47C5C" w:rsidRDefault="00EB02A7" w:rsidP="001F2EE8">
      <w:pPr>
        <w:spacing w:line="360" w:lineRule="auto"/>
        <w:jc w:val="both"/>
        <w:rPr>
          <w:rFonts w:cs="Times New Roman"/>
          <w:sz w:val="20"/>
          <w:szCs w:val="20"/>
        </w:rPr>
      </w:pPr>
      <w:r w:rsidRPr="00C47C5C">
        <w:rPr>
          <w:rFonts w:cs="Times New Roman"/>
          <w:sz w:val="20"/>
          <w:szCs w:val="20"/>
        </w:rPr>
        <w:t>Od uzoraka</w:t>
      </w:r>
      <w:r w:rsidR="00B74D12" w:rsidRPr="00C47C5C">
        <w:rPr>
          <w:rFonts w:cs="Times New Roman"/>
          <w:sz w:val="20"/>
          <w:szCs w:val="20"/>
        </w:rPr>
        <w:t xml:space="preserve"> fiksiranih u formalinu i</w:t>
      </w:r>
      <w:r w:rsidRPr="00C47C5C">
        <w:rPr>
          <w:rFonts w:cs="Times New Roman"/>
          <w:sz w:val="20"/>
          <w:szCs w:val="20"/>
        </w:rPr>
        <w:t xml:space="preserve"> pohranjenih u parafinskom bloku dobiveni su rezovi debljine 4 μm koji su postavljeni na silanizirana predmetna stakla (DakoCytomation, Denmark).</w:t>
      </w:r>
      <w:r w:rsidR="00EC13FD" w:rsidRPr="00C47C5C">
        <w:rPr>
          <w:rFonts w:cs="Times New Roman"/>
          <w:sz w:val="20"/>
          <w:szCs w:val="20"/>
        </w:rPr>
        <w:t xml:space="preserve"> Prije imunohistokemijske analize</w:t>
      </w:r>
      <w:r w:rsidRPr="00C47C5C">
        <w:rPr>
          <w:rFonts w:cs="Times New Roman"/>
          <w:sz w:val="20"/>
          <w:szCs w:val="20"/>
        </w:rPr>
        <w:t xml:space="preserve"> potrebno je deparafini</w:t>
      </w:r>
      <w:r w:rsidR="002346A6" w:rsidRPr="00C47C5C">
        <w:rPr>
          <w:rFonts w:cs="Times New Roman"/>
          <w:sz w:val="20"/>
          <w:szCs w:val="20"/>
        </w:rPr>
        <w:t>zi</w:t>
      </w:r>
      <w:r w:rsidRPr="00C47C5C">
        <w:rPr>
          <w:rFonts w:cs="Times New Roman"/>
          <w:sz w:val="20"/>
          <w:szCs w:val="20"/>
        </w:rPr>
        <w:t>rati i rehidrirati uzorke. Stakla s uzorcima ostavljena su u termostatu preko noći na temperaturi 58 – 60°C. Nakon vađenja iz termostata stakla su ostavljena 10-ak minuta na sobnoj temperaturi kako bi se ohladila. Zatim su uzorci provedeni kroz red</w:t>
      </w:r>
      <w:r w:rsidR="005E29E2" w:rsidRPr="00C47C5C">
        <w:rPr>
          <w:rFonts w:cs="Times New Roman"/>
          <w:color w:val="FF0000"/>
          <w:sz w:val="20"/>
          <w:szCs w:val="20"/>
        </w:rPr>
        <w:t xml:space="preserve"> </w:t>
      </w:r>
      <w:r w:rsidR="005E29E2" w:rsidRPr="00C47C5C">
        <w:rPr>
          <w:rFonts w:cs="Times New Roman"/>
          <w:sz w:val="20"/>
          <w:szCs w:val="20"/>
        </w:rPr>
        <w:t>ksilena</w:t>
      </w:r>
      <w:r w:rsidRPr="00C47C5C">
        <w:rPr>
          <w:rFonts w:cs="Times New Roman"/>
          <w:sz w:val="20"/>
          <w:szCs w:val="20"/>
        </w:rPr>
        <w:t xml:space="preserve"> u trajanju 2x10 minuta te silazni red alkohola: 100% EtOH 2x5 minuta, 96% EtOH 2x5 minuta i 70% EtOH 5 minuta. Uzorci su isprani destiliranom vodom u trajanju od 5 minuta. Radi demaskiranja epitopa uzorci su zagrijavani u </w:t>
      </w:r>
      <w:r w:rsidR="00EC13FD" w:rsidRPr="00C47C5C">
        <w:rPr>
          <w:rFonts w:cs="Times New Roman"/>
          <w:sz w:val="20"/>
          <w:szCs w:val="20"/>
        </w:rPr>
        <w:t>citratnom puferu</w:t>
      </w:r>
      <w:r w:rsidR="00300061" w:rsidRPr="00C47C5C">
        <w:rPr>
          <w:rFonts w:cs="Times New Roman"/>
          <w:sz w:val="20"/>
          <w:szCs w:val="20"/>
        </w:rPr>
        <w:t>, pH 6,</w:t>
      </w:r>
      <w:r w:rsidR="00EC13FD" w:rsidRPr="00C47C5C">
        <w:rPr>
          <w:rFonts w:cs="Times New Roman"/>
          <w:sz w:val="20"/>
          <w:szCs w:val="20"/>
        </w:rPr>
        <w:t xml:space="preserve"> </w:t>
      </w:r>
      <w:r w:rsidRPr="00C47C5C">
        <w:rPr>
          <w:rFonts w:cs="Times New Roman"/>
          <w:sz w:val="20"/>
          <w:szCs w:val="20"/>
        </w:rPr>
        <w:t>u vodenoj kupelji 20 minuta. Nakon kuhanja uzorci su ostavljeni 30 minuta na sobnoj temperaturi kako bi se postupno ohladili. Ohlađeni uzorci isprani su TBS puferom u trajanju 2x5 minuta</w:t>
      </w:r>
      <w:r w:rsidR="00692926" w:rsidRPr="00C47C5C">
        <w:rPr>
          <w:rFonts w:cs="Times New Roman"/>
          <w:sz w:val="20"/>
          <w:szCs w:val="20"/>
        </w:rPr>
        <w:t>.</w:t>
      </w:r>
    </w:p>
    <w:p w:rsidR="00EB02A7" w:rsidRPr="00C47C5C" w:rsidRDefault="00EC13FD" w:rsidP="00C47C5C">
      <w:pPr>
        <w:pStyle w:val="Heading3"/>
        <w:spacing w:after="300"/>
        <w:ind w:left="340"/>
        <w:rPr>
          <w:rFonts w:cs="Times New Roman"/>
          <w:szCs w:val="24"/>
        </w:rPr>
      </w:pPr>
      <w:bookmarkStart w:id="9" w:name="_Toc7695568"/>
      <w:r>
        <w:t xml:space="preserve">4.2.2. </w:t>
      </w:r>
      <w:r w:rsidR="00224F74">
        <w:t>Postupak i</w:t>
      </w:r>
      <w:r w:rsidR="00E454B0">
        <w:t>munohistokemijsko</w:t>
      </w:r>
      <w:r w:rsidR="00224F74">
        <w:t>g bojenja</w:t>
      </w:r>
      <w:bookmarkEnd w:id="9"/>
    </w:p>
    <w:p w:rsidR="003F4DDB" w:rsidRPr="00C47C5C" w:rsidRDefault="00692926" w:rsidP="00FC5A3E">
      <w:pPr>
        <w:spacing w:line="360" w:lineRule="auto"/>
        <w:jc w:val="both"/>
        <w:rPr>
          <w:rFonts w:cs="Times New Roman"/>
          <w:sz w:val="20"/>
          <w:szCs w:val="20"/>
        </w:rPr>
      </w:pPr>
      <w:r w:rsidRPr="00C47C5C">
        <w:rPr>
          <w:rFonts w:cs="Times New Roman"/>
          <w:sz w:val="20"/>
          <w:szCs w:val="20"/>
        </w:rPr>
        <w:t xml:space="preserve">Kako bi se blokiralo djelovanje endogene peroksidaze, uzorci su tretirani 3%-tnom otopinom vodikova peroksida u mraku tijekom 20 minuta. Zatim su uzorci isprani TBS puferom u trajanju 2x5 minuta. </w:t>
      </w:r>
      <w:r w:rsidR="00EB02A7" w:rsidRPr="00C47C5C">
        <w:rPr>
          <w:rFonts w:cs="Times New Roman"/>
          <w:sz w:val="20"/>
          <w:szCs w:val="20"/>
        </w:rPr>
        <w:t>Nakon opisane pripreme uzorci su tretirani optimalno razrijeđenim primarnim protutijelom (afinitetno pročišćeni zečji IgG pro</w:t>
      </w:r>
      <w:r w:rsidR="00EC13FD" w:rsidRPr="00C47C5C">
        <w:rPr>
          <w:rFonts w:cs="Times New Roman"/>
          <w:sz w:val="20"/>
          <w:szCs w:val="20"/>
        </w:rPr>
        <w:t>tiv humanog PTX3 proteina, razrjeđenje</w:t>
      </w:r>
      <w:r w:rsidR="00EB02A7" w:rsidRPr="00C47C5C">
        <w:rPr>
          <w:rFonts w:cs="Times New Roman"/>
          <w:sz w:val="20"/>
          <w:szCs w:val="20"/>
        </w:rPr>
        <w:t xml:space="preserve"> 1:350) preko noći u hladnjaku na temperaturi od 4°C. Nakon inkubacije uzorci su isprani TBS puferom u trajanju 2x5 minuta. Za detekciju primarnog protutijela korišten je Dako REAL</w:t>
      </w:r>
      <w:r w:rsidR="00A97400" w:rsidRPr="00C47C5C">
        <w:rPr>
          <w:rFonts w:cs="Times New Roman"/>
          <w:sz w:val="20"/>
          <w:szCs w:val="20"/>
        </w:rPr>
        <w:t>™</w:t>
      </w:r>
      <w:r w:rsidR="00EB02A7" w:rsidRPr="00C47C5C">
        <w:rPr>
          <w:rFonts w:cs="Times New Roman"/>
          <w:sz w:val="20"/>
          <w:szCs w:val="20"/>
        </w:rPr>
        <w:t xml:space="preserve"> En</w:t>
      </w:r>
      <w:r w:rsidR="001A09B8" w:rsidRPr="00C47C5C">
        <w:rPr>
          <w:rFonts w:cs="Times New Roman"/>
          <w:sz w:val="20"/>
          <w:szCs w:val="20"/>
        </w:rPr>
        <w:t>Vision</w:t>
      </w:r>
      <w:r w:rsidR="00A97400" w:rsidRPr="00C47C5C">
        <w:rPr>
          <w:rFonts w:cs="Times New Roman"/>
          <w:sz w:val="20"/>
          <w:szCs w:val="20"/>
        </w:rPr>
        <w:t>™</w:t>
      </w:r>
      <w:r w:rsidR="001A09B8" w:rsidRPr="00C47C5C">
        <w:rPr>
          <w:rFonts w:cs="Times New Roman"/>
          <w:sz w:val="20"/>
          <w:szCs w:val="20"/>
        </w:rPr>
        <w:t xml:space="preserve"> Detection S</w:t>
      </w:r>
      <w:r w:rsidR="001A0F25" w:rsidRPr="00C47C5C">
        <w:rPr>
          <w:rFonts w:cs="Times New Roman"/>
          <w:sz w:val="20"/>
          <w:szCs w:val="20"/>
        </w:rPr>
        <w:t xml:space="preserve">ystem </w:t>
      </w:r>
      <w:r w:rsidR="00EB02A7" w:rsidRPr="00C47C5C">
        <w:rPr>
          <w:rFonts w:cs="Times New Roman"/>
          <w:sz w:val="20"/>
          <w:szCs w:val="20"/>
        </w:rPr>
        <w:t>(DakoCytomation, Carpinteria, USA) uz uporabu  sekundarnog kozjeg  protutijela n</w:t>
      </w:r>
      <w:r w:rsidR="00AD6D8A" w:rsidRPr="00C47C5C">
        <w:rPr>
          <w:rFonts w:cs="Times New Roman"/>
          <w:sz w:val="20"/>
          <w:szCs w:val="20"/>
        </w:rPr>
        <w:t xml:space="preserve">a zečji IgG obilježenog s HRP </w:t>
      </w:r>
      <w:r w:rsidR="00EB02A7" w:rsidRPr="00C47C5C">
        <w:rPr>
          <w:rFonts w:cs="Times New Roman"/>
          <w:sz w:val="20"/>
          <w:szCs w:val="20"/>
        </w:rPr>
        <w:t>(engl.</w:t>
      </w:r>
      <w:r w:rsidR="009928DE" w:rsidRPr="00C47C5C">
        <w:rPr>
          <w:rFonts w:cs="Times New Roman"/>
          <w:sz w:val="20"/>
          <w:szCs w:val="20"/>
        </w:rPr>
        <w:t xml:space="preserve"> horse</w:t>
      </w:r>
      <w:r w:rsidR="00EB02A7" w:rsidRPr="00C47C5C">
        <w:rPr>
          <w:rFonts w:cs="Times New Roman"/>
          <w:sz w:val="20"/>
          <w:szCs w:val="20"/>
        </w:rPr>
        <w:t>radish</w:t>
      </w:r>
      <w:r w:rsidR="00EB02A7" w:rsidRPr="00EB02A7">
        <w:rPr>
          <w:rFonts w:cs="Times New Roman"/>
          <w:szCs w:val="24"/>
        </w:rPr>
        <w:t xml:space="preserve"> </w:t>
      </w:r>
      <w:r w:rsidR="00EB02A7" w:rsidRPr="00C47C5C">
        <w:rPr>
          <w:rFonts w:cs="Times New Roman"/>
          <w:sz w:val="20"/>
          <w:szCs w:val="20"/>
        </w:rPr>
        <w:t>peroxidase). Nakon inkubacije u trajanju od 30 minuta sekundarno protutijelo isprano je TBS puferom u trajanju 2x5 minuta. Za vizualizaciju mjesta imunološke reakcije korišt</w:t>
      </w:r>
      <w:r w:rsidR="001A09B8" w:rsidRPr="00C47C5C">
        <w:rPr>
          <w:rFonts w:cs="Times New Roman"/>
          <w:sz w:val="20"/>
          <w:szCs w:val="20"/>
        </w:rPr>
        <w:t>ena je otopina supstrat-kromogen</w:t>
      </w:r>
      <w:r w:rsidR="00EB02A7" w:rsidRPr="00C47C5C">
        <w:rPr>
          <w:rFonts w:cs="Times New Roman"/>
          <w:sz w:val="20"/>
          <w:szCs w:val="20"/>
        </w:rPr>
        <w:t xml:space="preserve"> u kojoj</w:t>
      </w:r>
      <w:r w:rsidR="00EB02A7" w:rsidRPr="00EB02A7">
        <w:rPr>
          <w:rFonts w:cs="Times New Roman"/>
          <w:szCs w:val="24"/>
        </w:rPr>
        <w:t xml:space="preserve"> </w:t>
      </w:r>
      <w:r w:rsidR="00EB02A7" w:rsidRPr="00C47C5C">
        <w:rPr>
          <w:rFonts w:cs="Times New Roman"/>
          <w:sz w:val="20"/>
          <w:szCs w:val="20"/>
        </w:rPr>
        <w:t>funkciju supstrata imaju koncentrirani TrisHCl-pufer i 0.8%-tna otopina vodikova peroksida, a kao kromogen korišten je 3,3'-diaminobenzidin tetrahidroklorid (DAB). Primjena kompleksa supstrat-kromoge</w:t>
      </w:r>
      <w:r w:rsidR="00FE565C" w:rsidRPr="00C47C5C">
        <w:rPr>
          <w:rFonts w:cs="Times New Roman"/>
          <w:sz w:val="20"/>
          <w:szCs w:val="20"/>
        </w:rPr>
        <w:t>n rezultira nastajanjem netopi</w:t>
      </w:r>
      <w:r w:rsidR="00EB02A7" w:rsidRPr="00C47C5C">
        <w:rPr>
          <w:rFonts w:cs="Times New Roman"/>
          <w:sz w:val="20"/>
          <w:szCs w:val="20"/>
        </w:rPr>
        <w:t>vog sm</w:t>
      </w:r>
      <w:r w:rsidR="001A09B8" w:rsidRPr="00C47C5C">
        <w:rPr>
          <w:rFonts w:cs="Times New Roman"/>
          <w:sz w:val="20"/>
          <w:szCs w:val="20"/>
        </w:rPr>
        <w:t xml:space="preserve">eđeg precipitata na </w:t>
      </w:r>
      <w:r w:rsidR="00EB02A7" w:rsidRPr="00C47C5C">
        <w:rPr>
          <w:rFonts w:cs="Times New Roman"/>
          <w:sz w:val="20"/>
          <w:szCs w:val="20"/>
        </w:rPr>
        <w:t>mjestu</w:t>
      </w:r>
      <w:r w:rsidR="001A09B8" w:rsidRPr="00C47C5C">
        <w:rPr>
          <w:rFonts w:cs="Times New Roman"/>
          <w:sz w:val="20"/>
          <w:szCs w:val="20"/>
        </w:rPr>
        <w:t xml:space="preserve"> vezanja primarnog protutijela s antigenom</w:t>
      </w:r>
      <w:r w:rsidR="00EB02A7" w:rsidRPr="00C47C5C">
        <w:rPr>
          <w:rFonts w:cs="Times New Roman"/>
          <w:sz w:val="20"/>
          <w:szCs w:val="20"/>
        </w:rPr>
        <w:t xml:space="preserve">. Nakon inkubacije u trajanju od 10 minuta </w:t>
      </w:r>
      <w:r w:rsidR="00EB02A7" w:rsidRPr="00C47C5C">
        <w:rPr>
          <w:rFonts w:cs="Times New Roman"/>
          <w:sz w:val="20"/>
          <w:szCs w:val="20"/>
        </w:rPr>
        <w:lastRenderedPageBreak/>
        <w:t xml:space="preserve">uzorci su isprani vodovodnom, a potom i destiliranom vodom. Uzorci su kontrastirani hematoksilinom 30 sekundi, a potom isprani vodovodnom i destiliranom vodom. Na kraju obrade uzorke je potrebno dehidrirati provođenjem kroz uzlazni red alkohola: nekoliko urona u 70% EtOH, nekoliko urona u 96% EtOH, 1 minutu u 100% EtOH I i 2 minute u 100% EtOH II. Bistrenje preparata provodi se kroz red </w:t>
      </w:r>
      <w:r w:rsidR="005E29E2" w:rsidRPr="00C47C5C">
        <w:rPr>
          <w:rFonts w:cs="Times New Roman"/>
          <w:sz w:val="20"/>
          <w:szCs w:val="20"/>
        </w:rPr>
        <w:t xml:space="preserve">ksilena </w:t>
      </w:r>
      <w:r w:rsidR="00EB02A7" w:rsidRPr="00C47C5C">
        <w:rPr>
          <w:rFonts w:cs="Times New Roman"/>
          <w:sz w:val="20"/>
          <w:szCs w:val="20"/>
        </w:rPr>
        <w:t>u trajanju 2x10 minuta. Obrada završava pokrivanjem pokrovnim sta</w:t>
      </w:r>
      <w:r w:rsidR="00547319" w:rsidRPr="00C47C5C">
        <w:rPr>
          <w:rFonts w:cs="Times New Roman"/>
          <w:sz w:val="20"/>
          <w:szCs w:val="20"/>
        </w:rPr>
        <w:t>kalcem i medijem za pokrivanje.</w:t>
      </w:r>
      <w:r w:rsidR="00547319" w:rsidRPr="00C47C5C">
        <w:rPr>
          <w:sz w:val="20"/>
          <w:szCs w:val="20"/>
        </w:rPr>
        <w:t xml:space="preserve"> </w:t>
      </w:r>
      <w:r w:rsidR="00547319" w:rsidRPr="00C47C5C">
        <w:rPr>
          <w:rFonts w:cs="Times New Roman"/>
          <w:sz w:val="20"/>
          <w:szCs w:val="20"/>
        </w:rPr>
        <w:t>Kao negativna kontrola korišteni su uzorci podvrgnuti istom postupku, ali je umjesto primarnog protutijela korišten TBS.</w:t>
      </w:r>
    </w:p>
    <w:p w:rsidR="00EB02A7" w:rsidRPr="00EB02A7" w:rsidRDefault="004E43D4" w:rsidP="004E43D4">
      <w:pPr>
        <w:pStyle w:val="Heading3"/>
        <w:spacing w:after="300"/>
        <w:ind w:left="340"/>
      </w:pPr>
      <w:bookmarkStart w:id="10" w:name="_Toc7695569"/>
      <w:r>
        <w:t>4.2</w:t>
      </w:r>
      <w:r w:rsidR="00EB02A7" w:rsidRPr="00EB02A7">
        <w:t>.</w:t>
      </w:r>
      <w:r>
        <w:t xml:space="preserve">3. </w:t>
      </w:r>
      <w:r w:rsidR="00EB02A7" w:rsidRPr="00EB02A7">
        <w:t>Semikvantitativna analiza</w:t>
      </w:r>
      <w:r>
        <w:t xml:space="preserve"> imunohistokemijske ekspresije PTX3</w:t>
      </w:r>
      <w:r w:rsidR="0089329E">
        <w:t xml:space="preserve"> proteina</w:t>
      </w:r>
      <w:bookmarkEnd w:id="10"/>
    </w:p>
    <w:p w:rsidR="00EB02A7" w:rsidRPr="00C47C5C" w:rsidRDefault="004E43D4" w:rsidP="00FC5A3E">
      <w:pPr>
        <w:spacing w:line="360" w:lineRule="auto"/>
        <w:jc w:val="both"/>
        <w:rPr>
          <w:rFonts w:cs="Times New Roman"/>
          <w:sz w:val="20"/>
          <w:szCs w:val="20"/>
        </w:rPr>
      </w:pPr>
      <w:r w:rsidRPr="00C47C5C">
        <w:rPr>
          <w:rFonts w:cs="Times New Roman"/>
          <w:sz w:val="20"/>
          <w:szCs w:val="20"/>
        </w:rPr>
        <w:t xml:space="preserve">Ekspresija </w:t>
      </w:r>
      <w:r w:rsidR="0089329E" w:rsidRPr="00C47C5C">
        <w:rPr>
          <w:rFonts w:cs="Times New Roman"/>
          <w:sz w:val="20"/>
          <w:szCs w:val="20"/>
        </w:rPr>
        <w:t xml:space="preserve">proteina </w:t>
      </w:r>
      <w:r w:rsidRPr="00C47C5C">
        <w:rPr>
          <w:rFonts w:cs="Times New Roman"/>
          <w:sz w:val="20"/>
          <w:szCs w:val="20"/>
        </w:rPr>
        <w:t>utvrđena je svjetlosnim mikroskopom (</w:t>
      </w:r>
      <w:proofErr w:type="spellStart"/>
      <w:r w:rsidR="00604EDE">
        <w:rPr>
          <w:rFonts w:cs="Times New Roman"/>
          <w:sz w:val="20"/>
          <w:szCs w:val="20"/>
        </w:rPr>
        <w:t>Olympus</w:t>
      </w:r>
      <w:proofErr w:type="spellEnd"/>
      <w:r w:rsidR="00604EDE">
        <w:rPr>
          <w:rFonts w:cs="Times New Roman"/>
          <w:sz w:val="20"/>
          <w:szCs w:val="20"/>
        </w:rPr>
        <w:t xml:space="preserve"> CX21</w:t>
      </w:r>
      <w:r w:rsidRPr="00604EDE">
        <w:rPr>
          <w:rFonts w:cs="Times New Roman"/>
          <w:sz w:val="20"/>
          <w:szCs w:val="20"/>
        </w:rPr>
        <w:t xml:space="preserve">) </w:t>
      </w:r>
      <w:r w:rsidRPr="00C47C5C">
        <w:rPr>
          <w:rFonts w:cs="Times New Roman"/>
          <w:sz w:val="20"/>
          <w:szCs w:val="20"/>
        </w:rPr>
        <w:t xml:space="preserve">tehnikom </w:t>
      </w:r>
      <w:proofErr w:type="spellStart"/>
      <w:r w:rsidRPr="00C47C5C">
        <w:rPr>
          <w:rFonts w:cs="Times New Roman"/>
          <w:sz w:val="20"/>
          <w:szCs w:val="20"/>
        </w:rPr>
        <w:t>semikvantitativne</w:t>
      </w:r>
      <w:proofErr w:type="spellEnd"/>
      <w:r w:rsidRPr="00C47C5C">
        <w:rPr>
          <w:rFonts w:cs="Times New Roman"/>
          <w:sz w:val="20"/>
          <w:szCs w:val="20"/>
        </w:rPr>
        <w:t xml:space="preserve"> analize. </w:t>
      </w:r>
      <w:r w:rsidR="00EB02A7" w:rsidRPr="00C47C5C">
        <w:rPr>
          <w:rFonts w:cs="Times New Roman"/>
          <w:sz w:val="20"/>
          <w:szCs w:val="20"/>
        </w:rPr>
        <w:t xml:space="preserve">Evaluacija imunohistokemijske reakcije provedena je određivanjem imunoreaktivnog skora, kako su </w:t>
      </w:r>
      <w:r w:rsidR="006C1D07" w:rsidRPr="00C47C5C">
        <w:rPr>
          <w:rFonts w:cs="Times New Roman"/>
          <w:sz w:val="20"/>
          <w:szCs w:val="20"/>
        </w:rPr>
        <w:t xml:space="preserve">predložili Remmele i Stegner </w:t>
      </w:r>
      <w:r w:rsidR="006C1D07" w:rsidRPr="00C47C5C">
        <w:rPr>
          <w:rFonts w:cs="Times New Roman"/>
          <w:sz w:val="20"/>
          <w:szCs w:val="20"/>
        </w:rPr>
        <w:fldChar w:fldCharType="begin" w:fldLock="1"/>
      </w:r>
      <w:r w:rsidR="00F41B60">
        <w:rPr>
          <w:rFonts w:cs="Times New Roman"/>
          <w:sz w:val="20"/>
          <w:szCs w:val="20"/>
        </w:rPr>
        <w:instrText>ADDIN CSL_CITATION {"citationItems":[{"id":"ITEM-1","itemData":{"author":[{"dropping-particle":"Der","family":"Lra","given":"Mammakarzinomgewebe","non-dropping-particle":"","parse-names":false,"suffix":""},{"dropping-particle":"","family":"Mammatumoren","given":"Regel","non-dropping-particle":"","parse-names":false,"suffix":""},{"dropping-particle":"","family":"Lra","given":"Der","non-dropping-particle":"","parse-names":false,"suffix":""},{"dropping-particle":"","family":"Klein","given":"Herrn","non-dropping-particle":"","parse-names":false,"suffix":""},{"dropping-particle":"","family":"Assay","given":"Dextran-coated Charcoal","non-dropping-particle":"","parse-names":false,"suffix":""},{"dropping-particle":"","family":"Hinweise","given":"Weitere","non-dropping-particle":"","parse-names":false,"suffix":""},{"dropping-particle":"","family":"Enzyme-linked","given":"Estrogen Receptor","non-dropping-particle":"","parse-names":false,"suffix":""},{"dropping-particle":"","family":"La-","given":"Abbott","non-dropping-particle":"","parse-names":false,"suffix":""}],"id":"ITEM-1","issue":"November","issued":{"date-parts":[["1986"]]},"title":"Immunhistochemischer Nachweis von Östrogenrezeptoren ( ER-ICA ) im Mammakarzinomgewebe : Vorschlag zur einheitlichen Formulierung","type":"article-journal"},"uris":["http://www.mendeley.com/documents/?uuid=3e1c76e7-b350-4d91-a7d2-9882c9c59c0c"]}],"mendeley":{"formattedCitation":"(Lra &lt;i&gt;et al.&lt;/i&gt;, 1986)","manualFormatting":"(Lra i sur., 1986)","plainTextFormattedCitation":"(Lra et al., 1986)","previouslyFormattedCitation":"(Lra &lt;i&gt;et al.&lt;/i&gt;, 1986)"},"properties":{"noteIndex":0},"schema":"https://github.com/citation-style-language/schema/raw/master/csl-citation.json"}</w:instrText>
      </w:r>
      <w:r w:rsidR="006C1D07" w:rsidRPr="00C47C5C">
        <w:rPr>
          <w:rFonts w:cs="Times New Roman"/>
          <w:sz w:val="20"/>
          <w:szCs w:val="20"/>
        </w:rPr>
        <w:fldChar w:fldCharType="separate"/>
      </w:r>
      <w:r w:rsidR="006C1D07" w:rsidRPr="00C47C5C">
        <w:rPr>
          <w:rFonts w:cs="Times New Roman"/>
          <w:noProof/>
          <w:sz w:val="20"/>
          <w:szCs w:val="20"/>
        </w:rPr>
        <w:t xml:space="preserve">(Lra </w:t>
      </w:r>
      <w:r w:rsidR="003F4A87">
        <w:rPr>
          <w:rFonts w:cs="Times New Roman"/>
          <w:i/>
          <w:noProof/>
          <w:sz w:val="20"/>
          <w:szCs w:val="20"/>
        </w:rPr>
        <w:t>i sur.,</w:t>
      </w:r>
      <w:r w:rsidR="006C1D07" w:rsidRPr="00C47C5C">
        <w:rPr>
          <w:rFonts w:cs="Times New Roman"/>
          <w:noProof/>
          <w:sz w:val="20"/>
          <w:szCs w:val="20"/>
        </w:rPr>
        <w:t xml:space="preserve"> 1986)</w:t>
      </w:r>
      <w:r w:rsidR="006C1D07" w:rsidRPr="00C47C5C">
        <w:rPr>
          <w:rFonts w:cs="Times New Roman"/>
          <w:sz w:val="20"/>
          <w:szCs w:val="20"/>
        </w:rPr>
        <w:fldChar w:fldCharType="end"/>
      </w:r>
      <w:r w:rsidR="00EB02A7" w:rsidRPr="00C47C5C">
        <w:rPr>
          <w:rFonts w:cs="Times New Roman"/>
          <w:sz w:val="20"/>
          <w:szCs w:val="20"/>
        </w:rPr>
        <w:t>: IRS (immunoreactive score) = SI (staining intensity) x PP (percentage of positive cells). SI je definiran kao 0, negativan; 1, slab; 2, umjeren; i 3, jak. PP je definiran kao 0, negativan; 1, do 10% pozitivnih stanica; 2, 11 – 50% pozitivnih stanica; 3, 51 – 80% pozitivnih stanica; i 4, više od 80% pozitivnih stanica. Analizirano je deset vidnih polja povećanja 400x iz razl</w:t>
      </w:r>
      <w:r w:rsidR="00AD6D8A" w:rsidRPr="00C47C5C">
        <w:rPr>
          <w:rFonts w:cs="Times New Roman"/>
          <w:sz w:val="20"/>
          <w:szCs w:val="20"/>
        </w:rPr>
        <w:t xml:space="preserve">ičitih dijelova svakog uzorka. </w:t>
      </w:r>
    </w:p>
    <w:p w:rsidR="00EB02A7" w:rsidRPr="00EB02A7" w:rsidRDefault="00EB02A7" w:rsidP="00AD6D8A">
      <w:pPr>
        <w:pStyle w:val="Heading2"/>
        <w:spacing w:after="300"/>
        <w:ind w:left="284"/>
      </w:pPr>
      <w:bookmarkStart w:id="11" w:name="_Toc7695570"/>
      <w:r w:rsidRPr="00EB02A7">
        <w:t>4.4. Izolacija RNA, reverzna transkripcija i qRT-PCR</w:t>
      </w:r>
      <w:bookmarkEnd w:id="11"/>
    </w:p>
    <w:p w:rsidR="00DF1E8F" w:rsidRPr="00C47C5C" w:rsidRDefault="00EB02A7" w:rsidP="00FC5A3E">
      <w:pPr>
        <w:spacing w:line="360" w:lineRule="auto"/>
        <w:jc w:val="both"/>
        <w:rPr>
          <w:rFonts w:cs="Times New Roman"/>
          <w:sz w:val="20"/>
          <w:szCs w:val="20"/>
        </w:rPr>
      </w:pPr>
      <w:r w:rsidRPr="00C47C5C">
        <w:rPr>
          <w:rFonts w:cs="Times New Roman"/>
          <w:sz w:val="20"/>
          <w:szCs w:val="20"/>
        </w:rPr>
        <w:t xml:space="preserve">Ukupna RNA izolirana je iz parafinskih rezova (5x5 μm) arhivskih tkivnih </w:t>
      </w:r>
      <w:r w:rsidR="00D621B6" w:rsidRPr="00C47C5C">
        <w:rPr>
          <w:rFonts w:cs="Times New Roman"/>
          <w:sz w:val="20"/>
          <w:szCs w:val="20"/>
        </w:rPr>
        <w:t>blokova difuznog karcinoma želu</w:t>
      </w:r>
      <w:r w:rsidRPr="00C47C5C">
        <w:rPr>
          <w:rFonts w:cs="Times New Roman"/>
          <w:sz w:val="20"/>
          <w:szCs w:val="20"/>
        </w:rPr>
        <w:t>ca (n = 19)  i kontrol</w:t>
      </w:r>
      <w:r w:rsidR="003F4DDB" w:rsidRPr="00C47C5C">
        <w:rPr>
          <w:rFonts w:cs="Times New Roman"/>
          <w:sz w:val="20"/>
          <w:szCs w:val="20"/>
        </w:rPr>
        <w:t>nog</w:t>
      </w:r>
      <w:r w:rsidR="00FE565C" w:rsidRPr="00C47C5C">
        <w:rPr>
          <w:rFonts w:cs="Times New Roman"/>
          <w:sz w:val="20"/>
          <w:szCs w:val="20"/>
        </w:rPr>
        <w:t xml:space="preserve"> netumorskog</w:t>
      </w:r>
      <w:r w:rsidR="003F4DDB" w:rsidRPr="00C47C5C">
        <w:rPr>
          <w:rFonts w:cs="Times New Roman"/>
          <w:sz w:val="20"/>
          <w:szCs w:val="20"/>
        </w:rPr>
        <w:t xml:space="preserve"> tkiva (n</w:t>
      </w:r>
      <w:r w:rsidR="00FE565C" w:rsidRPr="00C47C5C">
        <w:rPr>
          <w:rFonts w:cs="Times New Roman"/>
          <w:sz w:val="20"/>
          <w:szCs w:val="20"/>
        </w:rPr>
        <w:t xml:space="preserve"> </w:t>
      </w:r>
      <w:r w:rsidR="003F4DDB" w:rsidRPr="00C47C5C">
        <w:rPr>
          <w:rFonts w:cs="Times New Roman"/>
          <w:sz w:val="20"/>
          <w:szCs w:val="20"/>
        </w:rPr>
        <w:t>= 19) sluznice želu</w:t>
      </w:r>
      <w:r w:rsidRPr="00C47C5C">
        <w:rPr>
          <w:rFonts w:cs="Times New Roman"/>
          <w:sz w:val="20"/>
          <w:szCs w:val="20"/>
        </w:rPr>
        <w:t xml:space="preserve">ca. </w:t>
      </w:r>
      <w:r w:rsidR="00AD6D8A" w:rsidRPr="00C47C5C">
        <w:rPr>
          <w:rFonts w:cs="Times New Roman"/>
          <w:sz w:val="20"/>
          <w:szCs w:val="20"/>
        </w:rPr>
        <w:t xml:space="preserve">Tkivni rezovi </w:t>
      </w:r>
      <w:r w:rsidR="00D621B6" w:rsidRPr="00C47C5C">
        <w:rPr>
          <w:rFonts w:cs="Times New Roman"/>
          <w:sz w:val="20"/>
          <w:szCs w:val="20"/>
        </w:rPr>
        <w:t xml:space="preserve">najprije </w:t>
      </w:r>
      <w:r w:rsidR="00AD6D8A" w:rsidRPr="00C47C5C">
        <w:rPr>
          <w:rFonts w:cs="Times New Roman"/>
          <w:sz w:val="20"/>
          <w:szCs w:val="20"/>
        </w:rPr>
        <w:t xml:space="preserve">su </w:t>
      </w:r>
      <w:r w:rsidRPr="00C47C5C">
        <w:rPr>
          <w:rFonts w:cs="Times New Roman"/>
          <w:sz w:val="20"/>
          <w:szCs w:val="20"/>
        </w:rPr>
        <w:t>deparafiniz</w:t>
      </w:r>
      <w:r w:rsidR="00AD6D8A" w:rsidRPr="00C47C5C">
        <w:rPr>
          <w:rFonts w:cs="Times New Roman"/>
          <w:sz w:val="20"/>
          <w:szCs w:val="20"/>
        </w:rPr>
        <w:t>i</w:t>
      </w:r>
      <w:r w:rsidR="00B479A8" w:rsidRPr="00C47C5C">
        <w:rPr>
          <w:rFonts w:cs="Times New Roman"/>
          <w:sz w:val="20"/>
          <w:szCs w:val="20"/>
        </w:rPr>
        <w:t>rani inkubacijom kroz 3 minute na 50°C u 1 ml</w:t>
      </w:r>
      <w:r w:rsidRPr="00C47C5C">
        <w:rPr>
          <w:rFonts w:cs="Times New Roman"/>
          <w:sz w:val="20"/>
          <w:szCs w:val="20"/>
        </w:rPr>
        <w:t xml:space="preserve"> ksilena (Invitrogen, SAD) te zatim centrifugirani 5 minuta na maksimalnom broju okretaja (15 000 rpm). Nakon toga odbačen je supernatant</w:t>
      </w:r>
      <w:r w:rsidR="00DF1E8F" w:rsidRPr="00C47C5C">
        <w:rPr>
          <w:rFonts w:cs="Times New Roman"/>
          <w:sz w:val="20"/>
          <w:szCs w:val="20"/>
        </w:rPr>
        <w:t>,</w:t>
      </w:r>
      <w:r w:rsidRPr="00C47C5C">
        <w:rPr>
          <w:rFonts w:cs="Times New Roman"/>
          <w:sz w:val="20"/>
          <w:szCs w:val="20"/>
        </w:rPr>
        <w:t xml:space="preserve"> a tkivni pelet ispran</w:t>
      </w:r>
      <w:r w:rsidR="00DF1E8F" w:rsidRPr="00C47C5C">
        <w:rPr>
          <w:rFonts w:cs="Times New Roman"/>
          <w:sz w:val="20"/>
          <w:szCs w:val="20"/>
        </w:rPr>
        <w:t xml:space="preserve"> je</w:t>
      </w:r>
      <w:r w:rsidRPr="00C47C5C">
        <w:rPr>
          <w:rFonts w:cs="Times New Roman"/>
          <w:sz w:val="20"/>
          <w:szCs w:val="20"/>
        </w:rPr>
        <w:t xml:space="preserve"> u 1ml apsolutnog etanola. Uzorci tkiva potom su inkubirani preko noći na 55°C</w:t>
      </w:r>
      <w:r w:rsidR="00B479A8" w:rsidRPr="00C47C5C">
        <w:rPr>
          <w:rFonts w:cs="Times New Roman"/>
          <w:sz w:val="20"/>
          <w:szCs w:val="20"/>
        </w:rPr>
        <w:t xml:space="preserve"> u 300 μL digestijskog pufera s</w:t>
      </w:r>
      <w:r w:rsidRPr="00C47C5C">
        <w:rPr>
          <w:rFonts w:cs="Times New Roman"/>
          <w:sz w:val="20"/>
          <w:szCs w:val="20"/>
        </w:rPr>
        <w:t xml:space="preserve"> proteazom K [20 mM Tris-HCl (pH 8.0); 1 mM CaCl2; 0.5% natrij dodecil sulfata i 500 μg/ml proteza K]. Ukupna RNA potom je izolirana uporabom Trizol reagensa (Invitrogen Life Technologies, Carlsbad, CA, SAD) slijedeći upute proizvođača. Kvaliteta i kvantiteta izolirane ukupne RNA određena je uporabom spektrofotometra NanoDrop 2000 (Thermo Fisher Scientific, SAD). 2 μg ukupne RNA svakog uzorka tkiva prepisano je u cD</w:t>
      </w:r>
      <w:r w:rsidR="00B479A8" w:rsidRPr="00C47C5C">
        <w:rPr>
          <w:rFonts w:cs="Times New Roman"/>
          <w:sz w:val="20"/>
          <w:szCs w:val="20"/>
        </w:rPr>
        <w:t xml:space="preserve">NA uporabom </w:t>
      </w:r>
      <w:r w:rsidRPr="00C47C5C">
        <w:rPr>
          <w:rFonts w:cs="Times New Roman"/>
          <w:sz w:val="20"/>
          <w:szCs w:val="20"/>
        </w:rPr>
        <w:t>The high capacity cDNA Reverse Transcription kit-a (Applied Biosystems,</w:t>
      </w:r>
      <w:r w:rsidR="00B479A8" w:rsidRPr="00C47C5C">
        <w:rPr>
          <w:rFonts w:cs="Times New Roman"/>
          <w:sz w:val="20"/>
          <w:szCs w:val="20"/>
        </w:rPr>
        <w:t xml:space="preserve"> Thermo Fisher Scientific, SAD)</w:t>
      </w:r>
      <w:r w:rsidRPr="00C47C5C">
        <w:rPr>
          <w:rFonts w:cs="Times New Roman"/>
          <w:sz w:val="20"/>
          <w:szCs w:val="20"/>
        </w:rPr>
        <w:t xml:space="preserve"> slijedeći upute proizvođača.  Nakon toga ekspresija </w:t>
      </w:r>
      <w:r w:rsidRPr="00C47C5C">
        <w:rPr>
          <w:rFonts w:cs="Times New Roman"/>
          <w:i/>
          <w:sz w:val="20"/>
          <w:szCs w:val="20"/>
        </w:rPr>
        <w:t xml:space="preserve">PTX3 </w:t>
      </w:r>
      <w:r w:rsidRPr="00C47C5C">
        <w:rPr>
          <w:rFonts w:cs="Times New Roman"/>
          <w:sz w:val="20"/>
          <w:szCs w:val="20"/>
        </w:rPr>
        <w:t>gena na razini mRNA kvantificirana je uporabom CFX-96 qRT-PCR detekcijskog sustava i C100 Thermal cycler (Bio-Rad laboratories, SAD). Sve qRT-PCR reakcije izvedene su u triplikatu uz korištenje TB Green™ Premix Ex Taq™ II (Tli RNaseH Plus PCR master miksa</w:t>
      </w:r>
      <w:r w:rsidR="00B479A8" w:rsidRPr="00C47C5C">
        <w:rPr>
          <w:rFonts w:cs="Times New Roman"/>
          <w:sz w:val="20"/>
          <w:szCs w:val="20"/>
        </w:rPr>
        <w:t xml:space="preserve"> </w:t>
      </w:r>
      <w:r w:rsidRPr="00C47C5C">
        <w:rPr>
          <w:rFonts w:cs="Times New Roman"/>
          <w:sz w:val="20"/>
          <w:szCs w:val="20"/>
        </w:rPr>
        <w:t xml:space="preserve">(Takara </w:t>
      </w:r>
      <w:r w:rsidR="00DF1E8F" w:rsidRPr="00C47C5C">
        <w:rPr>
          <w:rFonts w:cs="Times New Roman"/>
          <w:sz w:val="20"/>
          <w:szCs w:val="20"/>
        </w:rPr>
        <w:t>Biotechnology Co., Ltd.) uz slj</w:t>
      </w:r>
      <w:r w:rsidRPr="00C47C5C">
        <w:rPr>
          <w:rFonts w:cs="Times New Roman"/>
          <w:sz w:val="20"/>
          <w:szCs w:val="20"/>
        </w:rPr>
        <w:t>edeće parametre PCR reakcije: 1</w:t>
      </w:r>
      <w:r w:rsidR="00B479A8" w:rsidRPr="00C47C5C">
        <w:rPr>
          <w:rFonts w:cs="Times New Roman"/>
          <w:sz w:val="20"/>
          <w:szCs w:val="20"/>
        </w:rPr>
        <w:t>. korak – d</w:t>
      </w:r>
      <w:r w:rsidRPr="00C47C5C">
        <w:rPr>
          <w:rFonts w:cs="Times New Roman"/>
          <w:sz w:val="20"/>
          <w:szCs w:val="20"/>
        </w:rPr>
        <w:t>ena</w:t>
      </w:r>
      <w:r w:rsidR="00B479A8" w:rsidRPr="00C47C5C">
        <w:rPr>
          <w:rFonts w:cs="Times New Roman"/>
          <w:sz w:val="20"/>
          <w:szCs w:val="20"/>
        </w:rPr>
        <w:t>turacija cDNA: 95</w:t>
      </w:r>
      <w:r w:rsidRPr="00C47C5C">
        <w:rPr>
          <w:rFonts w:cs="Times New Roman"/>
          <w:sz w:val="20"/>
          <w:szCs w:val="20"/>
        </w:rPr>
        <w:t>°C 30s; 2</w:t>
      </w:r>
      <w:r w:rsidR="00B479A8" w:rsidRPr="00C47C5C">
        <w:rPr>
          <w:rFonts w:cs="Times New Roman"/>
          <w:sz w:val="20"/>
          <w:szCs w:val="20"/>
        </w:rPr>
        <w:t>. korak – PCR ciklusi: 95°C 5 s, 60</w:t>
      </w:r>
      <w:r w:rsidRPr="00C47C5C">
        <w:rPr>
          <w:rFonts w:cs="Times New Roman"/>
          <w:sz w:val="20"/>
          <w:szCs w:val="20"/>
        </w:rPr>
        <w:t>°C 30 s, 40 ciklusa. Amplifi</w:t>
      </w:r>
      <w:r w:rsidR="00B479A8" w:rsidRPr="00C47C5C">
        <w:rPr>
          <w:rFonts w:cs="Times New Roman"/>
          <w:sz w:val="20"/>
          <w:szCs w:val="20"/>
        </w:rPr>
        <w:t xml:space="preserve">kacijski prag qRT-PCR reakcije </w:t>
      </w:r>
      <w:r w:rsidRPr="00C47C5C">
        <w:rPr>
          <w:rFonts w:cs="Times New Roman"/>
          <w:sz w:val="20"/>
          <w:szCs w:val="20"/>
        </w:rPr>
        <w:t>(Ct, engl</w:t>
      </w:r>
      <w:r w:rsidR="00B479A8" w:rsidRPr="00C47C5C">
        <w:rPr>
          <w:rFonts w:cs="Times New Roman"/>
          <w:sz w:val="20"/>
          <w:szCs w:val="20"/>
        </w:rPr>
        <w:t>.</w:t>
      </w:r>
      <w:r w:rsidRPr="00C47C5C">
        <w:rPr>
          <w:rFonts w:cs="Times New Roman"/>
          <w:sz w:val="20"/>
          <w:szCs w:val="20"/>
        </w:rPr>
        <w:t xml:space="preserve"> cycle treshold ) određen je korištenjem  CFX96 softvera</w:t>
      </w:r>
      <w:r w:rsidR="00B479A8" w:rsidRPr="00C47C5C">
        <w:rPr>
          <w:rFonts w:cs="Times New Roman"/>
          <w:sz w:val="20"/>
          <w:szCs w:val="20"/>
        </w:rPr>
        <w:t>,</w:t>
      </w:r>
      <w:r w:rsidRPr="00C47C5C">
        <w:rPr>
          <w:rFonts w:cs="Times New Roman"/>
          <w:sz w:val="20"/>
          <w:szCs w:val="20"/>
        </w:rPr>
        <w:t xml:space="preserve"> a dobiveni podaci analizirani su uporabom  2-ΔΔCT metode. Relativna ekspresija ciljanog gena normalizirana je prema ekspresij</w:t>
      </w:r>
      <w:r w:rsidR="00B479A8" w:rsidRPr="00C47C5C">
        <w:rPr>
          <w:rFonts w:cs="Times New Roman"/>
          <w:sz w:val="20"/>
          <w:szCs w:val="20"/>
        </w:rPr>
        <w:t>skim vrijednostima gena za beta-</w:t>
      </w:r>
      <w:r w:rsidRPr="00C47C5C">
        <w:rPr>
          <w:rFonts w:cs="Times New Roman"/>
          <w:sz w:val="20"/>
          <w:szCs w:val="20"/>
        </w:rPr>
        <w:t>aktin (ACTB) koji je korišten kao endogena kontrola. Specifičnost qRT-PCR amplifikacije određena je pomoću tzv. „melting curve“ analize. Nukleotidni redoslijed</w:t>
      </w:r>
      <w:r w:rsidR="00DD1BC1" w:rsidRPr="00C47C5C">
        <w:rPr>
          <w:rFonts w:cs="Times New Roman"/>
          <w:sz w:val="20"/>
          <w:szCs w:val="20"/>
        </w:rPr>
        <w:t>i</w:t>
      </w:r>
      <w:r w:rsidRPr="00C47C5C">
        <w:rPr>
          <w:rFonts w:cs="Times New Roman"/>
          <w:sz w:val="20"/>
          <w:szCs w:val="20"/>
        </w:rPr>
        <w:t xml:space="preserve"> početnica kor</w:t>
      </w:r>
      <w:r w:rsidR="007625CE" w:rsidRPr="00C47C5C">
        <w:rPr>
          <w:rFonts w:cs="Times New Roman"/>
          <w:sz w:val="20"/>
          <w:szCs w:val="20"/>
        </w:rPr>
        <w:t xml:space="preserve">ištenih za qRT-PCR reakciju su: </w:t>
      </w:r>
      <w:r w:rsidRPr="00C47C5C">
        <w:rPr>
          <w:rFonts w:cs="Times New Roman"/>
          <w:sz w:val="20"/>
          <w:szCs w:val="20"/>
        </w:rPr>
        <w:t>PTX3 FW: 5-GGGACAAGCTCTTCATCATGCT-3, RW: 5-GTCGTCCGTGGCTTGCA-3 (referentna sekvenca NM_002852.4) ; ACTB FW: 5'-GGGCATGGGTCAGAAGGATT-3' RW: 5'-AGTTGGTGACGATGCCGTG-3' (Referentna sekvenca: NM_001101).</w:t>
      </w:r>
    </w:p>
    <w:p w:rsidR="004307E6" w:rsidRDefault="00DF1E8F" w:rsidP="001F2EE8">
      <w:pPr>
        <w:pStyle w:val="Heading2"/>
        <w:spacing w:after="300"/>
        <w:ind w:left="284"/>
      </w:pPr>
      <w:bookmarkStart w:id="12" w:name="_Toc7695571"/>
      <w:r>
        <w:lastRenderedPageBreak/>
        <w:t>4.5. S</w:t>
      </w:r>
      <w:r w:rsidR="00B279DD">
        <w:t>tatističk</w:t>
      </w:r>
      <w:r w:rsidR="0018202A">
        <w:t>a</w:t>
      </w:r>
      <w:r w:rsidR="005B61A4">
        <w:t xml:space="preserve"> </w:t>
      </w:r>
      <w:r w:rsidR="00B8442B">
        <w:t>obrada podataka</w:t>
      </w:r>
      <w:bookmarkEnd w:id="12"/>
    </w:p>
    <w:p w:rsidR="00B8442B" w:rsidRPr="00B8442B" w:rsidRDefault="00B8442B" w:rsidP="00162375">
      <w:pPr>
        <w:spacing w:line="360" w:lineRule="auto"/>
        <w:jc w:val="both"/>
        <w:rPr>
          <w:sz w:val="20"/>
          <w:szCs w:val="20"/>
        </w:rPr>
      </w:pPr>
      <w:r w:rsidRPr="00B8442B">
        <w:rPr>
          <w:sz w:val="20"/>
          <w:szCs w:val="20"/>
        </w:rPr>
        <w:t>Statistička obrada podataka izvršena je uporabom SPSS statističkog softvera (IBM® SPSS®, trial version). Rezultati su pr</w:t>
      </w:r>
      <w:r>
        <w:rPr>
          <w:sz w:val="20"/>
          <w:szCs w:val="20"/>
        </w:rPr>
        <w:t xml:space="preserve">ikazan kao broj (n) i postotak (%) </w:t>
      </w:r>
      <w:r w:rsidRPr="00B8442B">
        <w:rPr>
          <w:sz w:val="20"/>
          <w:szCs w:val="20"/>
        </w:rPr>
        <w:t xml:space="preserve">za kategoričke varijable te kao srednja vrijednost ± SD (standardna devijacija) za normalno distribuirane varijable. Normalna distribucija varijabli ispitana je primjenom </w:t>
      </w:r>
      <w:r>
        <w:rPr>
          <w:sz w:val="20"/>
          <w:szCs w:val="20"/>
        </w:rPr>
        <w:t>Kolmogorov–Smirnov/Shapiro Wilk</w:t>
      </w:r>
      <w:r w:rsidRPr="00B8442B">
        <w:rPr>
          <w:sz w:val="20"/>
          <w:szCs w:val="20"/>
        </w:rPr>
        <w:t xml:space="preserve"> testa. Veza između demografskih/kliničkih podataka sa ekspresijom PTX3 izvršena je primjenom χ2/Fisher eg</w:t>
      </w:r>
      <w:r>
        <w:rPr>
          <w:sz w:val="20"/>
          <w:szCs w:val="20"/>
        </w:rPr>
        <w:t xml:space="preserve">zaktnog testa za nekontinuirane/kategoričke variable. </w:t>
      </w:r>
      <w:r w:rsidRPr="00B8442B">
        <w:rPr>
          <w:sz w:val="20"/>
          <w:szCs w:val="20"/>
        </w:rPr>
        <w:t>U</w:t>
      </w:r>
      <w:r w:rsidR="00162375">
        <w:rPr>
          <w:sz w:val="20"/>
          <w:szCs w:val="20"/>
        </w:rPr>
        <w:t>sporedba između grupa izvršena je primjenom Student t</w:t>
      </w:r>
      <w:r w:rsidRPr="00B8442B">
        <w:rPr>
          <w:sz w:val="20"/>
          <w:szCs w:val="20"/>
        </w:rPr>
        <w:t xml:space="preserve"> testa za parametrijske odnosno normalno distribu</w:t>
      </w:r>
      <w:r w:rsidR="00162375">
        <w:rPr>
          <w:sz w:val="20"/>
          <w:szCs w:val="20"/>
        </w:rPr>
        <w:t xml:space="preserve">irane varijable te Mann–Whitney </w:t>
      </w:r>
      <w:r w:rsidRPr="00B8442B">
        <w:rPr>
          <w:sz w:val="20"/>
          <w:szCs w:val="20"/>
        </w:rPr>
        <w:t>U/Kruskal–Wallis testa za neparametrijske vari</w:t>
      </w:r>
      <w:r>
        <w:rPr>
          <w:sz w:val="20"/>
          <w:szCs w:val="20"/>
        </w:rPr>
        <w:t xml:space="preserve">jable. </w:t>
      </w:r>
      <w:r w:rsidRPr="00B8442B">
        <w:rPr>
          <w:sz w:val="20"/>
          <w:szCs w:val="20"/>
        </w:rPr>
        <w:t>Vrijednosti P (two-tailed) &lt;0.05 smatraju se  statistički signifikantnima.</w:t>
      </w:r>
    </w:p>
    <w:p w:rsidR="004307E6" w:rsidRDefault="004307E6">
      <w:pPr>
        <w:rPr>
          <w:rFonts w:eastAsiaTheme="majorEastAsia" w:cstheme="majorBidi"/>
          <w:b/>
          <w:bCs/>
          <w:color w:val="000000" w:themeColor="text1"/>
          <w:szCs w:val="26"/>
        </w:rPr>
      </w:pPr>
      <w:r>
        <w:br w:type="page"/>
      </w:r>
    </w:p>
    <w:p w:rsidR="00037DC8" w:rsidRPr="00C47C5C" w:rsidRDefault="00DF1E8F" w:rsidP="00C47C5C">
      <w:pPr>
        <w:pStyle w:val="Heading2"/>
        <w:spacing w:after="300"/>
        <w:ind w:left="284"/>
        <w:rPr>
          <w:bCs w:val="0"/>
          <w:szCs w:val="28"/>
        </w:rPr>
      </w:pPr>
      <w:r>
        <w:lastRenderedPageBreak/>
        <w:br/>
      </w:r>
      <w:bookmarkStart w:id="13" w:name="_Toc7695572"/>
      <w:r w:rsidR="00037DC8">
        <w:t>5. REZULTATI</w:t>
      </w:r>
      <w:bookmarkEnd w:id="13"/>
    </w:p>
    <w:p w:rsidR="006962F7" w:rsidRPr="00C47C5C" w:rsidRDefault="006962F7" w:rsidP="00C47C5C">
      <w:pPr>
        <w:jc w:val="both"/>
        <w:rPr>
          <w:rFonts w:cs="Times New Roman"/>
          <w:sz w:val="20"/>
          <w:szCs w:val="20"/>
        </w:rPr>
      </w:pPr>
      <w:r w:rsidRPr="00C47C5C">
        <w:rPr>
          <w:rFonts w:cs="Times New Roman"/>
          <w:sz w:val="20"/>
          <w:szCs w:val="20"/>
        </w:rPr>
        <w:t xml:space="preserve">Tablica 1. pokazuje spol, dob, lokalizaciju i stadij tumorske bolest prema TNM klasifikaciji za ispitnike s difuznim karcinomom želuca. </w:t>
      </w:r>
      <w:r w:rsidR="006C1D07" w:rsidRPr="00C47C5C">
        <w:rPr>
          <w:rFonts w:cs="Times New Roman"/>
          <w:sz w:val="20"/>
          <w:szCs w:val="20"/>
        </w:rPr>
        <w:t>Tablica 2. pokazuje spol, dob i lokalizaciju uzoraka u kontrolnoj netumorskoj skupini.</w:t>
      </w:r>
    </w:p>
    <w:p w:rsidR="006962F7" w:rsidRPr="0088624C" w:rsidRDefault="006962F7" w:rsidP="006962F7">
      <w:pPr>
        <w:pStyle w:val="Caption"/>
        <w:keepNext/>
        <w:rPr>
          <w:b w:val="0"/>
          <w:color w:val="auto"/>
          <w:sz w:val="20"/>
          <w:szCs w:val="20"/>
        </w:rPr>
      </w:pPr>
      <w:r w:rsidRPr="0088624C">
        <w:rPr>
          <w:b w:val="0"/>
          <w:color w:val="auto"/>
          <w:sz w:val="20"/>
          <w:szCs w:val="20"/>
        </w:rPr>
        <w:t>Tablica 1.</w:t>
      </w:r>
      <w:r w:rsidR="00FC5A3E" w:rsidRPr="0088624C">
        <w:rPr>
          <w:b w:val="0"/>
          <w:color w:val="auto"/>
          <w:sz w:val="20"/>
          <w:szCs w:val="20"/>
        </w:rPr>
        <w:t xml:space="preserve"> Demografski podaci i kliničko-patološki parametri </w:t>
      </w:r>
      <w:r w:rsidR="00530B96">
        <w:rPr>
          <w:b w:val="0"/>
          <w:color w:val="auto"/>
          <w:sz w:val="20"/>
          <w:szCs w:val="20"/>
        </w:rPr>
        <w:t>oboljelih od difuznog karcinoma želuca</w:t>
      </w:r>
    </w:p>
    <w:tbl>
      <w:tblPr>
        <w:tblStyle w:val="TableGrid"/>
        <w:tblW w:w="0" w:type="auto"/>
        <w:tblLook w:val="04A0" w:firstRow="1" w:lastRow="0" w:firstColumn="1" w:lastColumn="0" w:noHBand="0" w:noVBand="1"/>
      </w:tblPr>
      <w:tblGrid>
        <w:gridCol w:w="1548"/>
        <w:gridCol w:w="1548"/>
        <w:gridCol w:w="1548"/>
        <w:gridCol w:w="1548"/>
        <w:gridCol w:w="1548"/>
        <w:gridCol w:w="1548"/>
      </w:tblGrid>
      <w:tr w:rsidR="007D27E3" w:rsidRPr="0088624C" w:rsidTr="007D27E3">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Redni broj ispitanika</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Spol</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Dob</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Lokalizacija</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Patološki TNM stadij</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Klinički TNM stadij</w:t>
            </w:r>
          </w:p>
        </w:tc>
      </w:tr>
      <w:tr w:rsidR="007D27E3" w:rsidRPr="0088624C" w:rsidTr="007D27E3">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1.</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66</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korpus</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pT3N1MX</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T3N1M0</w:t>
            </w:r>
          </w:p>
        </w:tc>
      </w:tr>
      <w:tr w:rsidR="007D27E3" w:rsidRPr="0088624C" w:rsidTr="007D27E3">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2.</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Ž</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51</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velika krivina</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pT4bN3aM1</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T4bN3aM1</w:t>
            </w:r>
          </w:p>
        </w:tc>
      </w:tr>
      <w:tr w:rsidR="007D27E3" w:rsidRPr="0088624C" w:rsidTr="007D27E3">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3.</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71</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pT3N2MX</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T3N2M0</w:t>
            </w:r>
          </w:p>
        </w:tc>
      </w:tr>
      <w:tr w:rsidR="007D27E3" w:rsidRPr="0088624C" w:rsidTr="007D27E3">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4.</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67</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pilorus</w:t>
            </w:r>
          </w:p>
        </w:tc>
        <w:tc>
          <w:tcPr>
            <w:tcW w:w="1548" w:type="dxa"/>
          </w:tcPr>
          <w:p w:rsidR="007D27E3" w:rsidRPr="0088624C" w:rsidRDefault="007D27E3" w:rsidP="006962F7">
            <w:pPr>
              <w:jc w:val="center"/>
              <w:rPr>
                <w:rFonts w:cs="Times New Roman"/>
                <w:bCs/>
                <w:sz w:val="20"/>
                <w:szCs w:val="20"/>
              </w:rPr>
            </w:pPr>
            <w:r w:rsidRPr="0088624C">
              <w:rPr>
                <w:rFonts w:cs="Times New Roman"/>
                <w:bCs/>
                <w:sz w:val="20"/>
                <w:szCs w:val="20"/>
              </w:rPr>
              <w:t>pT4aN1MX</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T4aN1M0</w:t>
            </w:r>
          </w:p>
        </w:tc>
      </w:tr>
      <w:tr w:rsidR="007D27E3" w:rsidRPr="0088624C" w:rsidTr="007D27E3">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5.</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67</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pT4bN2MX</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T4bN2M1</w:t>
            </w:r>
          </w:p>
        </w:tc>
      </w:tr>
      <w:tr w:rsidR="007D27E3" w:rsidRPr="0088624C" w:rsidTr="007D27E3">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6.</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73</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velika krivina</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pT4bN0MX</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T4bN2M1</w:t>
            </w:r>
          </w:p>
        </w:tc>
      </w:tr>
      <w:tr w:rsidR="007D27E3" w:rsidRPr="0088624C" w:rsidTr="007D27E3">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7.</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Ž</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69</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mala krivina</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pT3N3bM1</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T3N3bM1</w:t>
            </w:r>
          </w:p>
        </w:tc>
      </w:tr>
      <w:tr w:rsidR="007D27E3" w:rsidRPr="0088624C" w:rsidTr="007D27E3">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8.</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60</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kardija</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pT3N3aMX</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T3N3aM0</w:t>
            </w:r>
          </w:p>
        </w:tc>
      </w:tr>
      <w:tr w:rsidR="007D27E3" w:rsidRPr="0088624C" w:rsidTr="007D27E3">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9.</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Ž</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50</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mala krivina</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pT4aN0MX</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T4aN0M0</w:t>
            </w:r>
          </w:p>
        </w:tc>
      </w:tr>
      <w:tr w:rsidR="007D27E3" w:rsidRPr="0088624C" w:rsidTr="007D27E3">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10.</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Ž</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71</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pT3N3aMX</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T3N3MX</w:t>
            </w:r>
          </w:p>
        </w:tc>
      </w:tr>
      <w:tr w:rsidR="007D27E3" w:rsidRPr="0088624C" w:rsidTr="007D27E3">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11.</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36</w:t>
            </w:r>
          </w:p>
        </w:tc>
        <w:tc>
          <w:tcPr>
            <w:tcW w:w="1548" w:type="dxa"/>
          </w:tcPr>
          <w:p w:rsidR="007D27E3" w:rsidRPr="0088624C" w:rsidRDefault="008535A0"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pT3N3aMX</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T3N3M0</w:t>
            </w:r>
          </w:p>
        </w:tc>
      </w:tr>
      <w:tr w:rsidR="007D27E3" w:rsidRPr="0088624C" w:rsidTr="007D27E3">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12.</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48</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pT3N0MX</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T3N0M0</w:t>
            </w:r>
          </w:p>
        </w:tc>
      </w:tr>
      <w:tr w:rsidR="007D27E3" w:rsidRPr="0088624C" w:rsidTr="007D27E3">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13.</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64</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kardija</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pT3N3aMX</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nepoznato</w:t>
            </w:r>
          </w:p>
        </w:tc>
      </w:tr>
      <w:tr w:rsidR="007D27E3" w:rsidRPr="0088624C" w:rsidTr="007D27E3">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14.</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47</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pT1aN0MX</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T1aN0M0</w:t>
            </w:r>
          </w:p>
        </w:tc>
      </w:tr>
      <w:tr w:rsidR="007D27E3" w:rsidRPr="0088624C" w:rsidTr="007D27E3">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15.</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68</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mala krivina</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pT3N2MX</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T3N2M0</w:t>
            </w:r>
          </w:p>
        </w:tc>
      </w:tr>
      <w:tr w:rsidR="007D27E3" w:rsidRPr="0088624C" w:rsidTr="007D27E3">
        <w:tc>
          <w:tcPr>
            <w:tcW w:w="1548" w:type="dxa"/>
          </w:tcPr>
          <w:p w:rsidR="007D27E3" w:rsidRPr="0088624C" w:rsidRDefault="00006CB3" w:rsidP="006962F7">
            <w:pPr>
              <w:jc w:val="center"/>
              <w:rPr>
                <w:rFonts w:cs="Times New Roman"/>
                <w:bCs/>
                <w:sz w:val="20"/>
                <w:szCs w:val="20"/>
              </w:rPr>
            </w:pPr>
            <w:r w:rsidRPr="0088624C">
              <w:rPr>
                <w:rFonts w:cs="Times New Roman"/>
                <w:bCs/>
                <w:sz w:val="20"/>
                <w:szCs w:val="20"/>
              </w:rPr>
              <w:t>16.</w:t>
            </w:r>
          </w:p>
        </w:tc>
        <w:tc>
          <w:tcPr>
            <w:tcW w:w="1548" w:type="dxa"/>
          </w:tcPr>
          <w:p w:rsidR="007D27E3" w:rsidRPr="0088624C" w:rsidRDefault="00006CB3"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006CB3" w:rsidP="006962F7">
            <w:pPr>
              <w:jc w:val="center"/>
              <w:rPr>
                <w:rFonts w:cs="Times New Roman"/>
                <w:bCs/>
                <w:sz w:val="20"/>
                <w:szCs w:val="20"/>
              </w:rPr>
            </w:pPr>
            <w:r w:rsidRPr="0088624C">
              <w:rPr>
                <w:rFonts w:cs="Times New Roman"/>
                <w:bCs/>
                <w:sz w:val="20"/>
                <w:szCs w:val="20"/>
              </w:rPr>
              <w:t>71</w:t>
            </w:r>
          </w:p>
        </w:tc>
        <w:tc>
          <w:tcPr>
            <w:tcW w:w="1548" w:type="dxa"/>
          </w:tcPr>
          <w:p w:rsidR="007D27E3" w:rsidRPr="0088624C" w:rsidRDefault="00006CB3"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006CB3" w:rsidP="006962F7">
            <w:pPr>
              <w:jc w:val="center"/>
              <w:rPr>
                <w:rFonts w:cs="Times New Roman"/>
                <w:bCs/>
                <w:sz w:val="20"/>
                <w:szCs w:val="20"/>
              </w:rPr>
            </w:pPr>
            <w:r w:rsidRPr="0088624C">
              <w:rPr>
                <w:rFonts w:cs="Times New Roman"/>
                <w:bCs/>
                <w:sz w:val="20"/>
                <w:szCs w:val="20"/>
              </w:rPr>
              <w:t>pT3N2MX</w:t>
            </w:r>
          </w:p>
        </w:tc>
        <w:tc>
          <w:tcPr>
            <w:tcW w:w="1548" w:type="dxa"/>
          </w:tcPr>
          <w:p w:rsidR="007D27E3" w:rsidRPr="0088624C" w:rsidRDefault="00006CB3" w:rsidP="006962F7">
            <w:pPr>
              <w:jc w:val="center"/>
              <w:rPr>
                <w:rFonts w:cs="Times New Roman"/>
                <w:bCs/>
                <w:sz w:val="20"/>
                <w:szCs w:val="20"/>
              </w:rPr>
            </w:pPr>
            <w:r w:rsidRPr="0088624C">
              <w:rPr>
                <w:rFonts w:cs="Times New Roman"/>
                <w:bCs/>
                <w:sz w:val="20"/>
                <w:szCs w:val="20"/>
              </w:rPr>
              <w:t>T3N2M0</w:t>
            </w:r>
          </w:p>
        </w:tc>
      </w:tr>
      <w:tr w:rsidR="007D27E3" w:rsidRPr="0088624C" w:rsidTr="007D27E3">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17.</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75</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mala krivina</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pT3N1MX</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T3N1M0</w:t>
            </w:r>
          </w:p>
        </w:tc>
      </w:tr>
      <w:tr w:rsidR="007D27E3" w:rsidRPr="0088624C" w:rsidTr="007D27E3">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18.</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Ž</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79</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pT3N1M1</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T3N1M1</w:t>
            </w:r>
          </w:p>
        </w:tc>
      </w:tr>
      <w:tr w:rsidR="007D27E3" w:rsidRPr="0088624C" w:rsidTr="007D27E3">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19.</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58</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antrum</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pT3N1MX</w:t>
            </w:r>
          </w:p>
        </w:tc>
        <w:tc>
          <w:tcPr>
            <w:tcW w:w="1548" w:type="dxa"/>
          </w:tcPr>
          <w:p w:rsidR="007D27E3" w:rsidRPr="0088624C" w:rsidRDefault="00CD3E6E" w:rsidP="006962F7">
            <w:pPr>
              <w:jc w:val="center"/>
              <w:rPr>
                <w:rFonts w:cs="Times New Roman"/>
                <w:bCs/>
                <w:sz w:val="20"/>
                <w:szCs w:val="20"/>
              </w:rPr>
            </w:pPr>
            <w:r w:rsidRPr="0088624C">
              <w:rPr>
                <w:rFonts w:cs="Times New Roman"/>
                <w:bCs/>
                <w:sz w:val="20"/>
                <w:szCs w:val="20"/>
              </w:rPr>
              <w:t>T3N1M0</w:t>
            </w:r>
          </w:p>
        </w:tc>
      </w:tr>
    </w:tbl>
    <w:p w:rsidR="001F2EE8" w:rsidRPr="0088624C" w:rsidRDefault="001F2EE8" w:rsidP="006962F7">
      <w:pPr>
        <w:jc w:val="center"/>
        <w:rPr>
          <w:rFonts w:cs="Times New Roman"/>
          <w:bCs/>
          <w:sz w:val="20"/>
          <w:szCs w:val="20"/>
        </w:rPr>
      </w:pPr>
    </w:p>
    <w:p w:rsidR="006962F7" w:rsidRPr="0088624C" w:rsidRDefault="006962F7" w:rsidP="006962F7">
      <w:pPr>
        <w:pStyle w:val="Caption"/>
        <w:keepNext/>
        <w:rPr>
          <w:b w:val="0"/>
          <w:color w:val="auto"/>
          <w:sz w:val="20"/>
          <w:szCs w:val="20"/>
        </w:rPr>
      </w:pPr>
      <w:r w:rsidRPr="0088624C">
        <w:rPr>
          <w:b w:val="0"/>
          <w:color w:val="auto"/>
          <w:sz w:val="20"/>
          <w:szCs w:val="20"/>
        </w:rPr>
        <w:t>Tablica 2.</w:t>
      </w:r>
      <w:r w:rsidR="00F41B60" w:rsidRPr="0088624C">
        <w:rPr>
          <w:b w:val="0"/>
          <w:color w:val="auto"/>
          <w:sz w:val="20"/>
          <w:szCs w:val="20"/>
        </w:rPr>
        <w:t xml:space="preserve"> </w:t>
      </w:r>
      <w:r w:rsidR="00FC5A3E" w:rsidRPr="0088624C">
        <w:rPr>
          <w:b w:val="0"/>
          <w:color w:val="auto"/>
          <w:sz w:val="20"/>
          <w:szCs w:val="20"/>
        </w:rPr>
        <w:t>Demografski podaci i kliničko-patološki parametri</w:t>
      </w:r>
      <w:r w:rsidR="00530B96">
        <w:rPr>
          <w:b w:val="0"/>
          <w:color w:val="auto"/>
          <w:sz w:val="20"/>
          <w:szCs w:val="20"/>
        </w:rPr>
        <w:t xml:space="preserve"> kontrolnih ispitanika</w:t>
      </w:r>
    </w:p>
    <w:tbl>
      <w:tblPr>
        <w:tblStyle w:val="TableGrid"/>
        <w:tblW w:w="0" w:type="auto"/>
        <w:tblLook w:val="04A0" w:firstRow="1" w:lastRow="0" w:firstColumn="1" w:lastColumn="0" w:noHBand="0" w:noVBand="1"/>
      </w:tblPr>
      <w:tblGrid>
        <w:gridCol w:w="2322"/>
        <w:gridCol w:w="2322"/>
        <w:gridCol w:w="2322"/>
        <w:gridCol w:w="2322"/>
      </w:tblGrid>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Redni broj ispitanika</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Spol</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Dob</w:t>
            </w:r>
          </w:p>
        </w:tc>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Lokalizacija</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1.</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30</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2.</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71</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3.</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80</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korpus</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4.</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34</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5.</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66</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6.</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39</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korpus</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7.</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53</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8.</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3B32C4" w:rsidP="006962F7">
            <w:pPr>
              <w:jc w:val="center"/>
              <w:rPr>
                <w:rFonts w:cs="Times New Roman"/>
                <w:bCs/>
                <w:sz w:val="20"/>
                <w:szCs w:val="20"/>
              </w:rPr>
            </w:pPr>
            <w:r w:rsidRPr="0088624C">
              <w:rPr>
                <w:rFonts w:cs="Times New Roman"/>
                <w:bCs/>
                <w:sz w:val="20"/>
                <w:szCs w:val="20"/>
              </w:rPr>
              <w:t>28</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9.</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31</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5538F7" w:rsidP="006962F7">
            <w:pPr>
              <w:jc w:val="center"/>
              <w:rPr>
                <w:rFonts w:cs="Times New Roman"/>
                <w:bCs/>
                <w:sz w:val="20"/>
                <w:szCs w:val="20"/>
              </w:rPr>
            </w:pPr>
            <w:r w:rsidRPr="0088624C">
              <w:rPr>
                <w:rFonts w:cs="Times New Roman"/>
                <w:bCs/>
                <w:sz w:val="20"/>
                <w:szCs w:val="20"/>
              </w:rPr>
              <w:t>10.</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65</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E65C37" w:rsidP="006962F7">
            <w:pPr>
              <w:jc w:val="center"/>
              <w:rPr>
                <w:rFonts w:cs="Times New Roman"/>
                <w:bCs/>
                <w:sz w:val="20"/>
                <w:szCs w:val="20"/>
              </w:rPr>
            </w:pPr>
            <w:r>
              <w:rPr>
                <w:rFonts w:cs="Times New Roman"/>
                <w:bCs/>
                <w:sz w:val="20"/>
                <w:szCs w:val="20"/>
              </w:rPr>
              <w:t>11</w:t>
            </w:r>
            <w:r w:rsidR="005538F7" w:rsidRPr="0088624C">
              <w:rPr>
                <w:rFonts w:cs="Times New Roman"/>
                <w:bCs/>
                <w:sz w:val="20"/>
                <w:szCs w:val="20"/>
              </w:rPr>
              <w:t>.</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61</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E65C37" w:rsidP="006962F7">
            <w:pPr>
              <w:jc w:val="center"/>
              <w:rPr>
                <w:rFonts w:cs="Times New Roman"/>
                <w:bCs/>
                <w:sz w:val="20"/>
                <w:szCs w:val="20"/>
              </w:rPr>
            </w:pPr>
            <w:r>
              <w:rPr>
                <w:rFonts w:cs="Times New Roman"/>
                <w:bCs/>
                <w:sz w:val="20"/>
                <w:szCs w:val="20"/>
              </w:rPr>
              <w:t>12</w:t>
            </w:r>
            <w:r w:rsidR="005538F7" w:rsidRPr="0088624C">
              <w:rPr>
                <w:rFonts w:cs="Times New Roman"/>
                <w:bCs/>
                <w:sz w:val="20"/>
                <w:szCs w:val="20"/>
              </w:rPr>
              <w:t>.</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22</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E65C37" w:rsidP="006962F7">
            <w:pPr>
              <w:jc w:val="center"/>
              <w:rPr>
                <w:rFonts w:cs="Times New Roman"/>
                <w:bCs/>
                <w:sz w:val="20"/>
                <w:szCs w:val="20"/>
              </w:rPr>
            </w:pPr>
            <w:r>
              <w:rPr>
                <w:rFonts w:cs="Times New Roman"/>
                <w:bCs/>
                <w:sz w:val="20"/>
                <w:szCs w:val="20"/>
              </w:rPr>
              <w:t>13</w:t>
            </w:r>
            <w:r w:rsidR="005538F7" w:rsidRPr="0088624C">
              <w:rPr>
                <w:rFonts w:cs="Times New Roman"/>
                <w:bCs/>
                <w:sz w:val="20"/>
                <w:szCs w:val="20"/>
              </w:rPr>
              <w:t>.</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84</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E65C37" w:rsidP="006962F7">
            <w:pPr>
              <w:jc w:val="center"/>
              <w:rPr>
                <w:rFonts w:cs="Times New Roman"/>
                <w:bCs/>
                <w:sz w:val="20"/>
                <w:szCs w:val="20"/>
              </w:rPr>
            </w:pPr>
            <w:r>
              <w:rPr>
                <w:rFonts w:cs="Times New Roman"/>
                <w:bCs/>
                <w:sz w:val="20"/>
                <w:szCs w:val="20"/>
              </w:rPr>
              <w:t>14</w:t>
            </w:r>
            <w:r w:rsidR="005538F7" w:rsidRPr="0088624C">
              <w:rPr>
                <w:rFonts w:cs="Times New Roman"/>
                <w:bCs/>
                <w:sz w:val="20"/>
                <w:szCs w:val="20"/>
              </w:rPr>
              <w:t>.</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61</w:t>
            </w:r>
          </w:p>
        </w:tc>
        <w:tc>
          <w:tcPr>
            <w:tcW w:w="2322" w:type="dxa"/>
          </w:tcPr>
          <w:p w:rsidR="005538F7" w:rsidRPr="0088624C" w:rsidRDefault="00E95B72"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F9641F" w:rsidP="006962F7">
            <w:pPr>
              <w:jc w:val="center"/>
              <w:rPr>
                <w:rFonts w:cs="Times New Roman"/>
                <w:bCs/>
                <w:sz w:val="20"/>
                <w:szCs w:val="20"/>
              </w:rPr>
            </w:pPr>
            <w:r>
              <w:rPr>
                <w:rFonts w:cs="Times New Roman"/>
                <w:bCs/>
                <w:sz w:val="20"/>
                <w:szCs w:val="20"/>
              </w:rPr>
              <w:t>15</w:t>
            </w:r>
            <w:r w:rsidR="005538F7" w:rsidRPr="0088624C">
              <w:rPr>
                <w:rFonts w:cs="Times New Roman"/>
                <w:bCs/>
                <w:sz w:val="20"/>
                <w:szCs w:val="20"/>
              </w:rPr>
              <w:t>.</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57</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F9641F" w:rsidP="006962F7">
            <w:pPr>
              <w:jc w:val="center"/>
              <w:rPr>
                <w:rFonts w:cs="Times New Roman"/>
                <w:bCs/>
                <w:sz w:val="20"/>
                <w:szCs w:val="20"/>
              </w:rPr>
            </w:pPr>
            <w:r>
              <w:rPr>
                <w:rFonts w:cs="Times New Roman"/>
                <w:bCs/>
                <w:sz w:val="20"/>
                <w:szCs w:val="20"/>
              </w:rPr>
              <w:t>16</w:t>
            </w:r>
            <w:r w:rsidR="005538F7" w:rsidRPr="0088624C">
              <w:rPr>
                <w:rFonts w:cs="Times New Roman"/>
                <w:bCs/>
                <w:sz w:val="20"/>
                <w:szCs w:val="20"/>
              </w:rPr>
              <w:t>.</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28</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nepoznato</w:t>
            </w:r>
          </w:p>
        </w:tc>
      </w:tr>
      <w:tr w:rsidR="005538F7" w:rsidRPr="0088624C" w:rsidTr="006962F7">
        <w:tc>
          <w:tcPr>
            <w:tcW w:w="2322" w:type="dxa"/>
          </w:tcPr>
          <w:p w:rsidR="005538F7" w:rsidRPr="0088624C" w:rsidRDefault="00F9641F" w:rsidP="006962F7">
            <w:pPr>
              <w:jc w:val="center"/>
              <w:rPr>
                <w:rFonts w:cs="Times New Roman"/>
                <w:bCs/>
                <w:sz w:val="20"/>
                <w:szCs w:val="20"/>
              </w:rPr>
            </w:pPr>
            <w:r>
              <w:rPr>
                <w:rFonts w:cs="Times New Roman"/>
                <w:bCs/>
                <w:sz w:val="20"/>
                <w:szCs w:val="20"/>
              </w:rPr>
              <w:t>17</w:t>
            </w:r>
            <w:r w:rsidR="005538F7" w:rsidRPr="0088624C">
              <w:rPr>
                <w:rFonts w:cs="Times New Roman"/>
                <w:bCs/>
                <w:sz w:val="20"/>
                <w:szCs w:val="20"/>
              </w:rPr>
              <w:t>.</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71</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F9641F" w:rsidP="006962F7">
            <w:pPr>
              <w:jc w:val="center"/>
              <w:rPr>
                <w:rFonts w:cs="Times New Roman"/>
                <w:bCs/>
                <w:sz w:val="20"/>
                <w:szCs w:val="20"/>
              </w:rPr>
            </w:pPr>
            <w:r>
              <w:rPr>
                <w:rFonts w:cs="Times New Roman"/>
                <w:bCs/>
                <w:sz w:val="20"/>
                <w:szCs w:val="20"/>
              </w:rPr>
              <w:t>18</w:t>
            </w:r>
            <w:r w:rsidR="005538F7" w:rsidRPr="0088624C">
              <w:rPr>
                <w:rFonts w:cs="Times New Roman"/>
                <w:bCs/>
                <w:sz w:val="20"/>
                <w:szCs w:val="20"/>
              </w:rPr>
              <w:t>.</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M</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38</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antrum</w:t>
            </w:r>
          </w:p>
        </w:tc>
      </w:tr>
      <w:tr w:rsidR="005538F7" w:rsidRPr="0088624C" w:rsidTr="006962F7">
        <w:tc>
          <w:tcPr>
            <w:tcW w:w="2322" w:type="dxa"/>
          </w:tcPr>
          <w:p w:rsidR="005538F7" w:rsidRPr="0088624C" w:rsidRDefault="00F9641F" w:rsidP="006962F7">
            <w:pPr>
              <w:jc w:val="center"/>
              <w:rPr>
                <w:rFonts w:cs="Times New Roman"/>
                <w:bCs/>
                <w:sz w:val="20"/>
                <w:szCs w:val="20"/>
              </w:rPr>
            </w:pPr>
            <w:r>
              <w:rPr>
                <w:rFonts w:cs="Times New Roman"/>
                <w:bCs/>
                <w:sz w:val="20"/>
                <w:szCs w:val="20"/>
              </w:rPr>
              <w:t>19</w:t>
            </w:r>
            <w:r w:rsidR="005538F7" w:rsidRPr="0088624C">
              <w:rPr>
                <w:rFonts w:cs="Times New Roman"/>
                <w:bCs/>
                <w:sz w:val="20"/>
                <w:szCs w:val="20"/>
              </w:rPr>
              <w:t>.</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Ž</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44</w:t>
            </w:r>
          </w:p>
        </w:tc>
        <w:tc>
          <w:tcPr>
            <w:tcW w:w="2322" w:type="dxa"/>
          </w:tcPr>
          <w:p w:rsidR="005538F7" w:rsidRPr="0088624C" w:rsidRDefault="00C47D9F" w:rsidP="006962F7">
            <w:pPr>
              <w:jc w:val="center"/>
              <w:rPr>
                <w:rFonts w:cs="Times New Roman"/>
                <w:bCs/>
                <w:sz w:val="20"/>
                <w:szCs w:val="20"/>
              </w:rPr>
            </w:pPr>
            <w:r w:rsidRPr="0088624C">
              <w:rPr>
                <w:rFonts w:cs="Times New Roman"/>
                <w:bCs/>
                <w:sz w:val="20"/>
                <w:szCs w:val="20"/>
              </w:rPr>
              <w:t>antrum</w:t>
            </w:r>
            <w:r w:rsidR="000A0AEB" w:rsidRPr="0088624C">
              <w:rPr>
                <w:rFonts w:cs="Times New Roman"/>
                <w:bCs/>
                <w:sz w:val="20"/>
                <w:szCs w:val="20"/>
              </w:rPr>
              <w:t xml:space="preserve"> i</w:t>
            </w:r>
            <w:r w:rsidRPr="0088624C">
              <w:rPr>
                <w:rFonts w:cs="Times New Roman"/>
                <w:bCs/>
                <w:sz w:val="20"/>
                <w:szCs w:val="20"/>
              </w:rPr>
              <w:t xml:space="preserve"> korpus</w:t>
            </w:r>
          </w:p>
        </w:tc>
      </w:tr>
    </w:tbl>
    <w:p w:rsidR="005538F7" w:rsidRPr="0088624C" w:rsidRDefault="005538F7" w:rsidP="0073138B">
      <w:pPr>
        <w:rPr>
          <w:rFonts w:cs="Times New Roman"/>
          <w:bCs/>
          <w:sz w:val="20"/>
          <w:szCs w:val="20"/>
        </w:rPr>
      </w:pPr>
    </w:p>
    <w:p w:rsidR="00C47C5C" w:rsidRDefault="009C7568" w:rsidP="008F28A5">
      <w:pPr>
        <w:tabs>
          <w:tab w:val="left" w:pos="2450"/>
        </w:tabs>
        <w:spacing w:line="360" w:lineRule="auto"/>
        <w:jc w:val="both"/>
        <w:rPr>
          <w:rFonts w:cs="Times New Roman"/>
          <w:bCs/>
          <w:sz w:val="20"/>
          <w:szCs w:val="20"/>
        </w:rPr>
      </w:pPr>
      <w:r w:rsidRPr="009C7568">
        <w:rPr>
          <w:rFonts w:cs="Times New Roman"/>
          <w:bCs/>
          <w:sz w:val="20"/>
          <w:szCs w:val="20"/>
        </w:rPr>
        <w:lastRenderedPageBreak/>
        <w:t xml:space="preserve">U ovom istraživanju analizirano je 19 uzoraka difuznih karcinoma želuca i 19 uzorak kontrolnog netumorskog </w:t>
      </w:r>
      <w:r w:rsidR="0033631E">
        <w:rPr>
          <w:rFonts w:cs="Times New Roman"/>
          <w:bCs/>
          <w:sz w:val="20"/>
          <w:szCs w:val="20"/>
        </w:rPr>
        <w:t>tkiva. U skupini ispitanika s di</w:t>
      </w:r>
      <w:r w:rsidRPr="009C7568">
        <w:rPr>
          <w:rFonts w:cs="Times New Roman"/>
          <w:bCs/>
          <w:sz w:val="20"/>
          <w:szCs w:val="20"/>
        </w:rPr>
        <w:t>fuznim karcinomima želuca bilo je 13 (68.4%) muška</w:t>
      </w:r>
      <w:r w:rsidR="00023D2C">
        <w:rPr>
          <w:rFonts w:cs="Times New Roman"/>
          <w:bCs/>
          <w:sz w:val="20"/>
          <w:szCs w:val="20"/>
        </w:rPr>
        <w:t xml:space="preserve">raca i 6 (31.6%) žena. Srednja dob±standardna devijacija bila je </w:t>
      </w:r>
      <w:r w:rsidR="00023D2C" w:rsidRPr="00023D2C">
        <w:rPr>
          <w:rFonts w:cs="Times New Roman"/>
          <w:bCs/>
          <w:sz w:val="20"/>
          <w:szCs w:val="20"/>
        </w:rPr>
        <w:t>68.47±12.438</w:t>
      </w:r>
      <w:r w:rsidR="00023D2C">
        <w:rPr>
          <w:rFonts w:cs="Times New Roman"/>
          <w:bCs/>
          <w:sz w:val="20"/>
          <w:szCs w:val="20"/>
        </w:rPr>
        <w:t xml:space="preserve"> godina. </w:t>
      </w:r>
      <w:r w:rsidRPr="009C7568">
        <w:rPr>
          <w:rFonts w:cs="Times New Roman"/>
          <w:bCs/>
          <w:sz w:val="20"/>
          <w:szCs w:val="20"/>
        </w:rPr>
        <w:t xml:space="preserve">U kontrolnoj je skupini bilo 10 (52.6%) </w:t>
      </w:r>
      <w:r w:rsidR="0033631E">
        <w:rPr>
          <w:rFonts w:cs="Times New Roman"/>
          <w:bCs/>
          <w:sz w:val="20"/>
          <w:szCs w:val="20"/>
        </w:rPr>
        <w:t xml:space="preserve">muškaraca i </w:t>
      </w:r>
      <w:r w:rsidRPr="009C7568">
        <w:rPr>
          <w:rFonts w:cs="Times New Roman"/>
          <w:bCs/>
          <w:sz w:val="20"/>
          <w:szCs w:val="20"/>
        </w:rPr>
        <w:t>9 (47</w:t>
      </w:r>
      <w:r w:rsidR="00023D2C">
        <w:rPr>
          <w:rFonts w:cs="Times New Roman"/>
          <w:bCs/>
          <w:sz w:val="20"/>
          <w:szCs w:val="20"/>
        </w:rPr>
        <w:t>.4%).</w:t>
      </w:r>
      <w:r w:rsidR="00023D2C" w:rsidRPr="00023D2C">
        <w:t xml:space="preserve"> </w:t>
      </w:r>
      <w:r w:rsidR="00023D2C" w:rsidRPr="00023D2C">
        <w:rPr>
          <w:rFonts w:cs="Times New Roman"/>
          <w:bCs/>
          <w:sz w:val="20"/>
          <w:szCs w:val="20"/>
        </w:rPr>
        <w:t>Srednja dob±standardna devijacija bila je</w:t>
      </w:r>
      <w:r w:rsidR="00023D2C">
        <w:rPr>
          <w:rFonts w:cs="Times New Roman"/>
          <w:bCs/>
          <w:sz w:val="20"/>
          <w:szCs w:val="20"/>
        </w:rPr>
        <w:t xml:space="preserve"> </w:t>
      </w:r>
      <w:r w:rsidR="00023D2C" w:rsidRPr="00023D2C">
        <w:rPr>
          <w:rFonts w:cs="Times New Roman"/>
          <w:bCs/>
          <w:sz w:val="20"/>
          <w:szCs w:val="20"/>
        </w:rPr>
        <w:t>55.53±19.583</w:t>
      </w:r>
      <w:r w:rsidR="00023D2C">
        <w:rPr>
          <w:rFonts w:cs="Times New Roman"/>
          <w:bCs/>
          <w:sz w:val="20"/>
          <w:szCs w:val="20"/>
        </w:rPr>
        <w:t xml:space="preserve"> godina. </w:t>
      </w:r>
      <w:r w:rsidRPr="009C7568">
        <w:rPr>
          <w:rFonts w:cs="Times New Roman"/>
          <w:bCs/>
          <w:sz w:val="20"/>
          <w:szCs w:val="20"/>
        </w:rPr>
        <w:t>Nije bilo statistič</w:t>
      </w:r>
      <w:r w:rsidR="0033631E">
        <w:rPr>
          <w:rFonts w:cs="Times New Roman"/>
          <w:bCs/>
          <w:sz w:val="20"/>
          <w:szCs w:val="20"/>
        </w:rPr>
        <w:t>ki značajne razlike između dviju skupina</w:t>
      </w:r>
      <w:r w:rsidRPr="009C7568">
        <w:rPr>
          <w:rFonts w:cs="Times New Roman"/>
          <w:bCs/>
          <w:sz w:val="20"/>
          <w:szCs w:val="20"/>
        </w:rPr>
        <w:t xml:space="preserve"> uzoraka</w:t>
      </w:r>
      <w:r w:rsidR="0033631E">
        <w:rPr>
          <w:rFonts w:cs="Times New Roman"/>
          <w:bCs/>
          <w:sz w:val="20"/>
          <w:szCs w:val="20"/>
        </w:rPr>
        <w:t xml:space="preserve"> s obzirom na spol (χ</w:t>
      </w:r>
      <w:r w:rsidR="000B610E">
        <w:rPr>
          <w:rFonts w:ascii="Calibri" w:hAnsi="Calibri" w:cs="Times New Roman"/>
          <w:bCs/>
          <w:sz w:val="20"/>
          <w:szCs w:val="20"/>
        </w:rPr>
        <w:t>₂</w:t>
      </w:r>
      <w:r w:rsidR="0033631E">
        <w:rPr>
          <w:rFonts w:cs="Times New Roman"/>
          <w:bCs/>
          <w:sz w:val="20"/>
          <w:szCs w:val="20"/>
        </w:rPr>
        <w:t>-</w:t>
      </w:r>
      <w:r w:rsidRPr="009C7568">
        <w:rPr>
          <w:rFonts w:cs="Times New Roman"/>
          <w:bCs/>
          <w:sz w:val="20"/>
          <w:szCs w:val="20"/>
        </w:rPr>
        <w:t>kvadrat =</w:t>
      </w:r>
      <w:r w:rsidR="00023D2C">
        <w:rPr>
          <w:rFonts w:cs="Times New Roman"/>
          <w:bCs/>
          <w:sz w:val="20"/>
          <w:szCs w:val="20"/>
        </w:rPr>
        <w:t xml:space="preserve"> 0.991</w:t>
      </w:r>
      <w:r w:rsidRPr="009C7568">
        <w:rPr>
          <w:rFonts w:cs="Times New Roman"/>
          <w:bCs/>
          <w:sz w:val="20"/>
          <w:szCs w:val="20"/>
        </w:rPr>
        <w:t>, df</w:t>
      </w:r>
      <w:r w:rsidR="00023D2C">
        <w:rPr>
          <w:rFonts w:cs="Times New Roman"/>
          <w:bCs/>
          <w:sz w:val="20"/>
          <w:szCs w:val="20"/>
        </w:rPr>
        <w:t xml:space="preserve"> </w:t>
      </w:r>
      <w:r w:rsidRPr="009C7568">
        <w:rPr>
          <w:rFonts w:cs="Times New Roman"/>
          <w:bCs/>
          <w:sz w:val="20"/>
          <w:szCs w:val="20"/>
        </w:rPr>
        <w:t>=</w:t>
      </w:r>
      <w:r w:rsidR="00023D2C">
        <w:rPr>
          <w:rFonts w:cs="Times New Roman"/>
          <w:bCs/>
          <w:sz w:val="20"/>
          <w:szCs w:val="20"/>
        </w:rPr>
        <w:t xml:space="preserve"> 1</w:t>
      </w:r>
      <w:r w:rsidRPr="009C7568">
        <w:rPr>
          <w:rFonts w:cs="Times New Roman"/>
          <w:bCs/>
          <w:sz w:val="20"/>
          <w:szCs w:val="20"/>
        </w:rPr>
        <w:t>, p</w:t>
      </w:r>
      <w:r w:rsidR="00023D2C">
        <w:rPr>
          <w:rFonts w:cs="Times New Roman"/>
          <w:bCs/>
          <w:sz w:val="20"/>
          <w:szCs w:val="20"/>
        </w:rPr>
        <w:t xml:space="preserve"> </w:t>
      </w:r>
      <w:r w:rsidRPr="009C7568">
        <w:rPr>
          <w:rFonts w:cs="Times New Roman"/>
          <w:bCs/>
          <w:sz w:val="20"/>
          <w:szCs w:val="20"/>
        </w:rPr>
        <w:t>=</w:t>
      </w:r>
      <w:r w:rsidR="00023D2C">
        <w:rPr>
          <w:rFonts w:cs="Times New Roman"/>
          <w:bCs/>
          <w:sz w:val="20"/>
          <w:szCs w:val="20"/>
        </w:rPr>
        <w:t>0.508</w:t>
      </w:r>
      <w:r w:rsidRPr="009C7568">
        <w:rPr>
          <w:rFonts w:cs="Times New Roman"/>
          <w:bCs/>
          <w:sz w:val="20"/>
          <w:szCs w:val="20"/>
        </w:rPr>
        <w:t xml:space="preserve">), ali je postojala statistički značajna razlika u rasponu godina </w:t>
      </w:r>
      <w:r w:rsidR="00023D2C">
        <w:rPr>
          <w:rFonts w:cs="Times New Roman"/>
          <w:bCs/>
          <w:sz w:val="20"/>
          <w:szCs w:val="20"/>
        </w:rPr>
        <w:t xml:space="preserve"> (</w:t>
      </w:r>
      <w:r w:rsidR="00E65C37">
        <w:rPr>
          <w:rFonts w:cs="Times New Roman"/>
          <w:bCs/>
          <w:sz w:val="20"/>
          <w:szCs w:val="20"/>
        </w:rPr>
        <w:t xml:space="preserve">nezavisni Student t-test: p = 0.02, </w:t>
      </w:r>
      <w:r w:rsidR="00E65C37" w:rsidRPr="00E65C37">
        <w:rPr>
          <w:rFonts w:cs="Times New Roman"/>
          <w:bCs/>
          <w:sz w:val="20"/>
          <w:szCs w:val="20"/>
        </w:rPr>
        <w:t>sve p vrijednosti su two-tailed exact values)</w:t>
      </w:r>
      <w:r w:rsidR="00E65C37">
        <w:rPr>
          <w:rFonts w:cs="Times New Roman"/>
          <w:bCs/>
          <w:sz w:val="20"/>
          <w:szCs w:val="20"/>
        </w:rPr>
        <w:t>.</w:t>
      </w:r>
    </w:p>
    <w:p w:rsidR="00821EE3" w:rsidRDefault="00821EE3" w:rsidP="008F28A5">
      <w:pPr>
        <w:tabs>
          <w:tab w:val="left" w:pos="2450"/>
        </w:tabs>
        <w:spacing w:line="360" w:lineRule="auto"/>
        <w:jc w:val="both"/>
        <w:rPr>
          <w:rFonts w:cs="Times New Roman"/>
          <w:bCs/>
          <w:sz w:val="20"/>
          <w:szCs w:val="20"/>
        </w:rPr>
      </w:pPr>
      <w:r>
        <w:rPr>
          <w:rFonts w:cs="Times New Roman"/>
          <w:bCs/>
          <w:sz w:val="20"/>
          <w:szCs w:val="20"/>
        </w:rPr>
        <w:t>Imunohistokemijskom analizom pokazana je ekspresija PTX3 proteina u citoplazmi i membrani.</w:t>
      </w:r>
      <w:r w:rsidR="00921A27">
        <w:rPr>
          <w:rFonts w:cs="Times New Roman"/>
          <w:bCs/>
          <w:sz w:val="20"/>
          <w:szCs w:val="20"/>
        </w:rPr>
        <w:t xml:space="preserve"> Slike 1. i 2. prikazuju kontrolno netumorsko tkivo, dok slike 3. i 4. prikazuju tkivo difuznog karcinoma želuca.</w:t>
      </w:r>
    </w:p>
    <w:p w:rsidR="00921A27" w:rsidRDefault="00821EE3" w:rsidP="008F28A5">
      <w:pPr>
        <w:keepNext/>
        <w:tabs>
          <w:tab w:val="left" w:pos="2450"/>
        </w:tabs>
        <w:spacing w:line="360" w:lineRule="auto"/>
        <w:jc w:val="both"/>
      </w:pPr>
      <w:r>
        <w:rPr>
          <w:rFonts w:cs="Times New Roman"/>
          <w:bCs/>
          <w:sz w:val="20"/>
          <w:szCs w:val="20"/>
        </w:rPr>
        <w:t xml:space="preserve">                                                                                           </w:t>
      </w:r>
      <w:r w:rsidR="00921A27">
        <w:rPr>
          <w:rFonts w:cs="Times New Roman"/>
          <w:bCs/>
          <w:sz w:val="20"/>
          <w:szCs w:val="20"/>
        </w:rPr>
        <w:t xml:space="preserve">                         </w:t>
      </w:r>
      <w:r>
        <w:rPr>
          <w:rFonts w:cs="Times New Roman"/>
          <w:bCs/>
          <w:sz w:val="20"/>
          <w:szCs w:val="20"/>
        </w:rPr>
        <w:t xml:space="preserve">                           </w:t>
      </w:r>
      <w:r w:rsidR="00921A27">
        <w:rPr>
          <w:rFonts w:cs="Times New Roman"/>
          <w:bCs/>
          <w:noProof/>
          <w:sz w:val="20"/>
          <w:szCs w:val="20"/>
          <w:lang w:eastAsia="hr-HR"/>
        </w:rPr>
        <w:t xml:space="preserve">               </w:t>
      </w:r>
      <w:r w:rsidR="00921A27">
        <w:rPr>
          <w:rFonts w:cs="Times New Roman"/>
          <w:bCs/>
          <w:noProof/>
          <w:sz w:val="20"/>
          <w:szCs w:val="20"/>
          <w:lang w:eastAsia="hr-HR"/>
        </w:rPr>
        <w:drawing>
          <wp:inline distT="0" distB="0" distL="0" distR="0" wp14:anchorId="1DF97698" wp14:editId="06476BA8">
            <wp:extent cx="4176000" cy="32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1 N x1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6000" cy="3240000"/>
                    </a:xfrm>
                    <a:prstGeom prst="rect">
                      <a:avLst/>
                    </a:prstGeom>
                  </pic:spPr>
                </pic:pic>
              </a:graphicData>
            </a:graphic>
          </wp:inline>
        </w:drawing>
      </w:r>
    </w:p>
    <w:p w:rsidR="00821EE3" w:rsidRPr="00921A27" w:rsidRDefault="00921A27" w:rsidP="00921A27">
      <w:pPr>
        <w:pStyle w:val="Caption"/>
        <w:jc w:val="both"/>
        <w:rPr>
          <w:b w:val="0"/>
          <w:color w:val="auto"/>
        </w:rPr>
      </w:pPr>
      <w:r w:rsidRPr="00921A27">
        <w:rPr>
          <w:b w:val="0"/>
          <w:color w:val="auto"/>
        </w:rPr>
        <w:t xml:space="preserve">Slika </w:t>
      </w:r>
      <w:r w:rsidRPr="00921A27">
        <w:rPr>
          <w:b w:val="0"/>
          <w:color w:val="auto"/>
        </w:rPr>
        <w:fldChar w:fldCharType="begin"/>
      </w:r>
      <w:r w:rsidRPr="00921A27">
        <w:rPr>
          <w:b w:val="0"/>
          <w:color w:val="auto"/>
        </w:rPr>
        <w:instrText xml:space="preserve"> SEQ Slika \* ARABIC </w:instrText>
      </w:r>
      <w:r w:rsidRPr="00921A27">
        <w:rPr>
          <w:b w:val="0"/>
          <w:color w:val="auto"/>
        </w:rPr>
        <w:fldChar w:fldCharType="separate"/>
      </w:r>
      <w:r w:rsidR="00B23F9B">
        <w:rPr>
          <w:b w:val="0"/>
          <w:noProof/>
          <w:color w:val="auto"/>
        </w:rPr>
        <w:t>1</w:t>
      </w:r>
      <w:r w:rsidRPr="00921A27">
        <w:rPr>
          <w:b w:val="0"/>
          <w:color w:val="auto"/>
        </w:rPr>
        <w:fldChar w:fldCharType="end"/>
      </w:r>
      <w:r w:rsidRPr="00921A27">
        <w:rPr>
          <w:b w:val="0"/>
          <w:color w:val="auto"/>
        </w:rPr>
        <w:t>.</w:t>
      </w:r>
      <w:r>
        <w:rPr>
          <w:b w:val="0"/>
          <w:color w:val="auto"/>
        </w:rPr>
        <w:t xml:space="preserve"> </w:t>
      </w:r>
      <w:r w:rsidR="00E12B98">
        <w:rPr>
          <w:b w:val="0"/>
          <w:color w:val="auto"/>
        </w:rPr>
        <w:t xml:space="preserve">Izraženost proteina </w:t>
      </w:r>
      <w:proofErr w:type="spellStart"/>
      <w:r w:rsidR="00E12B98">
        <w:rPr>
          <w:b w:val="0"/>
          <w:color w:val="auto"/>
        </w:rPr>
        <w:t>pentraxin</w:t>
      </w:r>
      <w:proofErr w:type="spellEnd"/>
      <w:r w:rsidR="00E12B98">
        <w:rPr>
          <w:b w:val="0"/>
          <w:color w:val="auto"/>
        </w:rPr>
        <w:t xml:space="preserve"> 3 u </w:t>
      </w:r>
      <w:proofErr w:type="spellStart"/>
      <w:r w:rsidR="00E12B98">
        <w:rPr>
          <w:b w:val="0"/>
          <w:color w:val="auto"/>
        </w:rPr>
        <w:t>netumorskom</w:t>
      </w:r>
      <w:proofErr w:type="spellEnd"/>
      <w:r w:rsidR="00E12B98">
        <w:rPr>
          <w:b w:val="0"/>
          <w:color w:val="auto"/>
        </w:rPr>
        <w:t xml:space="preserve"> tkivu, povećanje 100x</w:t>
      </w:r>
    </w:p>
    <w:p w:rsidR="00921A27" w:rsidRDefault="00821EE3" w:rsidP="00921A27">
      <w:pPr>
        <w:keepNext/>
        <w:tabs>
          <w:tab w:val="left" w:pos="2450"/>
        </w:tabs>
        <w:jc w:val="both"/>
      </w:pPr>
      <w:r>
        <w:rPr>
          <w:rFonts w:cs="Times New Roman"/>
          <w:bCs/>
          <w:sz w:val="20"/>
          <w:szCs w:val="20"/>
        </w:rPr>
        <w:lastRenderedPageBreak/>
        <w:t xml:space="preserve">  </w:t>
      </w:r>
      <w:r w:rsidR="00921A27">
        <w:rPr>
          <w:rFonts w:cs="Times New Roman"/>
          <w:bCs/>
          <w:noProof/>
          <w:sz w:val="20"/>
          <w:szCs w:val="20"/>
          <w:lang w:eastAsia="hr-HR"/>
        </w:rPr>
        <w:drawing>
          <wp:inline distT="0" distB="0" distL="0" distR="0" wp14:anchorId="770627C5" wp14:editId="42309C63">
            <wp:extent cx="4305600" cy="32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2 N x4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5600" cy="3240000"/>
                    </a:xfrm>
                    <a:prstGeom prst="rect">
                      <a:avLst/>
                    </a:prstGeom>
                  </pic:spPr>
                </pic:pic>
              </a:graphicData>
            </a:graphic>
          </wp:inline>
        </w:drawing>
      </w:r>
    </w:p>
    <w:p w:rsidR="00821EE3" w:rsidRPr="00921A27" w:rsidRDefault="00921A27" w:rsidP="00921A27">
      <w:pPr>
        <w:pStyle w:val="Caption"/>
        <w:jc w:val="both"/>
        <w:rPr>
          <w:rFonts w:cs="Times New Roman"/>
          <w:b w:val="0"/>
          <w:bCs w:val="0"/>
          <w:color w:val="auto"/>
          <w:sz w:val="20"/>
          <w:szCs w:val="20"/>
        </w:rPr>
      </w:pPr>
      <w:r w:rsidRPr="00921A27">
        <w:rPr>
          <w:b w:val="0"/>
          <w:color w:val="auto"/>
        </w:rPr>
        <w:t xml:space="preserve">Slika </w:t>
      </w:r>
      <w:r w:rsidRPr="00921A27">
        <w:rPr>
          <w:b w:val="0"/>
          <w:color w:val="auto"/>
        </w:rPr>
        <w:fldChar w:fldCharType="begin"/>
      </w:r>
      <w:r w:rsidRPr="00921A27">
        <w:rPr>
          <w:b w:val="0"/>
          <w:color w:val="auto"/>
        </w:rPr>
        <w:instrText xml:space="preserve"> SEQ Slika \* ARABIC </w:instrText>
      </w:r>
      <w:r w:rsidRPr="00921A27">
        <w:rPr>
          <w:b w:val="0"/>
          <w:color w:val="auto"/>
        </w:rPr>
        <w:fldChar w:fldCharType="separate"/>
      </w:r>
      <w:r w:rsidR="00B23F9B">
        <w:rPr>
          <w:b w:val="0"/>
          <w:noProof/>
          <w:color w:val="auto"/>
        </w:rPr>
        <w:t>2</w:t>
      </w:r>
      <w:r w:rsidRPr="00921A27">
        <w:rPr>
          <w:b w:val="0"/>
          <w:color w:val="auto"/>
        </w:rPr>
        <w:fldChar w:fldCharType="end"/>
      </w:r>
      <w:r w:rsidRPr="00921A27">
        <w:rPr>
          <w:b w:val="0"/>
          <w:color w:val="auto"/>
        </w:rPr>
        <w:t>.</w:t>
      </w:r>
      <w:r>
        <w:rPr>
          <w:b w:val="0"/>
          <w:color w:val="auto"/>
        </w:rPr>
        <w:t xml:space="preserve"> </w:t>
      </w:r>
      <w:r w:rsidR="00E12B98" w:rsidRPr="00E12B98">
        <w:rPr>
          <w:b w:val="0"/>
          <w:color w:val="auto"/>
        </w:rPr>
        <w:t xml:space="preserve">Izraženost proteina </w:t>
      </w:r>
      <w:proofErr w:type="spellStart"/>
      <w:r w:rsidR="00E12B98" w:rsidRPr="00E12B98">
        <w:rPr>
          <w:b w:val="0"/>
          <w:color w:val="auto"/>
        </w:rPr>
        <w:t>pentraxin</w:t>
      </w:r>
      <w:proofErr w:type="spellEnd"/>
      <w:r w:rsidR="00E12B98" w:rsidRPr="00E12B98">
        <w:rPr>
          <w:b w:val="0"/>
          <w:color w:val="auto"/>
        </w:rPr>
        <w:t xml:space="preserve"> 3 u </w:t>
      </w:r>
      <w:proofErr w:type="spellStart"/>
      <w:r w:rsidR="00E12B98" w:rsidRPr="00E12B98">
        <w:rPr>
          <w:b w:val="0"/>
          <w:color w:val="auto"/>
        </w:rPr>
        <w:t>netumorskom</w:t>
      </w:r>
      <w:proofErr w:type="spellEnd"/>
      <w:r w:rsidR="00E12B98" w:rsidRPr="00E12B98">
        <w:rPr>
          <w:b w:val="0"/>
          <w:color w:val="auto"/>
        </w:rPr>
        <w:t xml:space="preserve"> tkivu, povećanje </w:t>
      </w:r>
      <w:r w:rsidR="00E12B98">
        <w:rPr>
          <w:b w:val="0"/>
          <w:color w:val="auto"/>
        </w:rPr>
        <w:t>400</w:t>
      </w:r>
      <w:r w:rsidR="00E12B98" w:rsidRPr="00E12B98">
        <w:rPr>
          <w:b w:val="0"/>
          <w:color w:val="auto"/>
        </w:rPr>
        <w:t>x</w:t>
      </w:r>
    </w:p>
    <w:p w:rsidR="00C47C5C" w:rsidRPr="0088624C" w:rsidRDefault="00C47C5C" w:rsidP="00E152B3">
      <w:pPr>
        <w:tabs>
          <w:tab w:val="left" w:pos="2450"/>
        </w:tabs>
        <w:rPr>
          <w:rFonts w:cs="Times New Roman"/>
          <w:bCs/>
          <w:sz w:val="20"/>
          <w:szCs w:val="20"/>
        </w:rPr>
      </w:pPr>
    </w:p>
    <w:p w:rsidR="00921A27" w:rsidRDefault="00921A27" w:rsidP="00921A27">
      <w:pPr>
        <w:keepNext/>
        <w:tabs>
          <w:tab w:val="left" w:pos="2450"/>
        </w:tabs>
      </w:pPr>
      <w:r>
        <w:rPr>
          <w:rFonts w:cs="Times New Roman"/>
          <w:bCs/>
          <w:noProof/>
          <w:sz w:val="20"/>
          <w:szCs w:val="20"/>
          <w:lang w:eastAsia="hr-HR"/>
        </w:rPr>
        <w:drawing>
          <wp:inline distT="0" distB="0" distL="0" distR="0" wp14:anchorId="5FD2AB50" wp14:editId="30030B42">
            <wp:extent cx="4305600"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6_10 5 T x4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600" cy="3240000"/>
                    </a:xfrm>
                    <a:prstGeom prst="rect">
                      <a:avLst/>
                    </a:prstGeom>
                  </pic:spPr>
                </pic:pic>
              </a:graphicData>
            </a:graphic>
          </wp:inline>
        </w:drawing>
      </w:r>
    </w:p>
    <w:p w:rsidR="00C47C5C" w:rsidRDefault="00921A27" w:rsidP="00921A27">
      <w:pPr>
        <w:pStyle w:val="Caption"/>
        <w:rPr>
          <w:b w:val="0"/>
          <w:color w:val="auto"/>
        </w:rPr>
      </w:pPr>
      <w:r w:rsidRPr="00921A27">
        <w:rPr>
          <w:b w:val="0"/>
          <w:color w:val="auto"/>
        </w:rPr>
        <w:t xml:space="preserve">Slika </w:t>
      </w:r>
      <w:r w:rsidRPr="00921A27">
        <w:rPr>
          <w:b w:val="0"/>
          <w:color w:val="auto"/>
        </w:rPr>
        <w:fldChar w:fldCharType="begin"/>
      </w:r>
      <w:r w:rsidRPr="00921A27">
        <w:rPr>
          <w:b w:val="0"/>
          <w:color w:val="auto"/>
        </w:rPr>
        <w:instrText xml:space="preserve"> SEQ Slika \* ARABIC </w:instrText>
      </w:r>
      <w:r w:rsidRPr="00921A27">
        <w:rPr>
          <w:b w:val="0"/>
          <w:color w:val="auto"/>
        </w:rPr>
        <w:fldChar w:fldCharType="separate"/>
      </w:r>
      <w:r w:rsidR="00B23F9B">
        <w:rPr>
          <w:b w:val="0"/>
          <w:noProof/>
          <w:color w:val="auto"/>
        </w:rPr>
        <w:t>3</w:t>
      </w:r>
      <w:r w:rsidRPr="00921A27">
        <w:rPr>
          <w:b w:val="0"/>
          <w:color w:val="auto"/>
        </w:rPr>
        <w:fldChar w:fldCharType="end"/>
      </w:r>
      <w:r w:rsidRPr="00921A27">
        <w:rPr>
          <w:b w:val="0"/>
          <w:color w:val="auto"/>
        </w:rPr>
        <w:t>.</w:t>
      </w:r>
      <w:r>
        <w:rPr>
          <w:b w:val="0"/>
          <w:color w:val="auto"/>
        </w:rPr>
        <w:t xml:space="preserve"> </w:t>
      </w:r>
      <w:r w:rsidR="00E12B98" w:rsidRPr="00E12B98">
        <w:rPr>
          <w:b w:val="0"/>
          <w:color w:val="auto"/>
        </w:rPr>
        <w:t>Izražen</w:t>
      </w:r>
      <w:r w:rsidR="00E12B98">
        <w:rPr>
          <w:b w:val="0"/>
          <w:color w:val="auto"/>
        </w:rPr>
        <w:t xml:space="preserve">ost proteina </w:t>
      </w:r>
      <w:proofErr w:type="spellStart"/>
      <w:r w:rsidR="00E12B98">
        <w:rPr>
          <w:b w:val="0"/>
          <w:color w:val="auto"/>
        </w:rPr>
        <w:t>pentraxin</w:t>
      </w:r>
      <w:proofErr w:type="spellEnd"/>
      <w:r w:rsidR="00E12B98">
        <w:rPr>
          <w:b w:val="0"/>
          <w:color w:val="auto"/>
        </w:rPr>
        <w:t xml:space="preserve"> 3 u </w:t>
      </w:r>
      <w:r w:rsidR="00E12B98" w:rsidRPr="00E12B98">
        <w:rPr>
          <w:b w:val="0"/>
          <w:color w:val="auto"/>
        </w:rPr>
        <w:t xml:space="preserve">tumorskom tkivu, povećanje </w:t>
      </w:r>
      <w:r w:rsidR="00E12B98">
        <w:rPr>
          <w:b w:val="0"/>
          <w:color w:val="auto"/>
        </w:rPr>
        <w:t>400</w:t>
      </w:r>
      <w:r w:rsidR="00E12B98" w:rsidRPr="00E12B98">
        <w:rPr>
          <w:b w:val="0"/>
          <w:color w:val="auto"/>
        </w:rPr>
        <w:t>x</w:t>
      </w:r>
    </w:p>
    <w:p w:rsidR="00921A27" w:rsidRDefault="00921A27" w:rsidP="00921A27"/>
    <w:p w:rsidR="00921A27" w:rsidRDefault="00B75A47" w:rsidP="00921A27">
      <w:pPr>
        <w:keepNext/>
      </w:pPr>
      <w:r>
        <w:rPr>
          <w:noProof/>
          <w:lang w:eastAsia="hr-HR"/>
        </w:rPr>
        <w:lastRenderedPageBreak/>
        <w:drawing>
          <wp:inline distT="0" distB="0" distL="0" distR="0">
            <wp:extent cx="4784400" cy="36000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09_12 8 x100 T i uredne žlijez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84400" cy="3600000"/>
                    </a:xfrm>
                    <a:prstGeom prst="rect">
                      <a:avLst/>
                    </a:prstGeom>
                  </pic:spPr>
                </pic:pic>
              </a:graphicData>
            </a:graphic>
          </wp:inline>
        </w:drawing>
      </w:r>
    </w:p>
    <w:p w:rsidR="00E12B98" w:rsidRPr="00E12B98" w:rsidRDefault="00921A27" w:rsidP="00E12B98">
      <w:pPr>
        <w:pStyle w:val="Caption"/>
        <w:rPr>
          <w:b w:val="0"/>
          <w:color w:val="auto"/>
        </w:rPr>
      </w:pPr>
      <w:r w:rsidRPr="00921A27">
        <w:rPr>
          <w:b w:val="0"/>
          <w:color w:val="auto"/>
        </w:rPr>
        <w:t xml:space="preserve">Slika </w:t>
      </w:r>
      <w:r w:rsidRPr="00921A27">
        <w:rPr>
          <w:b w:val="0"/>
          <w:color w:val="auto"/>
        </w:rPr>
        <w:fldChar w:fldCharType="begin"/>
      </w:r>
      <w:r w:rsidRPr="00921A27">
        <w:rPr>
          <w:b w:val="0"/>
          <w:color w:val="auto"/>
        </w:rPr>
        <w:instrText xml:space="preserve"> SEQ Slika \* ARABIC </w:instrText>
      </w:r>
      <w:r w:rsidRPr="00921A27">
        <w:rPr>
          <w:b w:val="0"/>
          <w:color w:val="auto"/>
        </w:rPr>
        <w:fldChar w:fldCharType="separate"/>
      </w:r>
      <w:r w:rsidR="00B23F9B">
        <w:rPr>
          <w:b w:val="0"/>
          <w:noProof/>
          <w:color w:val="auto"/>
        </w:rPr>
        <w:t>4</w:t>
      </w:r>
      <w:r w:rsidRPr="00921A27">
        <w:rPr>
          <w:b w:val="0"/>
          <w:color w:val="auto"/>
        </w:rPr>
        <w:fldChar w:fldCharType="end"/>
      </w:r>
      <w:r w:rsidRPr="00921A27">
        <w:rPr>
          <w:b w:val="0"/>
          <w:color w:val="auto"/>
        </w:rPr>
        <w:t>.</w:t>
      </w:r>
      <w:r w:rsidR="00B75A47" w:rsidRPr="00B75A47">
        <w:t xml:space="preserve"> </w:t>
      </w:r>
      <w:r w:rsidR="00E12B98" w:rsidRPr="00E12B98">
        <w:rPr>
          <w:b w:val="0"/>
          <w:color w:val="auto"/>
        </w:rPr>
        <w:t>Izra</w:t>
      </w:r>
      <w:r w:rsidR="00E12B98">
        <w:rPr>
          <w:b w:val="0"/>
          <w:color w:val="auto"/>
        </w:rPr>
        <w:t xml:space="preserve">ženost proteina </w:t>
      </w:r>
      <w:proofErr w:type="spellStart"/>
      <w:r w:rsidR="00E12B98">
        <w:rPr>
          <w:b w:val="0"/>
          <w:color w:val="auto"/>
        </w:rPr>
        <w:t>pentraxin</w:t>
      </w:r>
      <w:proofErr w:type="spellEnd"/>
      <w:r w:rsidR="00E12B98">
        <w:rPr>
          <w:b w:val="0"/>
          <w:color w:val="auto"/>
        </w:rPr>
        <w:t xml:space="preserve"> 3 u </w:t>
      </w:r>
      <w:r w:rsidR="00E12B98" w:rsidRPr="00E12B98">
        <w:rPr>
          <w:b w:val="0"/>
          <w:color w:val="auto"/>
        </w:rPr>
        <w:t>tumorskom tkivu, povećanje 100x</w:t>
      </w:r>
      <w:r w:rsidR="00E12B98">
        <w:rPr>
          <w:b w:val="0"/>
          <w:color w:val="auto"/>
        </w:rPr>
        <w:t>. Strjelica prikazuje zdravo tkivo na granici s tumorskim</w:t>
      </w:r>
      <w:r w:rsidR="001C5792">
        <w:rPr>
          <w:b w:val="0"/>
          <w:color w:val="auto"/>
        </w:rPr>
        <w:t xml:space="preserve"> tkivom gdje se vidi smanjena izraženost proteina </w:t>
      </w:r>
      <w:proofErr w:type="spellStart"/>
      <w:r w:rsidR="001C5792">
        <w:rPr>
          <w:b w:val="0"/>
          <w:color w:val="auto"/>
        </w:rPr>
        <w:t>pentraxin</w:t>
      </w:r>
      <w:proofErr w:type="spellEnd"/>
      <w:r w:rsidR="001C5792">
        <w:rPr>
          <w:b w:val="0"/>
          <w:color w:val="auto"/>
        </w:rPr>
        <w:t xml:space="preserve"> 3 u odnosu na tumor</w:t>
      </w:r>
    </w:p>
    <w:p w:rsidR="009750D6" w:rsidRDefault="009750D6" w:rsidP="00E152B3">
      <w:pPr>
        <w:tabs>
          <w:tab w:val="left" w:pos="2450"/>
        </w:tabs>
        <w:rPr>
          <w:rFonts w:cs="Times New Roman"/>
          <w:bCs/>
          <w:sz w:val="20"/>
          <w:szCs w:val="20"/>
        </w:rPr>
      </w:pPr>
    </w:p>
    <w:p w:rsidR="009750D6" w:rsidRDefault="009750D6" w:rsidP="00E152B3">
      <w:pPr>
        <w:tabs>
          <w:tab w:val="left" w:pos="2450"/>
        </w:tabs>
        <w:rPr>
          <w:rFonts w:cs="Times New Roman"/>
          <w:bCs/>
          <w:sz w:val="20"/>
          <w:szCs w:val="20"/>
        </w:rPr>
      </w:pPr>
    </w:p>
    <w:p w:rsidR="00A70FC4" w:rsidRPr="0088624C" w:rsidRDefault="009538C5" w:rsidP="00E152B3">
      <w:pPr>
        <w:tabs>
          <w:tab w:val="left" w:pos="2450"/>
        </w:tabs>
        <w:rPr>
          <w:rFonts w:cs="Times New Roman"/>
          <w:bCs/>
          <w:sz w:val="20"/>
          <w:szCs w:val="20"/>
        </w:rPr>
      </w:pPr>
      <w:r w:rsidRPr="0088624C">
        <w:rPr>
          <w:rFonts w:cs="Times New Roman"/>
          <w:bCs/>
          <w:sz w:val="20"/>
          <w:szCs w:val="20"/>
        </w:rPr>
        <w:t>Rezultate analize</w:t>
      </w:r>
      <w:r w:rsidR="00A70FC4" w:rsidRPr="0088624C">
        <w:rPr>
          <w:rFonts w:cs="Times New Roman"/>
          <w:bCs/>
          <w:sz w:val="20"/>
          <w:szCs w:val="20"/>
        </w:rPr>
        <w:t xml:space="preserve"> imunohistokemijske reakcije obzirom na intenzitet bojenja (</w:t>
      </w:r>
      <w:r w:rsidR="00824773">
        <w:rPr>
          <w:rFonts w:cs="Times New Roman"/>
          <w:bCs/>
          <w:sz w:val="20"/>
          <w:szCs w:val="20"/>
        </w:rPr>
        <w:t>SI, engl. staining intensity) prikazuju</w:t>
      </w:r>
      <w:r w:rsidRPr="0088624C">
        <w:rPr>
          <w:rFonts w:cs="Times New Roman"/>
          <w:bCs/>
          <w:sz w:val="20"/>
          <w:szCs w:val="20"/>
        </w:rPr>
        <w:t xml:space="preserve"> Tablica 3. i Slika</w:t>
      </w:r>
      <w:r w:rsidR="008E2F42">
        <w:rPr>
          <w:rFonts w:cs="Times New Roman"/>
          <w:bCs/>
          <w:sz w:val="20"/>
          <w:szCs w:val="20"/>
        </w:rPr>
        <w:t xml:space="preserve"> </w:t>
      </w:r>
      <w:r w:rsidR="007751CF">
        <w:rPr>
          <w:rFonts w:cs="Times New Roman"/>
          <w:bCs/>
          <w:sz w:val="20"/>
          <w:szCs w:val="20"/>
        </w:rPr>
        <w:t>5</w:t>
      </w:r>
      <w:r w:rsidRPr="0088624C">
        <w:rPr>
          <w:rFonts w:cs="Times New Roman"/>
          <w:bCs/>
          <w:sz w:val="20"/>
          <w:szCs w:val="20"/>
        </w:rPr>
        <w:t xml:space="preserve">. </w:t>
      </w:r>
    </w:p>
    <w:p w:rsidR="00C47C5C" w:rsidRPr="0088624C" w:rsidRDefault="00C47C5C" w:rsidP="00CC392F">
      <w:pPr>
        <w:pStyle w:val="Caption"/>
        <w:keepNext/>
        <w:rPr>
          <w:rFonts w:cs="Times New Roman"/>
          <w:b w:val="0"/>
          <w:color w:val="auto"/>
          <w:sz w:val="20"/>
          <w:szCs w:val="20"/>
        </w:rPr>
      </w:pPr>
    </w:p>
    <w:p w:rsidR="00A70FC4" w:rsidRPr="0088624C" w:rsidRDefault="00A70FC4" w:rsidP="00CC392F">
      <w:pPr>
        <w:pStyle w:val="Caption"/>
        <w:keepNext/>
        <w:rPr>
          <w:b w:val="0"/>
          <w:color w:val="auto"/>
          <w:sz w:val="20"/>
          <w:szCs w:val="20"/>
        </w:rPr>
      </w:pPr>
      <w:r w:rsidRPr="0088624C">
        <w:rPr>
          <w:b w:val="0"/>
          <w:color w:val="auto"/>
          <w:sz w:val="20"/>
          <w:szCs w:val="20"/>
        </w:rPr>
        <w:t>Tablica 3.</w:t>
      </w:r>
    </w:p>
    <w:tbl>
      <w:tblPr>
        <w:tblStyle w:val="TableGrid"/>
        <w:tblW w:w="0" w:type="auto"/>
        <w:tblLook w:val="04A0" w:firstRow="1" w:lastRow="0" w:firstColumn="1" w:lastColumn="0" w:noHBand="0" w:noVBand="1"/>
      </w:tblPr>
      <w:tblGrid>
        <w:gridCol w:w="2034"/>
        <w:gridCol w:w="1841"/>
        <w:gridCol w:w="1928"/>
        <w:gridCol w:w="1688"/>
        <w:gridCol w:w="1797"/>
      </w:tblGrid>
      <w:tr w:rsidR="00BD0B18" w:rsidRPr="0088624C" w:rsidTr="00BD0B18">
        <w:tc>
          <w:tcPr>
            <w:tcW w:w="2034" w:type="dxa"/>
          </w:tcPr>
          <w:p w:rsidR="00BD0B18" w:rsidRPr="0088624C" w:rsidRDefault="00BD0B18" w:rsidP="00E152B3">
            <w:pPr>
              <w:tabs>
                <w:tab w:val="left" w:pos="2450"/>
              </w:tabs>
              <w:rPr>
                <w:rFonts w:cs="Times New Roman"/>
                <w:bCs/>
                <w:sz w:val="20"/>
                <w:szCs w:val="20"/>
              </w:rPr>
            </w:pPr>
            <w:r w:rsidRPr="0088624C">
              <w:rPr>
                <w:rFonts w:cs="Times New Roman"/>
                <w:bCs/>
                <w:sz w:val="20"/>
                <w:szCs w:val="20"/>
              </w:rPr>
              <w:t>INTENZITET OBOJENJA (SI)</w:t>
            </w:r>
          </w:p>
        </w:tc>
        <w:tc>
          <w:tcPr>
            <w:tcW w:w="1841" w:type="dxa"/>
          </w:tcPr>
          <w:p w:rsidR="00BD0B18" w:rsidRPr="0088624C" w:rsidRDefault="00BD0B18" w:rsidP="00E152B3">
            <w:pPr>
              <w:tabs>
                <w:tab w:val="left" w:pos="2450"/>
              </w:tabs>
              <w:rPr>
                <w:rFonts w:cs="Times New Roman"/>
                <w:bCs/>
                <w:sz w:val="20"/>
                <w:szCs w:val="20"/>
              </w:rPr>
            </w:pPr>
            <w:r w:rsidRPr="0088624C">
              <w:rPr>
                <w:rFonts w:cs="Times New Roman"/>
                <w:bCs/>
                <w:sz w:val="20"/>
                <w:szCs w:val="20"/>
              </w:rPr>
              <w:t>SLAB</w:t>
            </w:r>
          </w:p>
        </w:tc>
        <w:tc>
          <w:tcPr>
            <w:tcW w:w="1928" w:type="dxa"/>
          </w:tcPr>
          <w:p w:rsidR="00BD0B18" w:rsidRPr="0088624C" w:rsidRDefault="00061C8F" w:rsidP="00E152B3">
            <w:pPr>
              <w:tabs>
                <w:tab w:val="left" w:pos="2450"/>
              </w:tabs>
              <w:rPr>
                <w:rFonts w:cs="Times New Roman"/>
                <w:bCs/>
                <w:sz w:val="20"/>
                <w:szCs w:val="20"/>
              </w:rPr>
            </w:pPr>
            <w:r>
              <w:rPr>
                <w:rFonts w:cs="Times New Roman"/>
                <w:bCs/>
                <w:sz w:val="20"/>
                <w:szCs w:val="20"/>
              </w:rPr>
              <w:t>UMJEREN</w:t>
            </w:r>
          </w:p>
        </w:tc>
        <w:tc>
          <w:tcPr>
            <w:tcW w:w="1688" w:type="dxa"/>
          </w:tcPr>
          <w:p w:rsidR="00BD0B18" w:rsidRPr="0088624C" w:rsidRDefault="00BD0B18" w:rsidP="00E152B3">
            <w:pPr>
              <w:tabs>
                <w:tab w:val="left" w:pos="2450"/>
              </w:tabs>
              <w:rPr>
                <w:rFonts w:cs="Times New Roman"/>
                <w:bCs/>
                <w:sz w:val="20"/>
                <w:szCs w:val="20"/>
              </w:rPr>
            </w:pPr>
            <w:r>
              <w:rPr>
                <w:rFonts w:cs="Times New Roman"/>
                <w:bCs/>
                <w:sz w:val="20"/>
                <w:szCs w:val="20"/>
              </w:rPr>
              <w:t>JAK</w:t>
            </w:r>
          </w:p>
        </w:tc>
        <w:tc>
          <w:tcPr>
            <w:tcW w:w="1797" w:type="dxa"/>
          </w:tcPr>
          <w:p w:rsidR="00BD0B18" w:rsidRPr="0088624C" w:rsidRDefault="00061C8F" w:rsidP="00E152B3">
            <w:pPr>
              <w:tabs>
                <w:tab w:val="left" w:pos="2450"/>
              </w:tabs>
              <w:rPr>
                <w:rFonts w:cs="Times New Roman"/>
                <w:bCs/>
                <w:sz w:val="20"/>
                <w:szCs w:val="20"/>
              </w:rPr>
            </w:pPr>
            <w:r>
              <w:rPr>
                <w:rFonts w:cs="Times New Roman"/>
                <w:bCs/>
                <w:sz w:val="20"/>
                <w:szCs w:val="20"/>
              </w:rPr>
              <w:t>p</w:t>
            </w:r>
          </w:p>
        </w:tc>
      </w:tr>
      <w:tr w:rsidR="00061C8F" w:rsidRPr="0088624C" w:rsidTr="00BD0B18">
        <w:tc>
          <w:tcPr>
            <w:tcW w:w="2034" w:type="dxa"/>
          </w:tcPr>
          <w:p w:rsidR="00061C8F" w:rsidRPr="0088624C" w:rsidRDefault="00061C8F" w:rsidP="00E152B3">
            <w:pPr>
              <w:tabs>
                <w:tab w:val="left" w:pos="2450"/>
              </w:tabs>
              <w:rPr>
                <w:rFonts w:cs="Times New Roman"/>
                <w:bCs/>
                <w:sz w:val="20"/>
                <w:szCs w:val="20"/>
              </w:rPr>
            </w:pPr>
            <w:r w:rsidRPr="0088624C">
              <w:rPr>
                <w:rFonts w:cs="Times New Roman"/>
                <w:bCs/>
                <w:sz w:val="20"/>
                <w:szCs w:val="20"/>
              </w:rPr>
              <w:t>TUMOR</w:t>
            </w:r>
            <w:r>
              <w:rPr>
                <w:rFonts w:cs="Times New Roman"/>
                <w:bCs/>
                <w:sz w:val="20"/>
                <w:szCs w:val="20"/>
              </w:rPr>
              <w:t>, n (%)</w:t>
            </w:r>
          </w:p>
        </w:tc>
        <w:tc>
          <w:tcPr>
            <w:tcW w:w="1841" w:type="dxa"/>
          </w:tcPr>
          <w:p w:rsidR="00061C8F" w:rsidRPr="0088624C" w:rsidRDefault="00061C8F" w:rsidP="00E152B3">
            <w:pPr>
              <w:tabs>
                <w:tab w:val="left" w:pos="2450"/>
              </w:tabs>
              <w:rPr>
                <w:rFonts w:cs="Times New Roman"/>
                <w:bCs/>
                <w:sz w:val="20"/>
                <w:szCs w:val="20"/>
              </w:rPr>
            </w:pPr>
            <w:r w:rsidRPr="0088624C">
              <w:rPr>
                <w:rFonts w:cs="Times New Roman"/>
                <w:bCs/>
                <w:sz w:val="20"/>
                <w:szCs w:val="20"/>
              </w:rPr>
              <w:t>1</w:t>
            </w:r>
            <w:r>
              <w:rPr>
                <w:rFonts w:cs="Times New Roman"/>
                <w:bCs/>
                <w:sz w:val="20"/>
                <w:szCs w:val="20"/>
              </w:rPr>
              <w:t xml:space="preserve"> (</w:t>
            </w:r>
            <w:r w:rsidRPr="00061C8F">
              <w:rPr>
                <w:rFonts w:cs="Times New Roman"/>
                <w:bCs/>
                <w:sz w:val="20"/>
                <w:szCs w:val="20"/>
              </w:rPr>
              <w:t>5.3%</w:t>
            </w:r>
            <w:r>
              <w:rPr>
                <w:rFonts w:cs="Times New Roman"/>
                <w:bCs/>
                <w:sz w:val="20"/>
                <w:szCs w:val="20"/>
              </w:rPr>
              <w:t>)</w:t>
            </w:r>
          </w:p>
        </w:tc>
        <w:tc>
          <w:tcPr>
            <w:tcW w:w="1928" w:type="dxa"/>
          </w:tcPr>
          <w:p w:rsidR="00061C8F" w:rsidRPr="0088624C" w:rsidRDefault="00061C8F" w:rsidP="00E152B3">
            <w:pPr>
              <w:tabs>
                <w:tab w:val="left" w:pos="2450"/>
              </w:tabs>
              <w:rPr>
                <w:rFonts w:cs="Times New Roman"/>
                <w:bCs/>
                <w:sz w:val="20"/>
                <w:szCs w:val="20"/>
              </w:rPr>
            </w:pPr>
            <w:r w:rsidRPr="0088624C">
              <w:rPr>
                <w:rFonts w:cs="Times New Roman"/>
                <w:bCs/>
                <w:sz w:val="20"/>
                <w:szCs w:val="20"/>
              </w:rPr>
              <w:t>6</w:t>
            </w:r>
            <w:r>
              <w:rPr>
                <w:rFonts w:cs="Times New Roman"/>
                <w:bCs/>
                <w:sz w:val="20"/>
                <w:szCs w:val="20"/>
              </w:rPr>
              <w:t xml:space="preserve"> (</w:t>
            </w:r>
            <w:r w:rsidRPr="00061C8F">
              <w:rPr>
                <w:rFonts w:cs="Times New Roman"/>
                <w:bCs/>
                <w:sz w:val="20"/>
                <w:szCs w:val="20"/>
              </w:rPr>
              <w:t>31.6%</w:t>
            </w:r>
            <w:r>
              <w:rPr>
                <w:rFonts w:cs="Times New Roman"/>
                <w:bCs/>
                <w:sz w:val="20"/>
                <w:szCs w:val="20"/>
              </w:rPr>
              <w:t>)</w:t>
            </w:r>
          </w:p>
        </w:tc>
        <w:tc>
          <w:tcPr>
            <w:tcW w:w="1688" w:type="dxa"/>
          </w:tcPr>
          <w:p w:rsidR="00061C8F" w:rsidRPr="0088624C" w:rsidRDefault="00061C8F" w:rsidP="00E152B3">
            <w:pPr>
              <w:tabs>
                <w:tab w:val="left" w:pos="2450"/>
              </w:tabs>
              <w:rPr>
                <w:rFonts w:cs="Times New Roman"/>
                <w:bCs/>
                <w:sz w:val="20"/>
                <w:szCs w:val="20"/>
              </w:rPr>
            </w:pPr>
            <w:r>
              <w:rPr>
                <w:rFonts w:cs="Times New Roman"/>
                <w:bCs/>
                <w:sz w:val="20"/>
                <w:szCs w:val="20"/>
              </w:rPr>
              <w:t>12 (</w:t>
            </w:r>
            <w:r w:rsidRPr="00061C8F">
              <w:rPr>
                <w:rFonts w:cs="Times New Roman"/>
                <w:bCs/>
                <w:sz w:val="20"/>
                <w:szCs w:val="20"/>
              </w:rPr>
              <w:t>63.2%</w:t>
            </w:r>
            <w:r>
              <w:rPr>
                <w:rFonts w:cs="Times New Roman"/>
                <w:bCs/>
                <w:sz w:val="20"/>
                <w:szCs w:val="20"/>
              </w:rPr>
              <w:t>)</w:t>
            </w:r>
          </w:p>
        </w:tc>
        <w:tc>
          <w:tcPr>
            <w:tcW w:w="1797" w:type="dxa"/>
            <w:vMerge w:val="restart"/>
          </w:tcPr>
          <w:p w:rsidR="00061C8F" w:rsidRPr="0088624C" w:rsidRDefault="003A469F" w:rsidP="00E152B3">
            <w:pPr>
              <w:tabs>
                <w:tab w:val="left" w:pos="2450"/>
              </w:tabs>
              <w:rPr>
                <w:rFonts w:cs="Times New Roman"/>
                <w:bCs/>
                <w:sz w:val="20"/>
                <w:szCs w:val="20"/>
              </w:rPr>
            </w:pPr>
            <w:r w:rsidRPr="003A469F">
              <w:rPr>
                <w:rFonts w:cs="Times New Roman"/>
                <w:bCs/>
                <w:sz w:val="20"/>
                <w:szCs w:val="20"/>
              </w:rPr>
              <w:t>p&lt;0.001</w:t>
            </w:r>
          </w:p>
        </w:tc>
      </w:tr>
      <w:tr w:rsidR="00061C8F" w:rsidRPr="0088624C" w:rsidTr="00BD0B18">
        <w:tc>
          <w:tcPr>
            <w:tcW w:w="2034" w:type="dxa"/>
          </w:tcPr>
          <w:p w:rsidR="00061C8F" w:rsidRPr="0088624C" w:rsidRDefault="00061C8F" w:rsidP="00E152B3">
            <w:pPr>
              <w:tabs>
                <w:tab w:val="left" w:pos="2450"/>
              </w:tabs>
              <w:rPr>
                <w:rFonts w:cs="Times New Roman"/>
                <w:bCs/>
                <w:sz w:val="20"/>
                <w:szCs w:val="20"/>
              </w:rPr>
            </w:pPr>
            <w:r w:rsidRPr="0088624C">
              <w:rPr>
                <w:rFonts w:cs="Times New Roman"/>
                <w:bCs/>
                <w:sz w:val="20"/>
                <w:szCs w:val="20"/>
              </w:rPr>
              <w:t>KONTROLA</w:t>
            </w:r>
            <w:r>
              <w:rPr>
                <w:rFonts w:cs="Times New Roman"/>
                <w:bCs/>
                <w:sz w:val="20"/>
                <w:szCs w:val="20"/>
              </w:rPr>
              <w:t>, n (%)</w:t>
            </w:r>
          </w:p>
        </w:tc>
        <w:tc>
          <w:tcPr>
            <w:tcW w:w="1841" w:type="dxa"/>
          </w:tcPr>
          <w:p w:rsidR="00061C8F" w:rsidRPr="0088624C" w:rsidRDefault="00061C8F" w:rsidP="00E152B3">
            <w:pPr>
              <w:tabs>
                <w:tab w:val="left" w:pos="2450"/>
              </w:tabs>
              <w:rPr>
                <w:rFonts w:cs="Times New Roman"/>
                <w:bCs/>
                <w:sz w:val="20"/>
                <w:szCs w:val="20"/>
              </w:rPr>
            </w:pPr>
            <w:r w:rsidRPr="0088624C">
              <w:rPr>
                <w:rFonts w:cs="Times New Roman"/>
                <w:bCs/>
                <w:sz w:val="20"/>
                <w:szCs w:val="20"/>
              </w:rPr>
              <w:t>6</w:t>
            </w:r>
            <w:r>
              <w:rPr>
                <w:rFonts w:cs="Times New Roman"/>
                <w:bCs/>
                <w:sz w:val="20"/>
                <w:szCs w:val="20"/>
              </w:rPr>
              <w:t xml:space="preserve"> (</w:t>
            </w:r>
            <w:r w:rsidRPr="00061C8F">
              <w:rPr>
                <w:rFonts w:cs="Times New Roman"/>
                <w:bCs/>
                <w:sz w:val="20"/>
                <w:szCs w:val="20"/>
              </w:rPr>
              <w:t>31.6%</w:t>
            </w:r>
            <w:r>
              <w:rPr>
                <w:rFonts w:cs="Times New Roman"/>
                <w:bCs/>
                <w:sz w:val="20"/>
                <w:szCs w:val="20"/>
              </w:rPr>
              <w:t>)</w:t>
            </w:r>
          </w:p>
        </w:tc>
        <w:tc>
          <w:tcPr>
            <w:tcW w:w="1928" w:type="dxa"/>
          </w:tcPr>
          <w:p w:rsidR="00061C8F" w:rsidRPr="0088624C" w:rsidRDefault="00061C8F" w:rsidP="00E152B3">
            <w:pPr>
              <w:tabs>
                <w:tab w:val="left" w:pos="2450"/>
              </w:tabs>
              <w:rPr>
                <w:rFonts w:cs="Times New Roman"/>
                <w:bCs/>
                <w:sz w:val="20"/>
                <w:szCs w:val="20"/>
              </w:rPr>
            </w:pPr>
            <w:r w:rsidRPr="0088624C">
              <w:rPr>
                <w:rFonts w:cs="Times New Roman"/>
                <w:bCs/>
                <w:sz w:val="20"/>
                <w:szCs w:val="20"/>
              </w:rPr>
              <w:t>13</w:t>
            </w:r>
            <w:r>
              <w:rPr>
                <w:rFonts w:cs="Times New Roman"/>
                <w:bCs/>
                <w:sz w:val="20"/>
                <w:szCs w:val="20"/>
              </w:rPr>
              <w:t xml:space="preserve"> (</w:t>
            </w:r>
            <w:r w:rsidRPr="00061C8F">
              <w:rPr>
                <w:rFonts w:cs="Times New Roman"/>
                <w:bCs/>
                <w:sz w:val="20"/>
                <w:szCs w:val="20"/>
              </w:rPr>
              <w:t>68.4%</w:t>
            </w:r>
            <w:r>
              <w:rPr>
                <w:rFonts w:cs="Times New Roman"/>
                <w:bCs/>
                <w:sz w:val="20"/>
                <w:szCs w:val="20"/>
              </w:rPr>
              <w:t>)</w:t>
            </w:r>
          </w:p>
        </w:tc>
        <w:tc>
          <w:tcPr>
            <w:tcW w:w="1688" w:type="dxa"/>
          </w:tcPr>
          <w:p w:rsidR="00061C8F" w:rsidRPr="0088624C" w:rsidRDefault="00061C8F" w:rsidP="00E152B3">
            <w:pPr>
              <w:tabs>
                <w:tab w:val="left" w:pos="2450"/>
              </w:tabs>
              <w:rPr>
                <w:rFonts w:cs="Times New Roman"/>
                <w:bCs/>
                <w:sz w:val="20"/>
                <w:szCs w:val="20"/>
              </w:rPr>
            </w:pPr>
            <w:r>
              <w:rPr>
                <w:rFonts w:cs="Times New Roman"/>
                <w:bCs/>
                <w:sz w:val="20"/>
                <w:szCs w:val="20"/>
              </w:rPr>
              <w:t>0 (0.0%)</w:t>
            </w:r>
          </w:p>
        </w:tc>
        <w:tc>
          <w:tcPr>
            <w:tcW w:w="1797" w:type="dxa"/>
            <w:vMerge/>
          </w:tcPr>
          <w:p w:rsidR="00061C8F" w:rsidRPr="0088624C" w:rsidRDefault="00061C8F" w:rsidP="00E152B3">
            <w:pPr>
              <w:tabs>
                <w:tab w:val="left" w:pos="2450"/>
              </w:tabs>
              <w:rPr>
                <w:rFonts w:cs="Times New Roman"/>
                <w:bCs/>
                <w:sz w:val="20"/>
                <w:szCs w:val="20"/>
              </w:rPr>
            </w:pPr>
          </w:p>
        </w:tc>
      </w:tr>
    </w:tbl>
    <w:p w:rsidR="00061C8F" w:rsidRPr="00061C8F" w:rsidRDefault="00061C8F" w:rsidP="009750D6">
      <w:pPr>
        <w:keepNext/>
        <w:tabs>
          <w:tab w:val="left" w:pos="2450"/>
        </w:tabs>
        <w:spacing w:line="360" w:lineRule="auto"/>
        <w:jc w:val="both"/>
        <w:rPr>
          <w:sz w:val="20"/>
          <w:szCs w:val="20"/>
        </w:rPr>
      </w:pPr>
      <w:r w:rsidRPr="00061C8F">
        <w:rPr>
          <w:sz w:val="20"/>
          <w:szCs w:val="20"/>
        </w:rPr>
        <w:lastRenderedPageBreak/>
        <w:t>U tumorskoj skupini više je uzoraka s jakim intenzitetom obojenja, a razlika u i</w:t>
      </w:r>
      <w:r>
        <w:rPr>
          <w:sz w:val="20"/>
          <w:szCs w:val="20"/>
        </w:rPr>
        <w:t>ntenzitetu obojenja između dviju skupina</w:t>
      </w:r>
      <w:r w:rsidRPr="00061C8F">
        <w:rPr>
          <w:sz w:val="20"/>
          <w:szCs w:val="20"/>
        </w:rPr>
        <w:t xml:space="preserve"> uzoraka je statistički z</w:t>
      </w:r>
      <w:r w:rsidR="007C601E">
        <w:rPr>
          <w:sz w:val="20"/>
          <w:szCs w:val="20"/>
        </w:rPr>
        <w:t xml:space="preserve">načajna (Fisher exact test </w:t>
      </w:r>
      <w:r w:rsidRPr="00061C8F">
        <w:rPr>
          <w:sz w:val="20"/>
          <w:szCs w:val="20"/>
        </w:rPr>
        <w:t>=</w:t>
      </w:r>
      <w:r>
        <w:rPr>
          <w:sz w:val="20"/>
          <w:szCs w:val="20"/>
        </w:rPr>
        <w:t xml:space="preserve"> 19.627</w:t>
      </w:r>
      <w:r w:rsidRPr="00061C8F">
        <w:rPr>
          <w:sz w:val="20"/>
          <w:szCs w:val="20"/>
        </w:rPr>
        <w:t>, p</w:t>
      </w:r>
      <w:r>
        <w:rPr>
          <w:sz w:val="20"/>
          <w:szCs w:val="20"/>
        </w:rPr>
        <w:t xml:space="preserve"> </w:t>
      </w:r>
      <w:r w:rsidRPr="00061C8F">
        <w:rPr>
          <w:sz w:val="20"/>
          <w:szCs w:val="20"/>
        </w:rPr>
        <w:t>=</w:t>
      </w:r>
      <w:r>
        <w:rPr>
          <w:sz w:val="20"/>
          <w:szCs w:val="20"/>
        </w:rPr>
        <w:t xml:space="preserve"> </w:t>
      </w:r>
      <w:r w:rsidRPr="00061C8F">
        <w:rPr>
          <w:sz w:val="20"/>
          <w:szCs w:val="20"/>
        </w:rPr>
        <w:t>0.000025</w:t>
      </w:r>
      <w:r>
        <w:rPr>
          <w:sz w:val="20"/>
          <w:szCs w:val="20"/>
        </w:rPr>
        <w:t>).</w:t>
      </w:r>
    </w:p>
    <w:p w:rsidR="00061C8F" w:rsidRPr="00061C8F" w:rsidRDefault="00061C8F" w:rsidP="00061C8F">
      <w:pPr>
        <w:keepNext/>
        <w:tabs>
          <w:tab w:val="left" w:pos="2450"/>
        </w:tabs>
        <w:rPr>
          <w:sz w:val="20"/>
          <w:szCs w:val="20"/>
        </w:rPr>
      </w:pPr>
    </w:p>
    <w:p w:rsidR="003A469F" w:rsidRDefault="003A469F" w:rsidP="003A469F">
      <w:pPr>
        <w:pStyle w:val="Caption"/>
        <w:keepNext/>
        <w:jc w:val="both"/>
      </w:pPr>
      <w:r>
        <w:rPr>
          <w:b w:val="0"/>
          <w:noProof/>
          <w:color w:val="auto"/>
          <w:sz w:val="20"/>
          <w:szCs w:val="20"/>
          <w:lang w:eastAsia="hr-HR"/>
        </w:rPr>
        <w:drawing>
          <wp:inline distT="0" distB="0" distL="0" distR="0" wp14:anchorId="26DDB751" wp14:editId="22CE6682">
            <wp:extent cx="3996000" cy="288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ng"/>
                    <pic:cNvPicPr/>
                  </pic:nvPicPr>
                  <pic:blipFill>
                    <a:blip r:embed="rId14">
                      <a:extLst>
                        <a:ext uri="{28A0092B-C50C-407E-A947-70E740481C1C}">
                          <a14:useLocalDpi xmlns:a14="http://schemas.microsoft.com/office/drawing/2010/main" val="0"/>
                        </a:ext>
                      </a:extLst>
                    </a:blip>
                    <a:stretch>
                      <a:fillRect/>
                    </a:stretch>
                  </pic:blipFill>
                  <pic:spPr>
                    <a:xfrm>
                      <a:off x="0" y="0"/>
                      <a:ext cx="3996000" cy="2880000"/>
                    </a:xfrm>
                    <a:prstGeom prst="rect">
                      <a:avLst/>
                    </a:prstGeom>
                  </pic:spPr>
                </pic:pic>
              </a:graphicData>
            </a:graphic>
          </wp:inline>
        </w:drawing>
      </w:r>
    </w:p>
    <w:p w:rsidR="00061C8F" w:rsidRPr="003A469F" w:rsidRDefault="003A469F" w:rsidP="003A469F">
      <w:pPr>
        <w:pStyle w:val="Caption"/>
        <w:jc w:val="both"/>
        <w:rPr>
          <w:rFonts w:cs="Times New Roman"/>
          <w:b w:val="0"/>
          <w:color w:val="auto"/>
          <w:sz w:val="20"/>
          <w:szCs w:val="20"/>
        </w:rPr>
      </w:pPr>
      <w:r>
        <w:rPr>
          <w:rFonts w:cs="Times New Roman"/>
          <w:b w:val="0"/>
          <w:color w:val="auto"/>
        </w:rPr>
        <w:t xml:space="preserve">         </w:t>
      </w:r>
      <w:r w:rsidRPr="003A469F">
        <w:rPr>
          <w:rFonts w:cs="Times New Roman"/>
          <w:b w:val="0"/>
          <w:color w:val="auto"/>
        </w:rPr>
        <w:t xml:space="preserve">Slika </w:t>
      </w:r>
      <w:r w:rsidRPr="003A469F">
        <w:rPr>
          <w:rFonts w:cs="Times New Roman"/>
          <w:b w:val="0"/>
          <w:color w:val="auto"/>
        </w:rPr>
        <w:fldChar w:fldCharType="begin"/>
      </w:r>
      <w:r w:rsidRPr="003A469F">
        <w:rPr>
          <w:rFonts w:cs="Times New Roman"/>
          <w:b w:val="0"/>
          <w:color w:val="auto"/>
        </w:rPr>
        <w:instrText xml:space="preserve"> SEQ Slika \* ARABIC </w:instrText>
      </w:r>
      <w:r w:rsidRPr="003A469F">
        <w:rPr>
          <w:rFonts w:cs="Times New Roman"/>
          <w:b w:val="0"/>
          <w:color w:val="auto"/>
        </w:rPr>
        <w:fldChar w:fldCharType="separate"/>
      </w:r>
      <w:r w:rsidR="00B23F9B">
        <w:rPr>
          <w:rFonts w:cs="Times New Roman"/>
          <w:b w:val="0"/>
          <w:noProof/>
          <w:color w:val="auto"/>
        </w:rPr>
        <w:t>5</w:t>
      </w:r>
      <w:r w:rsidRPr="003A469F">
        <w:rPr>
          <w:rFonts w:cs="Times New Roman"/>
          <w:b w:val="0"/>
          <w:color w:val="auto"/>
        </w:rPr>
        <w:fldChar w:fldCharType="end"/>
      </w:r>
      <w:r w:rsidRPr="003A469F">
        <w:rPr>
          <w:rFonts w:cs="Times New Roman"/>
          <w:b w:val="0"/>
          <w:color w:val="auto"/>
        </w:rPr>
        <w:t>.</w:t>
      </w:r>
      <w:r w:rsidR="007751CF">
        <w:rPr>
          <w:rFonts w:cs="Times New Roman"/>
          <w:b w:val="0"/>
          <w:color w:val="auto"/>
        </w:rPr>
        <w:t xml:space="preserve"> Intenzitet obojenja.</w:t>
      </w:r>
    </w:p>
    <w:p w:rsidR="00061C8F" w:rsidRDefault="00061C8F" w:rsidP="00CC392F">
      <w:pPr>
        <w:pStyle w:val="Caption"/>
        <w:rPr>
          <w:b w:val="0"/>
          <w:color w:val="auto"/>
          <w:sz w:val="20"/>
          <w:szCs w:val="20"/>
        </w:rPr>
      </w:pPr>
    </w:p>
    <w:p w:rsidR="00D16B79" w:rsidRDefault="00D16B79" w:rsidP="000D253A">
      <w:pPr>
        <w:rPr>
          <w:bCs/>
          <w:sz w:val="20"/>
          <w:szCs w:val="20"/>
        </w:rPr>
      </w:pPr>
    </w:p>
    <w:p w:rsidR="007751CF" w:rsidRDefault="007751CF" w:rsidP="000D253A">
      <w:pPr>
        <w:rPr>
          <w:rFonts w:cs="Times New Roman"/>
          <w:bCs/>
          <w:sz w:val="20"/>
          <w:szCs w:val="20"/>
        </w:rPr>
      </w:pPr>
    </w:p>
    <w:p w:rsidR="000D253A" w:rsidRDefault="00530B96" w:rsidP="009750D6">
      <w:pPr>
        <w:spacing w:line="360" w:lineRule="auto"/>
        <w:jc w:val="both"/>
        <w:rPr>
          <w:rFonts w:cs="Times New Roman"/>
          <w:bCs/>
          <w:sz w:val="20"/>
          <w:szCs w:val="20"/>
        </w:rPr>
      </w:pPr>
      <w:r>
        <w:rPr>
          <w:rFonts w:cs="Times New Roman"/>
          <w:bCs/>
          <w:sz w:val="20"/>
          <w:szCs w:val="20"/>
        </w:rPr>
        <w:t>R</w:t>
      </w:r>
      <w:r w:rsidR="000D253A" w:rsidRPr="0088624C">
        <w:rPr>
          <w:rFonts w:cs="Times New Roman"/>
          <w:bCs/>
          <w:sz w:val="20"/>
          <w:szCs w:val="20"/>
        </w:rPr>
        <w:t>ezultate analize imunohistokemij</w:t>
      </w:r>
      <w:r w:rsidR="009710DE" w:rsidRPr="0088624C">
        <w:rPr>
          <w:rFonts w:cs="Times New Roman"/>
          <w:bCs/>
          <w:sz w:val="20"/>
          <w:szCs w:val="20"/>
        </w:rPr>
        <w:t>s</w:t>
      </w:r>
      <w:r w:rsidR="000D253A" w:rsidRPr="0088624C">
        <w:rPr>
          <w:rFonts w:cs="Times New Roman"/>
          <w:bCs/>
          <w:sz w:val="20"/>
          <w:szCs w:val="20"/>
        </w:rPr>
        <w:t>ke reakcije obzirom</w:t>
      </w:r>
      <w:r w:rsidR="003A469F">
        <w:rPr>
          <w:rFonts w:cs="Times New Roman"/>
          <w:bCs/>
          <w:sz w:val="20"/>
          <w:szCs w:val="20"/>
        </w:rPr>
        <w:t xml:space="preserve"> na postotak pozitivnih stanica </w:t>
      </w:r>
      <w:r w:rsidR="000D253A" w:rsidRPr="0088624C">
        <w:rPr>
          <w:rFonts w:cs="Times New Roman"/>
          <w:bCs/>
          <w:sz w:val="20"/>
          <w:szCs w:val="20"/>
        </w:rPr>
        <w:t>(</w:t>
      </w:r>
      <w:r w:rsidR="003A469F">
        <w:rPr>
          <w:rFonts w:cs="Times New Roman"/>
          <w:bCs/>
          <w:sz w:val="20"/>
          <w:szCs w:val="20"/>
        </w:rPr>
        <w:t xml:space="preserve">PP, engl. </w:t>
      </w:r>
      <w:r w:rsidR="000D253A" w:rsidRPr="0088624C">
        <w:rPr>
          <w:rFonts w:cs="Times New Roman"/>
          <w:bCs/>
          <w:sz w:val="20"/>
          <w:szCs w:val="20"/>
        </w:rPr>
        <w:t>per</w:t>
      </w:r>
      <w:r>
        <w:rPr>
          <w:rFonts w:cs="Times New Roman"/>
          <w:bCs/>
          <w:sz w:val="20"/>
          <w:szCs w:val="20"/>
        </w:rPr>
        <w:t>centage of positive cells) pokazuju t</w:t>
      </w:r>
      <w:r w:rsidR="007751CF">
        <w:rPr>
          <w:rFonts w:cs="Times New Roman"/>
          <w:bCs/>
          <w:sz w:val="20"/>
          <w:szCs w:val="20"/>
        </w:rPr>
        <w:t>ablica 4. i Slika 6</w:t>
      </w:r>
      <w:r w:rsidRPr="00530B96">
        <w:rPr>
          <w:rFonts w:cs="Times New Roman"/>
          <w:bCs/>
          <w:sz w:val="20"/>
          <w:szCs w:val="20"/>
        </w:rPr>
        <w:t>.</w:t>
      </w:r>
    </w:p>
    <w:p w:rsidR="009750D6" w:rsidRPr="0088624C" w:rsidRDefault="009750D6" w:rsidP="009750D6">
      <w:pPr>
        <w:spacing w:line="360" w:lineRule="auto"/>
        <w:jc w:val="both"/>
        <w:rPr>
          <w:rFonts w:cs="Times New Roman"/>
          <w:bCs/>
          <w:sz w:val="20"/>
          <w:szCs w:val="20"/>
        </w:rPr>
      </w:pPr>
    </w:p>
    <w:p w:rsidR="000D253A" w:rsidRPr="0088624C" w:rsidRDefault="000D253A" w:rsidP="000D253A">
      <w:pPr>
        <w:pStyle w:val="Caption"/>
        <w:keepNext/>
        <w:rPr>
          <w:b w:val="0"/>
          <w:color w:val="auto"/>
          <w:sz w:val="20"/>
          <w:szCs w:val="20"/>
        </w:rPr>
      </w:pPr>
      <w:r w:rsidRPr="0088624C">
        <w:rPr>
          <w:b w:val="0"/>
          <w:color w:val="auto"/>
          <w:sz w:val="20"/>
          <w:szCs w:val="20"/>
        </w:rPr>
        <w:t>Tablica 4.</w:t>
      </w:r>
    </w:p>
    <w:tbl>
      <w:tblPr>
        <w:tblStyle w:val="TableGrid"/>
        <w:tblW w:w="0" w:type="auto"/>
        <w:tblLook w:val="04A0" w:firstRow="1" w:lastRow="0" w:firstColumn="1" w:lastColumn="0" w:noHBand="0" w:noVBand="1"/>
      </w:tblPr>
      <w:tblGrid>
        <w:gridCol w:w="2193"/>
        <w:gridCol w:w="1465"/>
        <w:gridCol w:w="1567"/>
        <w:gridCol w:w="1363"/>
        <w:gridCol w:w="1441"/>
        <w:gridCol w:w="1259"/>
      </w:tblGrid>
      <w:tr w:rsidR="007C601E" w:rsidRPr="0088624C" w:rsidTr="007C601E">
        <w:tc>
          <w:tcPr>
            <w:tcW w:w="2193" w:type="dxa"/>
          </w:tcPr>
          <w:p w:rsidR="007C601E" w:rsidRPr="0088624C" w:rsidRDefault="007C601E" w:rsidP="000D253A">
            <w:pPr>
              <w:rPr>
                <w:rFonts w:cs="Times New Roman"/>
                <w:bCs/>
                <w:sz w:val="20"/>
                <w:szCs w:val="20"/>
              </w:rPr>
            </w:pPr>
            <w:r w:rsidRPr="0088624C">
              <w:rPr>
                <w:rFonts w:cs="Times New Roman"/>
                <w:bCs/>
                <w:sz w:val="20"/>
                <w:szCs w:val="20"/>
              </w:rPr>
              <w:t>POSTOTAK POZITIVNIH STANICA</w:t>
            </w:r>
            <w:r>
              <w:rPr>
                <w:rFonts w:cs="Times New Roman"/>
                <w:bCs/>
                <w:sz w:val="20"/>
                <w:szCs w:val="20"/>
              </w:rPr>
              <w:t xml:space="preserve"> (PP)</w:t>
            </w:r>
          </w:p>
        </w:tc>
        <w:tc>
          <w:tcPr>
            <w:tcW w:w="1465" w:type="dxa"/>
          </w:tcPr>
          <w:p w:rsidR="007C601E" w:rsidRPr="0088624C" w:rsidRDefault="007C601E" w:rsidP="000D253A">
            <w:pPr>
              <w:rPr>
                <w:rFonts w:cs="Times New Roman"/>
                <w:bCs/>
                <w:sz w:val="20"/>
                <w:szCs w:val="20"/>
              </w:rPr>
            </w:pPr>
            <w:r>
              <w:rPr>
                <w:rFonts w:cs="Times New Roman"/>
                <w:bCs/>
                <w:sz w:val="20"/>
                <w:szCs w:val="20"/>
              </w:rPr>
              <w:t>Do 1</w:t>
            </w:r>
            <w:r w:rsidRPr="0088624C">
              <w:rPr>
                <w:rFonts w:cs="Times New Roman"/>
                <w:bCs/>
                <w:sz w:val="20"/>
                <w:szCs w:val="20"/>
              </w:rPr>
              <w:t>0%</w:t>
            </w:r>
          </w:p>
        </w:tc>
        <w:tc>
          <w:tcPr>
            <w:tcW w:w="1567" w:type="dxa"/>
          </w:tcPr>
          <w:p w:rsidR="007C601E" w:rsidRPr="0088624C" w:rsidRDefault="007C601E" w:rsidP="000D253A">
            <w:pPr>
              <w:rPr>
                <w:rFonts w:cs="Times New Roman"/>
                <w:bCs/>
                <w:sz w:val="20"/>
                <w:szCs w:val="20"/>
              </w:rPr>
            </w:pPr>
            <w:r>
              <w:rPr>
                <w:rFonts w:cs="Times New Roman"/>
                <w:bCs/>
                <w:sz w:val="20"/>
                <w:szCs w:val="20"/>
              </w:rPr>
              <w:t>11 – 5</w:t>
            </w:r>
            <w:r w:rsidRPr="0088624C">
              <w:rPr>
                <w:rFonts w:cs="Times New Roman"/>
                <w:bCs/>
                <w:sz w:val="20"/>
                <w:szCs w:val="20"/>
              </w:rPr>
              <w:t>0%</w:t>
            </w:r>
          </w:p>
        </w:tc>
        <w:tc>
          <w:tcPr>
            <w:tcW w:w="1363" w:type="dxa"/>
          </w:tcPr>
          <w:p w:rsidR="007C601E" w:rsidRPr="0088624C" w:rsidRDefault="007C601E" w:rsidP="000D253A">
            <w:pPr>
              <w:rPr>
                <w:rFonts w:cs="Times New Roman"/>
                <w:bCs/>
                <w:sz w:val="20"/>
                <w:szCs w:val="20"/>
              </w:rPr>
            </w:pPr>
            <w:r>
              <w:rPr>
                <w:rFonts w:cs="Times New Roman"/>
                <w:bCs/>
                <w:sz w:val="20"/>
                <w:szCs w:val="20"/>
              </w:rPr>
              <w:t>51 – 8</w:t>
            </w:r>
            <w:r w:rsidRPr="0088624C">
              <w:rPr>
                <w:rFonts w:cs="Times New Roman"/>
                <w:bCs/>
                <w:sz w:val="20"/>
                <w:szCs w:val="20"/>
              </w:rPr>
              <w:t>0%</w:t>
            </w:r>
          </w:p>
        </w:tc>
        <w:tc>
          <w:tcPr>
            <w:tcW w:w="1441" w:type="dxa"/>
          </w:tcPr>
          <w:p w:rsidR="007C601E" w:rsidRPr="0088624C" w:rsidRDefault="007C601E" w:rsidP="000D253A">
            <w:pPr>
              <w:rPr>
                <w:rFonts w:cs="Times New Roman"/>
                <w:bCs/>
                <w:sz w:val="20"/>
                <w:szCs w:val="20"/>
              </w:rPr>
            </w:pPr>
            <w:r w:rsidRPr="0088624C">
              <w:rPr>
                <w:rFonts w:cs="Times New Roman"/>
                <w:bCs/>
                <w:sz w:val="20"/>
                <w:szCs w:val="20"/>
              </w:rPr>
              <w:t>&gt;</w:t>
            </w:r>
            <w:r>
              <w:rPr>
                <w:rFonts w:cs="Times New Roman"/>
                <w:bCs/>
                <w:sz w:val="20"/>
                <w:szCs w:val="20"/>
              </w:rPr>
              <w:t xml:space="preserve"> </w:t>
            </w:r>
            <w:r w:rsidRPr="0088624C">
              <w:rPr>
                <w:rFonts w:cs="Times New Roman"/>
                <w:bCs/>
                <w:sz w:val="20"/>
                <w:szCs w:val="20"/>
              </w:rPr>
              <w:t>80%</w:t>
            </w:r>
          </w:p>
        </w:tc>
        <w:tc>
          <w:tcPr>
            <w:tcW w:w="1259" w:type="dxa"/>
          </w:tcPr>
          <w:p w:rsidR="007C601E" w:rsidRPr="0088624C" w:rsidRDefault="007C601E" w:rsidP="000D253A">
            <w:pPr>
              <w:rPr>
                <w:rFonts w:cs="Times New Roman"/>
                <w:bCs/>
                <w:sz w:val="20"/>
                <w:szCs w:val="20"/>
              </w:rPr>
            </w:pPr>
            <w:r>
              <w:rPr>
                <w:rFonts w:cs="Times New Roman"/>
                <w:bCs/>
                <w:sz w:val="20"/>
                <w:szCs w:val="20"/>
              </w:rPr>
              <w:t>p</w:t>
            </w:r>
          </w:p>
        </w:tc>
      </w:tr>
      <w:tr w:rsidR="007C601E" w:rsidRPr="0088624C" w:rsidTr="007C601E">
        <w:tc>
          <w:tcPr>
            <w:tcW w:w="2193" w:type="dxa"/>
          </w:tcPr>
          <w:p w:rsidR="007C601E" w:rsidRPr="0088624C" w:rsidRDefault="007C601E" w:rsidP="000D253A">
            <w:pPr>
              <w:rPr>
                <w:rFonts w:cs="Times New Roman"/>
                <w:bCs/>
                <w:sz w:val="20"/>
                <w:szCs w:val="20"/>
              </w:rPr>
            </w:pPr>
            <w:r w:rsidRPr="0088624C">
              <w:rPr>
                <w:rFonts w:cs="Times New Roman"/>
                <w:bCs/>
                <w:sz w:val="20"/>
                <w:szCs w:val="20"/>
              </w:rPr>
              <w:t>TUMOR</w:t>
            </w:r>
            <w:r>
              <w:rPr>
                <w:rFonts w:cs="Times New Roman"/>
                <w:bCs/>
                <w:sz w:val="20"/>
                <w:szCs w:val="20"/>
              </w:rPr>
              <w:t>, n (%)</w:t>
            </w:r>
          </w:p>
        </w:tc>
        <w:tc>
          <w:tcPr>
            <w:tcW w:w="1465" w:type="dxa"/>
          </w:tcPr>
          <w:p w:rsidR="007C601E" w:rsidRPr="0088624C" w:rsidRDefault="007C601E" w:rsidP="000D253A">
            <w:pPr>
              <w:rPr>
                <w:rFonts w:cs="Times New Roman"/>
                <w:bCs/>
                <w:sz w:val="20"/>
                <w:szCs w:val="20"/>
              </w:rPr>
            </w:pPr>
            <w:r w:rsidRPr="0088624C">
              <w:rPr>
                <w:rFonts w:cs="Times New Roman"/>
                <w:bCs/>
                <w:sz w:val="20"/>
                <w:szCs w:val="20"/>
              </w:rPr>
              <w:t>1</w:t>
            </w:r>
            <w:r>
              <w:rPr>
                <w:rFonts w:cs="Times New Roman"/>
                <w:bCs/>
                <w:sz w:val="20"/>
                <w:szCs w:val="20"/>
              </w:rPr>
              <w:t xml:space="preserve"> (</w:t>
            </w:r>
            <w:r w:rsidRPr="00D16B79">
              <w:rPr>
                <w:rFonts w:cs="Times New Roman"/>
                <w:bCs/>
                <w:sz w:val="20"/>
                <w:szCs w:val="20"/>
              </w:rPr>
              <w:t>5.3%</w:t>
            </w:r>
            <w:r>
              <w:rPr>
                <w:rFonts w:cs="Times New Roman"/>
                <w:bCs/>
                <w:sz w:val="20"/>
                <w:szCs w:val="20"/>
              </w:rPr>
              <w:t>)</w:t>
            </w:r>
          </w:p>
        </w:tc>
        <w:tc>
          <w:tcPr>
            <w:tcW w:w="1567" w:type="dxa"/>
          </w:tcPr>
          <w:p w:rsidR="007C601E" w:rsidRPr="0088624C" w:rsidRDefault="007C601E" w:rsidP="000D253A">
            <w:pPr>
              <w:rPr>
                <w:rFonts w:cs="Times New Roman"/>
                <w:bCs/>
                <w:sz w:val="20"/>
                <w:szCs w:val="20"/>
              </w:rPr>
            </w:pPr>
            <w:r w:rsidRPr="0088624C">
              <w:rPr>
                <w:rFonts w:cs="Times New Roman"/>
                <w:bCs/>
                <w:sz w:val="20"/>
                <w:szCs w:val="20"/>
              </w:rPr>
              <w:t>2</w:t>
            </w:r>
            <w:r>
              <w:rPr>
                <w:rFonts w:cs="Times New Roman"/>
                <w:bCs/>
                <w:sz w:val="20"/>
                <w:szCs w:val="20"/>
              </w:rPr>
              <w:t xml:space="preserve"> (</w:t>
            </w:r>
            <w:r w:rsidRPr="00D16B79">
              <w:rPr>
                <w:rFonts w:cs="Times New Roman"/>
                <w:bCs/>
                <w:sz w:val="20"/>
                <w:szCs w:val="20"/>
              </w:rPr>
              <w:t>10.5%</w:t>
            </w:r>
            <w:r>
              <w:rPr>
                <w:rFonts w:cs="Times New Roman"/>
                <w:bCs/>
                <w:sz w:val="20"/>
                <w:szCs w:val="20"/>
              </w:rPr>
              <w:t>)</w:t>
            </w:r>
          </w:p>
        </w:tc>
        <w:tc>
          <w:tcPr>
            <w:tcW w:w="1363" w:type="dxa"/>
          </w:tcPr>
          <w:p w:rsidR="007C601E" w:rsidRPr="0088624C" w:rsidRDefault="007C601E" w:rsidP="000D253A">
            <w:pPr>
              <w:rPr>
                <w:rFonts w:cs="Times New Roman"/>
                <w:bCs/>
                <w:sz w:val="20"/>
                <w:szCs w:val="20"/>
              </w:rPr>
            </w:pPr>
            <w:r w:rsidRPr="0088624C">
              <w:rPr>
                <w:rFonts w:cs="Times New Roman"/>
                <w:bCs/>
                <w:sz w:val="20"/>
                <w:szCs w:val="20"/>
              </w:rPr>
              <w:t>4</w:t>
            </w:r>
            <w:r>
              <w:rPr>
                <w:rFonts w:cs="Times New Roman"/>
                <w:bCs/>
                <w:sz w:val="20"/>
                <w:szCs w:val="20"/>
              </w:rPr>
              <w:t xml:space="preserve"> (</w:t>
            </w:r>
            <w:r w:rsidRPr="00D16B79">
              <w:rPr>
                <w:rFonts w:cs="Times New Roman"/>
                <w:bCs/>
                <w:sz w:val="20"/>
                <w:szCs w:val="20"/>
              </w:rPr>
              <w:t>21.1%</w:t>
            </w:r>
            <w:r>
              <w:rPr>
                <w:rFonts w:cs="Times New Roman"/>
                <w:bCs/>
                <w:sz w:val="20"/>
                <w:szCs w:val="20"/>
              </w:rPr>
              <w:t>)</w:t>
            </w:r>
          </w:p>
        </w:tc>
        <w:tc>
          <w:tcPr>
            <w:tcW w:w="1441" w:type="dxa"/>
          </w:tcPr>
          <w:p w:rsidR="007C601E" w:rsidRPr="0088624C" w:rsidRDefault="007C601E" w:rsidP="000D253A">
            <w:pPr>
              <w:rPr>
                <w:rFonts w:cs="Times New Roman"/>
                <w:bCs/>
                <w:sz w:val="20"/>
                <w:szCs w:val="20"/>
              </w:rPr>
            </w:pPr>
            <w:r w:rsidRPr="0088624C">
              <w:rPr>
                <w:rFonts w:cs="Times New Roman"/>
                <w:bCs/>
                <w:sz w:val="20"/>
                <w:szCs w:val="20"/>
              </w:rPr>
              <w:t>12</w:t>
            </w:r>
            <w:r>
              <w:rPr>
                <w:rFonts w:cs="Times New Roman"/>
                <w:bCs/>
                <w:sz w:val="20"/>
                <w:szCs w:val="20"/>
              </w:rPr>
              <w:t xml:space="preserve"> (</w:t>
            </w:r>
            <w:r w:rsidRPr="00D16B79">
              <w:rPr>
                <w:rFonts w:cs="Times New Roman"/>
                <w:bCs/>
                <w:sz w:val="20"/>
                <w:szCs w:val="20"/>
              </w:rPr>
              <w:t>63.2%</w:t>
            </w:r>
            <w:r>
              <w:rPr>
                <w:rFonts w:cs="Times New Roman"/>
                <w:bCs/>
                <w:sz w:val="20"/>
                <w:szCs w:val="20"/>
              </w:rPr>
              <w:t>)</w:t>
            </w:r>
          </w:p>
        </w:tc>
        <w:tc>
          <w:tcPr>
            <w:tcW w:w="1259" w:type="dxa"/>
            <w:vMerge w:val="restart"/>
          </w:tcPr>
          <w:p w:rsidR="007C601E" w:rsidRPr="0088624C" w:rsidRDefault="007C601E" w:rsidP="000D253A">
            <w:pPr>
              <w:rPr>
                <w:rFonts w:cs="Times New Roman"/>
                <w:bCs/>
                <w:sz w:val="20"/>
                <w:szCs w:val="20"/>
              </w:rPr>
            </w:pPr>
            <w:r w:rsidRPr="007C601E">
              <w:rPr>
                <w:rFonts w:cs="Times New Roman"/>
                <w:bCs/>
                <w:sz w:val="20"/>
                <w:szCs w:val="20"/>
              </w:rPr>
              <w:t>p&lt;0.001</w:t>
            </w:r>
          </w:p>
        </w:tc>
      </w:tr>
      <w:tr w:rsidR="007C601E" w:rsidRPr="0088624C" w:rsidTr="007C601E">
        <w:tc>
          <w:tcPr>
            <w:tcW w:w="2193" w:type="dxa"/>
          </w:tcPr>
          <w:p w:rsidR="007C601E" w:rsidRPr="0088624C" w:rsidRDefault="007C601E" w:rsidP="000D253A">
            <w:pPr>
              <w:rPr>
                <w:rFonts w:cs="Times New Roman"/>
                <w:bCs/>
                <w:sz w:val="20"/>
                <w:szCs w:val="20"/>
              </w:rPr>
            </w:pPr>
            <w:r w:rsidRPr="0088624C">
              <w:rPr>
                <w:rFonts w:cs="Times New Roman"/>
                <w:bCs/>
                <w:sz w:val="20"/>
                <w:szCs w:val="20"/>
              </w:rPr>
              <w:t>KONTROLA</w:t>
            </w:r>
            <w:r>
              <w:rPr>
                <w:rFonts w:cs="Times New Roman"/>
                <w:bCs/>
                <w:sz w:val="20"/>
                <w:szCs w:val="20"/>
              </w:rPr>
              <w:t>, n (%)</w:t>
            </w:r>
          </w:p>
        </w:tc>
        <w:tc>
          <w:tcPr>
            <w:tcW w:w="1465" w:type="dxa"/>
          </w:tcPr>
          <w:p w:rsidR="007C601E" w:rsidRPr="0088624C" w:rsidRDefault="007C601E" w:rsidP="000D253A">
            <w:pPr>
              <w:rPr>
                <w:rFonts w:cs="Times New Roman"/>
                <w:bCs/>
                <w:sz w:val="20"/>
                <w:szCs w:val="20"/>
              </w:rPr>
            </w:pPr>
            <w:r w:rsidRPr="0088624C">
              <w:rPr>
                <w:rFonts w:cs="Times New Roman"/>
                <w:bCs/>
                <w:sz w:val="20"/>
                <w:szCs w:val="20"/>
              </w:rPr>
              <w:t>6</w:t>
            </w:r>
            <w:r>
              <w:rPr>
                <w:rFonts w:cs="Times New Roman"/>
                <w:bCs/>
                <w:sz w:val="20"/>
                <w:szCs w:val="20"/>
              </w:rPr>
              <w:t xml:space="preserve"> (</w:t>
            </w:r>
            <w:r w:rsidRPr="00D16B79">
              <w:rPr>
                <w:rFonts w:cs="Times New Roman"/>
                <w:bCs/>
                <w:sz w:val="20"/>
                <w:szCs w:val="20"/>
              </w:rPr>
              <w:t>31.6%</w:t>
            </w:r>
            <w:r>
              <w:rPr>
                <w:rFonts w:cs="Times New Roman"/>
                <w:bCs/>
                <w:sz w:val="20"/>
                <w:szCs w:val="20"/>
              </w:rPr>
              <w:t>)</w:t>
            </w:r>
          </w:p>
        </w:tc>
        <w:tc>
          <w:tcPr>
            <w:tcW w:w="1567" w:type="dxa"/>
          </w:tcPr>
          <w:p w:rsidR="007C601E" w:rsidRPr="0088624C" w:rsidRDefault="007C601E" w:rsidP="000D253A">
            <w:pPr>
              <w:rPr>
                <w:rFonts w:cs="Times New Roman"/>
                <w:bCs/>
                <w:sz w:val="20"/>
                <w:szCs w:val="20"/>
              </w:rPr>
            </w:pPr>
            <w:r w:rsidRPr="0088624C">
              <w:rPr>
                <w:rFonts w:cs="Times New Roman"/>
                <w:bCs/>
                <w:sz w:val="20"/>
                <w:szCs w:val="20"/>
              </w:rPr>
              <w:t>8</w:t>
            </w:r>
            <w:r>
              <w:rPr>
                <w:rFonts w:cs="Times New Roman"/>
                <w:bCs/>
                <w:sz w:val="20"/>
                <w:szCs w:val="20"/>
              </w:rPr>
              <w:t xml:space="preserve"> (42.1%)</w:t>
            </w:r>
          </w:p>
        </w:tc>
        <w:tc>
          <w:tcPr>
            <w:tcW w:w="1363" w:type="dxa"/>
          </w:tcPr>
          <w:p w:rsidR="007C601E" w:rsidRPr="0088624C" w:rsidRDefault="007C601E" w:rsidP="000D253A">
            <w:pPr>
              <w:rPr>
                <w:rFonts w:cs="Times New Roman"/>
                <w:bCs/>
                <w:sz w:val="20"/>
                <w:szCs w:val="20"/>
              </w:rPr>
            </w:pPr>
            <w:r w:rsidRPr="0088624C">
              <w:rPr>
                <w:rFonts w:cs="Times New Roman"/>
                <w:bCs/>
                <w:sz w:val="20"/>
                <w:szCs w:val="20"/>
              </w:rPr>
              <w:t>5</w:t>
            </w:r>
            <w:r>
              <w:rPr>
                <w:rFonts w:cs="Times New Roman"/>
                <w:bCs/>
                <w:sz w:val="20"/>
                <w:szCs w:val="20"/>
              </w:rPr>
              <w:t xml:space="preserve"> (</w:t>
            </w:r>
            <w:r w:rsidRPr="00397FAD">
              <w:rPr>
                <w:rFonts w:cs="Times New Roman"/>
                <w:bCs/>
                <w:sz w:val="20"/>
                <w:szCs w:val="20"/>
              </w:rPr>
              <w:t>26.3%</w:t>
            </w:r>
            <w:r>
              <w:rPr>
                <w:rFonts w:cs="Times New Roman"/>
                <w:bCs/>
                <w:sz w:val="20"/>
                <w:szCs w:val="20"/>
              </w:rPr>
              <w:t>)</w:t>
            </w:r>
          </w:p>
        </w:tc>
        <w:tc>
          <w:tcPr>
            <w:tcW w:w="1441" w:type="dxa"/>
          </w:tcPr>
          <w:p w:rsidR="007C601E" w:rsidRPr="0088624C" w:rsidRDefault="007C601E" w:rsidP="000D253A">
            <w:pPr>
              <w:rPr>
                <w:rFonts w:cs="Times New Roman"/>
                <w:bCs/>
                <w:sz w:val="20"/>
                <w:szCs w:val="20"/>
              </w:rPr>
            </w:pPr>
            <w:r>
              <w:rPr>
                <w:rFonts w:cs="Times New Roman"/>
                <w:bCs/>
                <w:sz w:val="20"/>
                <w:szCs w:val="20"/>
              </w:rPr>
              <w:t xml:space="preserve"> </w:t>
            </w:r>
            <w:r w:rsidRPr="0088624C">
              <w:rPr>
                <w:rFonts w:cs="Times New Roman"/>
                <w:bCs/>
                <w:sz w:val="20"/>
                <w:szCs w:val="20"/>
              </w:rPr>
              <w:t>0</w:t>
            </w:r>
            <w:r>
              <w:rPr>
                <w:rFonts w:cs="Times New Roman"/>
                <w:bCs/>
                <w:sz w:val="20"/>
                <w:szCs w:val="20"/>
              </w:rPr>
              <w:t xml:space="preserve"> (</w:t>
            </w:r>
            <w:r w:rsidRPr="00397FAD">
              <w:rPr>
                <w:rFonts w:cs="Times New Roman"/>
                <w:bCs/>
                <w:sz w:val="20"/>
                <w:szCs w:val="20"/>
              </w:rPr>
              <w:t>0.0%</w:t>
            </w:r>
            <w:r>
              <w:rPr>
                <w:rFonts w:cs="Times New Roman"/>
                <w:bCs/>
                <w:sz w:val="20"/>
                <w:szCs w:val="20"/>
              </w:rPr>
              <w:t>)</w:t>
            </w:r>
          </w:p>
        </w:tc>
        <w:tc>
          <w:tcPr>
            <w:tcW w:w="1259" w:type="dxa"/>
            <w:vMerge/>
          </w:tcPr>
          <w:p w:rsidR="007C601E" w:rsidRDefault="007C601E" w:rsidP="000D253A">
            <w:pPr>
              <w:rPr>
                <w:rFonts w:cs="Times New Roman"/>
                <w:bCs/>
                <w:sz w:val="20"/>
                <w:szCs w:val="20"/>
              </w:rPr>
            </w:pPr>
          </w:p>
        </w:tc>
      </w:tr>
    </w:tbl>
    <w:p w:rsidR="00FC5A3E" w:rsidRPr="0088624C" w:rsidRDefault="00FC5A3E" w:rsidP="00100BA1">
      <w:pPr>
        <w:keepNext/>
        <w:rPr>
          <w:rFonts w:cs="Times New Roman"/>
          <w:bCs/>
          <w:sz w:val="20"/>
          <w:szCs w:val="20"/>
        </w:rPr>
      </w:pPr>
    </w:p>
    <w:p w:rsidR="00FC5A3E" w:rsidRPr="0088624C" w:rsidRDefault="00FC5A3E" w:rsidP="00FC5A3E">
      <w:pPr>
        <w:rPr>
          <w:rFonts w:cs="Times New Roman"/>
          <w:sz w:val="20"/>
          <w:szCs w:val="20"/>
        </w:rPr>
      </w:pPr>
    </w:p>
    <w:p w:rsidR="00FC5A3E" w:rsidRDefault="007C601E" w:rsidP="009750D6">
      <w:pPr>
        <w:spacing w:line="360" w:lineRule="auto"/>
        <w:jc w:val="both"/>
        <w:rPr>
          <w:rFonts w:cs="Times New Roman"/>
          <w:sz w:val="20"/>
          <w:szCs w:val="20"/>
        </w:rPr>
      </w:pPr>
      <w:r>
        <w:rPr>
          <w:rFonts w:cs="Times New Roman"/>
          <w:sz w:val="20"/>
          <w:szCs w:val="20"/>
        </w:rPr>
        <w:t xml:space="preserve">U tumorskoj skupini više je </w:t>
      </w:r>
      <w:r w:rsidRPr="007C601E">
        <w:rPr>
          <w:rFonts w:cs="Times New Roman"/>
          <w:sz w:val="20"/>
          <w:szCs w:val="20"/>
        </w:rPr>
        <w:t>uzoraka uzoraka s visokim (&gt;80</w:t>
      </w:r>
      <w:r>
        <w:rPr>
          <w:rFonts w:cs="Times New Roman"/>
          <w:sz w:val="20"/>
          <w:szCs w:val="20"/>
        </w:rPr>
        <w:t>%) postotkom pozitivnih stanica</w:t>
      </w:r>
      <w:r w:rsidRPr="007C601E">
        <w:rPr>
          <w:rFonts w:cs="Times New Roman"/>
          <w:sz w:val="20"/>
          <w:szCs w:val="20"/>
        </w:rPr>
        <w:t>, dok</w:t>
      </w:r>
      <w:r>
        <w:rPr>
          <w:rFonts w:cs="Times New Roman"/>
          <w:sz w:val="20"/>
          <w:szCs w:val="20"/>
        </w:rPr>
        <w:t xml:space="preserve"> je u kontrolnoj </w:t>
      </w:r>
      <w:r w:rsidRPr="007C601E">
        <w:rPr>
          <w:rFonts w:cs="Times New Roman"/>
          <w:sz w:val="20"/>
          <w:szCs w:val="20"/>
        </w:rPr>
        <w:t>skupin</w:t>
      </w:r>
      <w:r>
        <w:rPr>
          <w:rFonts w:cs="Times New Roman"/>
          <w:sz w:val="20"/>
          <w:szCs w:val="20"/>
        </w:rPr>
        <w:t>i</w:t>
      </w:r>
      <w:r w:rsidRPr="007C601E">
        <w:rPr>
          <w:rFonts w:cs="Times New Roman"/>
          <w:sz w:val="20"/>
          <w:szCs w:val="20"/>
        </w:rPr>
        <w:t xml:space="preserve"> više uzoraka s manjim postotkom pozitivnih stanica. Razlika u postotku</w:t>
      </w:r>
      <w:r>
        <w:rPr>
          <w:rFonts w:cs="Times New Roman"/>
          <w:sz w:val="20"/>
          <w:szCs w:val="20"/>
        </w:rPr>
        <w:t xml:space="preserve"> pozitivnih stanica između dviju skupina uzoraka </w:t>
      </w:r>
      <w:r w:rsidRPr="007C601E">
        <w:rPr>
          <w:rFonts w:cs="Times New Roman"/>
          <w:sz w:val="20"/>
          <w:szCs w:val="20"/>
        </w:rPr>
        <w:t>statistički</w:t>
      </w:r>
      <w:r>
        <w:rPr>
          <w:rFonts w:cs="Times New Roman"/>
          <w:sz w:val="20"/>
          <w:szCs w:val="20"/>
        </w:rPr>
        <w:t xml:space="preserve"> je</w:t>
      </w:r>
      <w:r w:rsidRPr="007C601E">
        <w:rPr>
          <w:rFonts w:cs="Times New Roman"/>
          <w:sz w:val="20"/>
          <w:szCs w:val="20"/>
        </w:rPr>
        <w:t xml:space="preserve"> zna</w:t>
      </w:r>
      <w:r>
        <w:rPr>
          <w:rFonts w:cs="Times New Roman"/>
          <w:sz w:val="20"/>
          <w:szCs w:val="20"/>
        </w:rPr>
        <w:t xml:space="preserve">čajna (Fisher exact test </w:t>
      </w:r>
      <w:r w:rsidRPr="007C601E">
        <w:rPr>
          <w:rFonts w:cs="Times New Roman"/>
          <w:sz w:val="20"/>
          <w:szCs w:val="20"/>
        </w:rPr>
        <w:t>=</w:t>
      </w:r>
      <w:r>
        <w:rPr>
          <w:rFonts w:cs="Times New Roman"/>
          <w:sz w:val="20"/>
          <w:szCs w:val="20"/>
        </w:rPr>
        <w:t xml:space="preserve"> </w:t>
      </w:r>
      <w:r w:rsidRPr="007C601E">
        <w:rPr>
          <w:rFonts w:cs="Times New Roman"/>
          <w:sz w:val="20"/>
          <w:szCs w:val="20"/>
        </w:rPr>
        <w:t>20.751,  p</w:t>
      </w:r>
      <w:r>
        <w:rPr>
          <w:rFonts w:cs="Times New Roman"/>
          <w:sz w:val="20"/>
          <w:szCs w:val="20"/>
        </w:rPr>
        <w:t xml:space="preserve"> =</w:t>
      </w:r>
      <w:r w:rsidRPr="007C601E">
        <w:rPr>
          <w:rFonts w:cs="Times New Roman"/>
          <w:sz w:val="20"/>
          <w:szCs w:val="20"/>
        </w:rPr>
        <w:t>0.000045).</w:t>
      </w:r>
    </w:p>
    <w:p w:rsidR="008A1CBA" w:rsidRPr="0088624C" w:rsidRDefault="008A1CBA" w:rsidP="009750D6">
      <w:pPr>
        <w:spacing w:line="360" w:lineRule="auto"/>
        <w:jc w:val="both"/>
        <w:rPr>
          <w:rFonts w:cs="Times New Roman"/>
          <w:sz w:val="20"/>
          <w:szCs w:val="20"/>
        </w:rPr>
      </w:pPr>
    </w:p>
    <w:p w:rsidR="003A3A94" w:rsidRDefault="008A1CBA" w:rsidP="003A3A94">
      <w:pPr>
        <w:keepNext/>
      </w:pPr>
      <w:r>
        <w:rPr>
          <w:rFonts w:cs="Times New Roman"/>
          <w:noProof/>
          <w:sz w:val="20"/>
          <w:szCs w:val="20"/>
          <w:lang w:eastAsia="hr-HR"/>
        </w:rPr>
        <w:lastRenderedPageBreak/>
        <w:drawing>
          <wp:inline distT="0" distB="0" distL="0" distR="0" wp14:anchorId="633F5906" wp14:editId="1047262E">
            <wp:extent cx="3322800" cy="28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 of positive cells.png"/>
                    <pic:cNvPicPr/>
                  </pic:nvPicPr>
                  <pic:blipFill>
                    <a:blip r:embed="rId15">
                      <a:extLst>
                        <a:ext uri="{28A0092B-C50C-407E-A947-70E740481C1C}">
                          <a14:useLocalDpi xmlns:a14="http://schemas.microsoft.com/office/drawing/2010/main" val="0"/>
                        </a:ext>
                      </a:extLst>
                    </a:blip>
                    <a:stretch>
                      <a:fillRect/>
                    </a:stretch>
                  </pic:blipFill>
                  <pic:spPr>
                    <a:xfrm>
                      <a:off x="0" y="0"/>
                      <a:ext cx="3322800" cy="2880000"/>
                    </a:xfrm>
                    <a:prstGeom prst="rect">
                      <a:avLst/>
                    </a:prstGeom>
                  </pic:spPr>
                </pic:pic>
              </a:graphicData>
            </a:graphic>
          </wp:inline>
        </w:drawing>
      </w:r>
    </w:p>
    <w:p w:rsidR="00FC5A3E" w:rsidRPr="007751CF" w:rsidRDefault="003A3A94" w:rsidP="003A3A94">
      <w:pPr>
        <w:pStyle w:val="Caption"/>
        <w:rPr>
          <w:rFonts w:cs="Times New Roman"/>
          <w:b w:val="0"/>
          <w:color w:val="auto"/>
          <w:sz w:val="20"/>
          <w:szCs w:val="20"/>
        </w:rPr>
      </w:pPr>
      <w:r w:rsidRPr="007751CF">
        <w:rPr>
          <w:b w:val="0"/>
        </w:rPr>
        <w:t xml:space="preserve">        </w:t>
      </w:r>
      <w:r w:rsidRPr="007751CF">
        <w:rPr>
          <w:b w:val="0"/>
          <w:color w:val="auto"/>
        </w:rPr>
        <w:t xml:space="preserve">Slika </w:t>
      </w:r>
      <w:r w:rsidRPr="007751CF">
        <w:rPr>
          <w:b w:val="0"/>
          <w:color w:val="auto"/>
        </w:rPr>
        <w:fldChar w:fldCharType="begin"/>
      </w:r>
      <w:r w:rsidRPr="007751CF">
        <w:rPr>
          <w:b w:val="0"/>
          <w:color w:val="auto"/>
        </w:rPr>
        <w:instrText xml:space="preserve"> SEQ Slika \* ARABIC </w:instrText>
      </w:r>
      <w:r w:rsidRPr="007751CF">
        <w:rPr>
          <w:b w:val="0"/>
          <w:color w:val="auto"/>
        </w:rPr>
        <w:fldChar w:fldCharType="separate"/>
      </w:r>
      <w:r w:rsidR="00B23F9B">
        <w:rPr>
          <w:b w:val="0"/>
          <w:noProof/>
          <w:color w:val="auto"/>
        </w:rPr>
        <w:t>6</w:t>
      </w:r>
      <w:r w:rsidRPr="007751CF">
        <w:rPr>
          <w:b w:val="0"/>
          <w:color w:val="auto"/>
        </w:rPr>
        <w:fldChar w:fldCharType="end"/>
      </w:r>
      <w:r w:rsidRPr="007751CF">
        <w:rPr>
          <w:b w:val="0"/>
          <w:color w:val="auto"/>
        </w:rPr>
        <w:t>.</w:t>
      </w:r>
      <w:r w:rsidR="007751CF">
        <w:rPr>
          <w:b w:val="0"/>
          <w:color w:val="auto"/>
        </w:rPr>
        <w:t xml:space="preserve"> Postotak pozitivnih stanica.</w:t>
      </w:r>
    </w:p>
    <w:p w:rsidR="007C601E" w:rsidRDefault="007C601E" w:rsidP="00100BA1">
      <w:pPr>
        <w:rPr>
          <w:sz w:val="20"/>
          <w:szCs w:val="20"/>
        </w:rPr>
      </w:pPr>
    </w:p>
    <w:p w:rsidR="008A1CBA" w:rsidRDefault="008A1CBA" w:rsidP="009750D6">
      <w:pPr>
        <w:spacing w:line="360" w:lineRule="auto"/>
        <w:jc w:val="both"/>
        <w:rPr>
          <w:sz w:val="20"/>
          <w:szCs w:val="20"/>
        </w:rPr>
      </w:pPr>
      <w:r w:rsidRPr="008A1CBA">
        <w:rPr>
          <w:sz w:val="20"/>
          <w:szCs w:val="20"/>
        </w:rPr>
        <w:t>Rezultate analize imunohistokemijske reakci</w:t>
      </w:r>
      <w:r>
        <w:rPr>
          <w:sz w:val="20"/>
          <w:szCs w:val="20"/>
        </w:rPr>
        <w:t xml:space="preserve">je obzirom na imunoreaktivni skor (IRS, engl. immunoreactivity score) </w:t>
      </w:r>
      <w:r w:rsidR="00624F0E">
        <w:rPr>
          <w:sz w:val="20"/>
          <w:szCs w:val="20"/>
        </w:rPr>
        <w:t>pokazuje</w:t>
      </w:r>
      <w:r w:rsidR="007751CF">
        <w:rPr>
          <w:sz w:val="20"/>
          <w:szCs w:val="20"/>
        </w:rPr>
        <w:t xml:space="preserve"> slika 7</w:t>
      </w:r>
      <w:r w:rsidR="00624F0E">
        <w:rPr>
          <w:sz w:val="20"/>
          <w:szCs w:val="20"/>
        </w:rPr>
        <w:t>.</w:t>
      </w:r>
    </w:p>
    <w:p w:rsidR="00624F0E" w:rsidRDefault="00624F0E" w:rsidP="009750D6">
      <w:pPr>
        <w:spacing w:line="360" w:lineRule="auto"/>
        <w:jc w:val="both"/>
        <w:rPr>
          <w:sz w:val="20"/>
          <w:szCs w:val="20"/>
        </w:rPr>
      </w:pPr>
      <w:r>
        <w:rPr>
          <w:sz w:val="20"/>
          <w:szCs w:val="20"/>
        </w:rPr>
        <w:t>Za tumore test normaliteta Shapiro-Wilk = 0</w:t>
      </w:r>
      <w:r w:rsidRPr="00624F0E">
        <w:rPr>
          <w:sz w:val="20"/>
          <w:szCs w:val="20"/>
        </w:rPr>
        <w:t>.756</w:t>
      </w:r>
      <w:r>
        <w:rPr>
          <w:sz w:val="20"/>
          <w:szCs w:val="20"/>
        </w:rPr>
        <w:t>, df</w:t>
      </w:r>
      <w:r w:rsidRPr="00624F0E">
        <w:rPr>
          <w:sz w:val="20"/>
          <w:szCs w:val="20"/>
        </w:rPr>
        <w:tab/>
      </w:r>
      <w:r>
        <w:rPr>
          <w:sz w:val="20"/>
          <w:szCs w:val="20"/>
        </w:rPr>
        <w:t>= 19, p = 0</w:t>
      </w:r>
      <w:r w:rsidRPr="00624F0E">
        <w:rPr>
          <w:sz w:val="20"/>
          <w:szCs w:val="20"/>
        </w:rPr>
        <w:t>.000</w:t>
      </w:r>
    </w:p>
    <w:p w:rsidR="00624F0E" w:rsidRDefault="00624F0E" w:rsidP="009750D6">
      <w:pPr>
        <w:spacing w:line="360" w:lineRule="auto"/>
        <w:jc w:val="both"/>
        <w:rPr>
          <w:sz w:val="20"/>
          <w:szCs w:val="20"/>
        </w:rPr>
      </w:pPr>
      <w:r>
        <w:rPr>
          <w:sz w:val="20"/>
          <w:szCs w:val="20"/>
        </w:rPr>
        <w:t>Za kontrole test normaliteta Shapiro-Wilk = 0.803, df = 19, p = 0.001</w:t>
      </w:r>
    </w:p>
    <w:p w:rsidR="008A1CBA" w:rsidRDefault="00624F0E" w:rsidP="009750D6">
      <w:pPr>
        <w:spacing w:line="360" w:lineRule="auto"/>
        <w:jc w:val="both"/>
        <w:rPr>
          <w:sz w:val="20"/>
          <w:szCs w:val="20"/>
        </w:rPr>
      </w:pPr>
      <w:r>
        <w:rPr>
          <w:sz w:val="20"/>
          <w:szCs w:val="20"/>
        </w:rPr>
        <w:t>Razlika u imunoreaktivnom skoru između dviju skupina uzoraka je statistički značajna. Podaci su neparametrijski raspoređeni.</w:t>
      </w:r>
    </w:p>
    <w:p w:rsidR="003A3A94" w:rsidRDefault="00624F0E" w:rsidP="009750D6">
      <w:pPr>
        <w:spacing w:line="360" w:lineRule="auto"/>
        <w:jc w:val="both"/>
        <w:rPr>
          <w:sz w:val="20"/>
          <w:szCs w:val="20"/>
        </w:rPr>
      </w:pPr>
      <w:r>
        <w:rPr>
          <w:sz w:val="20"/>
          <w:szCs w:val="20"/>
        </w:rPr>
        <w:t>Neparametrijski Kruskall-</w:t>
      </w:r>
      <w:r w:rsidR="003A3A94">
        <w:rPr>
          <w:sz w:val="20"/>
          <w:szCs w:val="20"/>
        </w:rPr>
        <w:t xml:space="preserve">Wallis test = 17.472, df = 1, p = </w:t>
      </w:r>
      <w:r w:rsidR="003A3A94" w:rsidRPr="003A3A94">
        <w:rPr>
          <w:sz w:val="20"/>
          <w:szCs w:val="20"/>
        </w:rPr>
        <w:t>0.000029</w:t>
      </w:r>
      <w:r w:rsidR="003A3A94">
        <w:rPr>
          <w:sz w:val="20"/>
          <w:szCs w:val="20"/>
        </w:rPr>
        <w:t>,</w:t>
      </w:r>
      <w:r w:rsidR="003A3A94" w:rsidRPr="003A3A94">
        <w:rPr>
          <w:sz w:val="20"/>
          <w:szCs w:val="20"/>
        </w:rPr>
        <w:t xml:space="preserve"> odnosno p&lt;0.0001</w:t>
      </w:r>
      <w:r w:rsidR="003A3A94">
        <w:rPr>
          <w:sz w:val="20"/>
          <w:szCs w:val="20"/>
        </w:rPr>
        <w:t>. Postoji statistički značajna razlika u IRS između dviju skupina ispitanika.</w:t>
      </w:r>
    </w:p>
    <w:p w:rsidR="009047ED" w:rsidRDefault="009047ED" w:rsidP="009047ED">
      <w:pPr>
        <w:keepNext/>
      </w:pPr>
      <w:r>
        <w:rPr>
          <w:noProof/>
          <w:sz w:val="20"/>
          <w:szCs w:val="20"/>
          <w:lang w:eastAsia="hr-HR"/>
        </w:rPr>
        <w:lastRenderedPageBreak/>
        <w:drawing>
          <wp:inline distT="0" distB="0" distL="0" distR="0" wp14:anchorId="149074E0" wp14:editId="04E077C4">
            <wp:extent cx="3754800" cy="28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S.png"/>
                    <pic:cNvPicPr/>
                  </pic:nvPicPr>
                  <pic:blipFill>
                    <a:blip r:embed="rId16">
                      <a:extLst>
                        <a:ext uri="{28A0092B-C50C-407E-A947-70E740481C1C}">
                          <a14:useLocalDpi xmlns:a14="http://schemas.microsoft.com/office/drawing/2010/main" val="0"/>
                        </a:ext>
                      </a:extLst>
                    </a:blip>
                    <a:stretch>
                      <a:fillRect/>
                    </a:stretch>
                  </pic:blipFill>
                  <pic:spPr>
                    <a:xfrm>
                      <a:off x="0" y="0"/>
                      <a:ext cx="3754800" cy="2880000"/>
                    </a:xfrm>
                    <a:prstGeom prst="rect">
                      <a:avLst/>
                    </a:prstGeom>
                  </pic:spPr>
                </pic:pic>
              </a:graphicData>
            </a:graphic>
          </wp:inline>
        </w:drawing>
      </w:r>
    </w:p>
    <w:p w:rsidR="009047ED" w:rsidRPr="008E2F42" w:rsidRDefault="009047ED" w:rsidP="009047ED">
      <w:pPr>
        <w:pStyle w:val="Caption"/>
        <w:rPr>
          <w:b w:val="0"/>
          <w:color w:val="auto"/>
        </w:rPr>
      </w:pPr>
      <w:r w:rsidRPr="008E2F42">
        <w:rPr>
          <w:b w:val="0"/>
          <w:color w:val="auto"/>
        </w:rPr>
        <w:t xml:space="preserve">             Slika </w:t>
      </w:r>
      <w:r w:rsidRPr="008E2F42">
        <w:rPr>
          <w:b w:val="0"/>
          <w:color w:val="auto"/>
        </w:rPr>
        <w:fldChar w:fldCharType="begin"/>
      </w:r>
      <w:r w:rsidRPr="008E2F42">
        <w:rPr>
          <w:b w:val="0"/>
          <w:color w:val="auto"/>
        </w:rPr>
        <w:instrText xml:space="preserve"> SEQ Slika \* ARABIC </w:instrText>
      </w:r>
      <w:r w:rsidRPr="008E2F42">
        <w:rPr>
          <w:b w:val="0"/>
          <w:color w:val="auto"/>
        </w:rPr>
        <w:fldChar w:fldCharType="separate"/>
      </w:r>
      <w:r w:rsidR="00B23F9B">
        <w:rPr>
          <w:b w:val="0"/>
          <w:noProof/>
          <w:color w:val="auto"/>
        </w:rPr>
        <w:t>7</w:t>
      </w:r>
      <w:r w:rsidRPr="008E2F42">
        <w:rPr>
          <w:b w:val="0"/>
          <w:color w:val="auto"/>
        </w:rPr>
        <w:fldChar w:fldCharType="end"/>
      </w:r>
      <w:r w:rsidRPr="008E2F42">
        <w:rPr>
          <w:b w:val="0"/>
          <w:color w:val="auto"/>
        </w:rPr>
        <w:t>.</w:t>
      </w:r>
      <w:r w:rsidR="007751CF">
        <w:rPr>
          <w:b w:val="0"/>
          <w:color w:val="auto"/>
        </w:rPr>
        <w:t xml:space="preserve"> Imunoreaktivni skor.</w:t>
      </w:r>
    </w:p>
    <w:p w:rsidR="009047ED" w:rsidRDefault="009047ED" w:rsidP="009047ED"/>
    <w:p w:rsidR="009047ED" w:rsidRDefault="008E2F42" w:rsidP="009750D6">
      <w:pPr>
        <w:spacing w:line="360" w:lineRule="auto"/>
        <w:jc w:val="both"/>
        <w:rPr>
          <w:sz w:val="20"/>
          <w:szCs w:val="20"/>
        </w:rPr>
      </w:pPr>
      <w:r w:rsidRPr="008E2F42">
        <w:rPr>
          <w:sz w:val="20"/>
          <w:szCs w:val="20"/>
        </w:rPr>
        <w:t>U rezultatima qRT-PCR-a nije uočena statistički značajna razlika u ekspresiji PTX3 mRNA između tumorskog tki</w:t>
      </w:r>
      <w:r w:rsidR="007751CF">
        <w:rPr>
          <w:sz w:val="20"/>
          <w:szCs w:val="20"/>
        </w:rPr>
        <w:t>va i kontrolnih uzoraka (Slika 8</w:t>
      </w:r>
      <w:r w:rsidRPr="008E2F42">
        <w:rPr>
          <w:sz w:val="20"/>
          <w:szCs w:val="20"/>
        </w:rPr>
        <w:t>.).</w:t>
      </w:r>
    </w:p>
    <w:p w:rsidR="008E2F42" w:rsidRDefault="008E2F42" w:rsidP="008E2F42">
      <w:pPr>
        <w:keepNext/>
      </w:pPr>
      <w:r>
        <w:rPr>
          <w:noProof/>
          <w:sz w:val="20"/>
          <w:szCs w:val="20"/>
          <w:lang w:eastAsia="hr-HR"/>
        </w:rPr>
        <w:drawing>
          <wp:inline distT="0" distB="0" distL="0" distR="0" wp14:anchorId="325F4B22" wp14:editId="0CD22249">
            <wp:extent cx="6082748" cy="21150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R.png"/>
                    <pic:cNvPicPr/>
                  </pic:nvPicPr>
                  <pic:blipFill>
                    <a:blip r:embed="rId17">
                      <a:extLst>
                        <a:ext uri="{28A0092B-C50C-407E-A947-70E740481C1C}">
                          <a14:useLocalDpi xmlns:a14="http://schemas.microsoft.com/office/drawing/2010/main" val="0"/>
                        </a:ext>
                      </a:extLst>
                    </a:blip>
                    <a:stretch>
                      <a:fillRect/>
                    </a:stretch>
                  </pic:blipFill>
                  <pic:spPr>
                    <a:xfrm>
                      <a:off x="0" y="0"/>
                      <a:ext cx="6105693" cy="2123025"/>
                    </a:xfrm>
                    <a:prstGeom prst="rect">
                      <a:avLst/>
                    </a:prstGeom>
                  </pic:spPr>
                </pic:pic>
              </a:graphicData>
            </a:graphic>
          </wp:inline>
        </w:drawing>
      </w:r>
    </w:p>
    <w:p w:rsidR="008E2F42" w:rsidRPr="008E2F42" w:rsidRDefault="008E2F42" w:rsidP="008E2F42">
      <w:pPr>
        <w:pStyle w:val="Caption"/>
        <w:spacing w:line="360" w:lineRule="auto"/>
        <w:jc w:val="both"/>
        <w:rPr>
          <w:b w:val="0"/>
          <w:color w:val="auto"/>
          <w:sz w:val="20"/>
          <w:szCs w:val="20"/>
        </w:rPr>
      </w:pPr>
      <w:r w:rsidRPr="008E2F42">
        <w:rPr>
          <w:b w:val="0"/>
          <w:color w:val="auto"/>
        </w:rPr>
        <w:t xml:space="preserve">Slika </w:t>
      </w:r>
      <w:r w:rsidRPr="008E2F42">
        <w:rPr>
          <w:b w:val="0"/>
          <w:color w:val="auto"/>
        </w:rPr>
        <w:fldChar w:fldCharType="begin"/>
      </w:r>
      <w:r w:rsidRPr="008E2F42">
        <w:rPr>
          <w:b w:val="0"/>
          <w:color w:val="auto"/>
        </w:rPr>
        <w:instrText xml:space="preserve"> SEQ Slika \* ARABIC </w:instrText>
      </w:r>
      <w:r w:rsidRPr="008E2F42">
        <w:rPr>
          <w:b w:val="0"/>
          <w:color w:val="auto"/>
        </w:rPr>
        <w:fldChar w:fldCharType="separate"/>
      </w:r>
      <w:r w:rsidR="00B23F9B">
        <w:rPr>
          <w:b w:val="0"/>
          <w:noProof/>
          <w:color w:val="auto"/>
        </w:rPr>
        <w:t>8</w:t>
      </w:r>
      <w:r w:rsidRPr="008E2F42">
        <w:rPr>
          <w:b w:val="0"/>
          <w:color w:val="auto"/>
        </w:rPr>
        <w:fldChar w:fldCharType="end"/>
      </w:r>
      <w:r w:rsidRPr="008E2F42">
        <w:rPr>
          <w:b w:val="0"/>
          <w:color w:val="auto"/>
        </w:rPr>
        <w:t>. Prikaz ekspresije PTX3 mRNA u uzorcima difuznog karcinoma želudca i kontrolnom tkivu. Amplifikacijski prag qRT-PCR rea</w:t>
      </w:r>
      <w:r>
        <w:rPr>
          <w:b w:val="0"/>
          <w:color w:val="auto"/>
        </w:rPr>
        <w:t xml:space="preserve">kcije (Ct, engl. cycle treshold) određen je korištenjem </w:t>
      </w:r>
      <w:r w:rsidRPr="008E2F42">
        <w:rPr>
          <w:b w:val="0"/>
          <w:color w:val="auto"/>
        </w:rPr>
        <w:t>CFX96 softvera, a dobiveni podaci analizirani su uporabom  2-ΔΔCT metode. Relativna ekspresija ciljanog gena normalizirana je prema ekspresijskim vrijednostima gena za beta-aktin (ACTB) koji je korišten kao endogena kontrola.</w:t>
      </w:r>
    </w:p>
    <w:p w:rsidR="008E2F42" w:rsidRPr="008E2F42" w:rsidRDefault="008E2F42" w:rsidP="008E2F42">
      <w:pPr>
        <w:spacing w:line="360" w:lineRule="auto"/>
        <w:jc w:val="both"/>
        <w:rPr>
          <w:sz w:val="20"/>
          <w:szCs w:val="20"/>
        </w:rPr>
      </w:pPr>
    </w:p>
    <w:p w:rsidR="008A1CBA" w:rsidRPr="008E2F42" w:rsidRDefault="008A1CBA" w:rsidP="00100BA1">
      <w:pPr>
        <w:rPr>
          <w:sz w:val="20"/>
          <w:szCs w:val="20"/>
        </w:rPr>
      </w:pPr>
    </w:p>
    <w:p w:rsidR="008A1CBA" w:rsidRPr="008E2F42" w:rsidRDefault="008A1CBA" w:rsidP="00100BA1">
      <w:pPr>
        <w:rPr>
          <w:sz w:val="20"/>
          <w:szCs w:val="20"/>
        </w:rPr>
      </w:pPr>
    </w:p>
    <w:p w:rsidR="004745F3" w:rsidRPr="008E2F42" w:rsidRDefault="004745F3" w:rsidP="004745F3">
      <w:pPr>
        <w:keepNext/>
        <w:rPr>
          <w:sz w:val="20"/>
          <w:szCs w:val="20"/>
        </w:rPr>
      </w:pPr>
    </w:p>
    <w:p w:rsidR="007D27E3" w:rsidRPr="00F22148" w:rsidRDefault="001F2EE8" w:rsidP="00F22148">
      <w:pPr>
        <w:pStyle w:val="Heading1"/>
        <w:rPr>
          <w:szCs w:val="24"/>
        </w:rPr>
      </w:pPr>
      <w:bookmarkStart w:id="14" w:name="_Toc7695573"/>
      <w:r>
        <w:t>6. RASPRAVA</w:t>
      </w:r>
      <w:bookmarkEnd w:id="14"/>
    </w:p>
    <w:p w:rsidR="00FC5A3E" w:rsidRPr="00FC5A3E" w:rsidRDefault="00FC5A3E" w:rsidP="00FC5A3E"/>
    <w:p w:rsidR="00D37832" w:rsidRPr="00FC5A3E" w:rsidRDefault="000F0C55" w:rsidP="00FC5A3E">
      <w:pPr>
        <w:widowControl w:val="0"/>
        <w:autoSpaceDE w:val="0"/>
        <w:autoSpaceDN w:val="0"/>
        <w:adjustRightInd w:val="0"/>
        <w:spacing w:line="360" w:lineRule="auto"/>
        <w:jc w:val="both"/>
        <w:rPr>
          <w:sz w:val="20"/>
          <w:szCs w:val="20"/>
        </w:rPr>
      </w:pPr>
      <w:r w:rsidRPr="000F0C55">
        <w:rPr>
          <w:sz w:val="20"/>
          <w:szCs w:val="20"/>
        </w:rPr>
        <w:t>Cilj ovog istraživanja bio</w:t>
      </w:r>
      <w:r>
        <w:rPr>
          <w:sz w:val="20"/>
          <w:szCs w:val="20"/>
        </w:rPr>
        <w:t xml:space="preserve"> je usporediti ekspresiju gena </w:t>
      </w:r>
      <w:r w:rsidRPr="000F0C55">
        <w:rPr>
          <w:i/>
          <w:sz w:val="20"/>
          <w:szCs w:val="20"/>
        </w:rPr>
        <w:t>PTX3</w:t>
      </w:r>
      <w:r>
        <w:rPr>
          <w:sz w:val="20"/>
          <w:szCs w:val="20"/>
        </w:rPr>
        <w:t xml:space="preserve"> na </w:t>
      </w:r>
      <w:proofErr w:type="spellStart"/>
      <w:r>
        <w:rPr>
          <w:sz w:val="20"/>
          <w:szCs w:val="20"/>
        </w:rPr>
        <w:t>mRNA</w:t>
      </w:r>
      <w:proofErr w:type="spellEnd"/>
      <w:r>
        <w:rPr>
          <w:sz w:val="20"/>
          <w:szCs w:val="20"/>
        </w:rPr>
        <w:t xml:space="preserve"> i proteinskoj razini </w:t>
      </w:r>
      <w:r w:rsidRPr="000F0C55">
        <w:rPr>
          <w:sz w:val="20"/>
          <w:szCs w:val="20"/>
        </w:rPr>
        <w:t xml:space="preserve">u difuznim karcinomima želuca i kontrolnom </w:t>
      </w:r>
      <w:proofErr w:type="spellStart"/>
      <w:r w:rsidRPr="000F0C55">
        <w:rPr>
          <w:sz w:val="20"/>
          <w:szCs w:val="20"/>
        </w:rPr>
        <w:t>netumorskom</w:t>
      </w:r>
      <w:proofErr w:type="spellEnd"/>
      <w:r w:rsidRPr="000F0C55">
        <w:rPr>
          <w:sz w:val="20"/>
          <w:szCs w:val="20"/>
        </w:rPr>
        <w:t xml:space="preserve"> tkivu želuca. </w:t>
      </w:r>
      <w:r w:rsidR="0026135A" w:rsidRPr="00FC5A3E">
        <w:rPr>
          <w:sz w:val="20"/>
          <w:szCs w:val="20"/>
        </w:rPr>
        <w:t>Tumorsko tkivo pokazuje veći intenzitet obojenja i veći postotak pozitivnih stanica, tj. veću ekspresiju PTX3 proteina, u odnosu na kontrolno tkivo iako je razina mRNA ekspresije u obje skupine podjednaka. Naime, u kontrolnom tkivu izraženiji su slabi i umjereni intenzitet obojenja, kao i područja do 10%, 11 – 50% te 50 – 80% pozitivnih stanica. Nasuprot tomu, u tumorskom tkivu značajno je zastupljeniji jaki intenzitet obojenja te područja s više od 80% pozitivnih stanica, što u konačnici rezultira jačim intenzitetom imunohistokemijske reakcije u tumorskom tkivu.</w:t>
      </w:r>
      <w:r w:rsidR="009750D6">
        <w:rPr>
          <w:sz w:val="20"/>
          <w:szCs w:val="20"/>
        </w:rPr>
        <w:t xml:space="preserve"> Time je radna hipoteza potvrđena.</w:t>
      </w:r>
      <w:r w:rsidR="0026135A" w:rsidRPr="00FC5A3E">
        <w:rPr>
          <w:sz w:val="20"/>
          <w:szCs w:val="20"/>
        </w:rPr>
        <w:t xml:space="preserve"> Dosada su publicirana malobrojna istraživanja o ekspresiji PTX3 u karcinomima želuca, a nijedno nije istraživalo ulogu ovog proteina u difuznom tipu karcinoma želuc</w:t>
      </w:r>
      <w:r w:rsidR="00B8442B">
        <w:rPr>
          <w:sz w:val="20"/>
          <w:szCs w:val="20"/>
        </w:rPr>
        <w:t xml:space="preserve">a zasebno. Choi i suradnici </w:t>
      </w:r>
      <w:r w:rsidR="0026135A" w:rsidRPr="00FC5A3E">
        <w:rPr>
          <w:sz w:val="20"/>
          <w:szCs w:val="20"/>
        </w:rPr>
        <w:t>u svom su istraživanju pokazali povezanost između povećane ekspresije PTX3 ovisne o TNF-α u stanicama humanog karcinoma želuca i invazivnog potencijala tih stanica. Osim toga pokazali su i da povećana ekspresija PTX3 kemotaksijskim mehanizmima povećava regrutaciju makrofaga i njihovo vezanje za stanice želučanog karcinoma. Kako bi dodatno potvrdili tu povezanost, ekspresija PTX3 utišana je pomoću siRNA što je rezultiralo smanjenjem kemotaksije makrofaga. Uzevši u obzir da je regrutacija makrofaga važna odrednica progresije tumor</w:t>
      </w:r>
      <w:r w:rsidR="00E67E82" w:rsidRPr="00FC5A3E">
        <w:rPr>
          <w:sz w:val="20"/>
          <w:szCs w:val="20"/>
        </w:rPr>
        <w:t>a i metastatskog potencijala</w:t>
      </w:r>
      <w:r w:rsidR="0026135A" w:rsidRPr="00FC5A3E">
        <w:rPr>
          <w:sz w:val="20"/>
          <w:szCs w:val="20"/>
        </w:rPr>
        <w:t>, moguće je da upravo tim mehanizmom PTX3 povećava invazivni potencijal tumorskih stanica. Ista skupina autora našla je povećanu ekspresiju PTX3 u koštanim metastazama humanog karcinoma želuca koje su povezane s osteolitičkom destrukcijom kosti. Povećana ekspresija PTX3 kao rezultat aktivacije sustava BDNF/TrkB povećava ekspresiju RANKL u osteoblastima i s</w:t>
      </w:r>
      <w:r w:rsidR="004F24E8">
        <w:rPr>
          <w:sz w:val="20"/>
          <w:szCs w:val="20"/>
        </w:rPr>
        <w:t xml:space="preserve">timulira osteoklastogenezu </w:t>
      </w:r>
      <w:r w:rsidR="00B8442B">
        <w:rPr>
          <w:sz w:val="20"/>
          <w:szCs w:val="20"/>
        </w:rPr>
        <w:t xml:space="preserve">. </w:t>
      </w:r>
      <w:r w:rsidR="0026135A" w:rsidRPr="00FC5A3E">
        <w:rPr>
          <w:sz w:val="20"/>
          <w:szCs w:val="20"/>
        </w:rPr>
        <w:t>Slični učinci PTX3 opisani su i u koštanim m</w:t>
      </w:r>
      <w:r w:rsidR="00B8442B">
        <w:rPr>
          <w:sz w:val="20"/>
          <w:szCs w:val="20"/>
        </w:rPr>
        <w:t xml:space="preserve">etastazama karcinoma dojke. </w:t>
      </w:r>
      <w:r w:rsidR="0026135A" w:rsidRPr="00FC5A3E">
        <w:rPr>
          <w:sz w:val="20"/>
          <w:szCs w:val="20"/>
        </w:rPr>
        <w:t>Povećana ekspresija PTX3 proteina pronađena je u brojnim drugim zloćudnim novotvorinama  poput karcinoma pankreasa, metastatskog planocelularnog karcinoma glave i vrata ovisnog o EGF-u, karcinoma dojke, karcinoma cerviksa, glioma, liposarkoma, karcinoma p</w:t>
      </w:r>
      <w:r w:rsidR="00F22148">
        <w:rPr>
          <w:sz w:val="20"/>
          <w:szCs w:val="20"/>
        </w:rPr>
        <w:t xml:space="preserve">rostate te karcinoma pluća. </w:t>
      </w:r>
      <w:r w:rsidR="0026135A" w:rsidRPr="00FC5A3E">
        <w:rPr>
          <w:sz w:val="20"/>
          <w:szCs w:val="20"/>
        </w:rPr>
        <w:t>Kronična upala predisponirajući je čimbenik za neke tipove zloćudnih novotvorina,</w:t>
      </w:r>
      <w:r w:rsidR="004F24E8">
        <w:rPr>
          <w:sz w:val="20"/>
          <w:szCs w:val="20"/>
        </w:rPr>
        <w:t xml:space="preserve"> uključujući i karcinom želuca. </w:t>
      </w:r>
      <w:r w:rsidR="0026135A" w:rsidRPr="00FC5A3E">
        <w:rPr>
          <w:sz w:val="20"/>
          <w:szCs w:val="20"/>
        </w:rPr>
        <w:t>Tumorski mikrookoliš bogat upalnim stanicama, citokinima i faktorima rasta ima važnu ulogu u različitim fazama tumorskog rasta</w:t>
      </w:r>
      <w:r w:rsidR="004F24E8">
        <w:rPr>
          <w:sz w:val="20"/>
          <w:szCs w:val="20"/>
        </w:rPr>
        <w:t xml:space="preserve">. </w:t>
      </w:r>
      <w:r w:rsidR="0026135A" w:rsidRPr="004F24E8">
        <w:rPr>
          <w:color w:val="FF0000"/>
          <w:sz w:val="20"/>
          <w:szCs w:val="20"/>
        </w:rPr>
        <w:t xml:space="preserve"> </w:t>
      </w:r>
      <w:r w:rsidR="0026135A" w:rsidRPr="00FC5A3E">
        <w:rPr>
          <w:sz w:val="20"/>
          <w:szCs w:val="20"/>
        </w:rPr>
        <w:t>Ekspresiju ovog proteina akutne faze značajno induciraju proupaln</w:t>
      </w:r>
      <w:r w:rsidR="00F22148">
        <w:rPr>
          <w:sz w:val="20"/>
          <w:szCs w:val="20"/>
        </w:rPr>
        <w:t xml:space="preserve">i citokini poput TNF-α i IL-1β. </w:t>
      </w:r>
      <w:r w:rsidR="0026135A" w:rsidRPr="00FC5A3E">
        <w:rPr>
          <w:sz w:val="20"/>
          <w:szCs w:val="20"/>
        </w:rPr>
        <w:t>Budući da PTX3 ima brojne imunoregulatorne funkcije u apoptozi, aktivaciji sustava komplementa, regr</w:t>
      </w:r>
      <w:r w:rsidR="00F22148">
        <w:rPr>
          <w:sz w:val="20"/>
          <w:szCs w:val="20"/>
        </w:rPr>
        <w:t>utaciji leukocita i angiogenezi</w:t>
      </w:r>
      <w:r w:rsidR="0026135A" w:rsidRPr="00FC5A3E">
        <w:rPr>
          <w:sz w:val="20"/>
          <w:szCs w:val="20"/>
        </w:rPr>
        <w:t>, izvjesna je  njegova uloga u upali povezanoj s tumorom. Uz povećanu ekspresiju PTX3 lokalno u tumorskom tkivu, neke su studije pokazale i povišenu serumsku razinu PTX3 kod pacijenata</w:t>
      </w:r>
      <w:r w:rsidR="00755A73" w:rsidRPr="00FC5A3E">
        <w:rPr>
          <w:sz w:val="20"/>
          <w:szCs w:val="20"/>
        </w:rPr>
        <w:t xml:space="preserve"> oboljelih od karcinoma</w:t>
      </w:r>
      <w:r w:rsidR="0026135A" w:rsidRPr="00FC5A3E">
        <w:rPr>
          <w:sz w:val="20"/>
          <w:szCs w:val="20"/>
        </w:rPr>
        <w:t xml:space="preserve"> pluća, prostate i pankreasa</w:t>
      </w:r>
      <w:r w:rsidR="004F24E8">
        <w:rPr>
          <w:sz w:val="20"/>
          <w:szCs w:val="20"/>
        </w:rPr>
        <w:t xml:space="preserve"> </w:t>
      </w:r>
      <w:r w:rsidR="004F24E8">
        <w:rPr>
          <w:sz w:val="20"/>
          <w:szCs w:val="20"/>
        </w:rPr>
        <w:fldChar w:fldCharType="begin" w:fldLock="1"/>
      </w:r>
      <w:r w:rsidR="00F41B60">
        <w:rPr>
          <w:sz w:val="20"/>
          <w:szCs w:val="20"/>
        </w:rPr>
        <w:instrText>ADDIN CSL_CITATION {"citationItems":[{"id":"ITEM-1","itemData":{"DOI":"10.1158/1078-0432.CCR-10-3024","ISSN":"10780432","abstract":"Our objective was to validate the performance of three new candidate lung cancer biomarkers, pentraxin-3 (PTX3), human kallikrein 11 (KLK11), and progranulin.","author":[{"dropping-particle":"","family":"Diamandis","given":"Eleftherios P.","non-dropping-particle":"","parse-names":false,"suffix":""},{"dropping-particle":"","family":"Goodglick","given":"Lee","non-dropping-particle":"","parse-names":false,"suffix":""},{"dropping-particle":"","family":"Planque","given":"Chris","non-dropping-particle":"","parse-names":false,"suffix":""},{"dropping-particle":"","family":"Thornquist","given":"Mark D.","non-dropping-particle":"","parse-names":false,"suffix":""}],"container-title":"Clinical Cancer Research","id":"ITEM-1","issue":"8","issued":{"date-parts":[["2011"]]},"page":"2395-2399","title":"Pentraxin-3 is a novel biomarker of lung carcinoma","type":"article-journal","volume":"17"},"uris":["http://www.mendeley.com/documents/?uuid=b86cd84d-e3f2-4802-9511-7861ff187956"]},{"id":"ITEM-2","itemData":{"DOI":"10.1002/ijc.29822","ISSN":"10970215","abstract":"There is a well-established link between inflammation and cancer of various organs, but little data are available on inflammation-associated markers of diagnostic and prognostic clinical utility in pulmonary malignancy. Blood samples were prospectively collected from 75 resectable lung cancer patients before surgery and in a cohort of 1,358 high-risk subjects. Serum levels of long pentraxin 3 (PTX3) were determined by high-sensitivity ELISA. PTX3 immunostaining was evaluated by immunohistochemistry in cancer tissue. Serum PTX3 levels in the high-risk population were not predictive of developing subsequent lung cancer or any other malignancy; however, serum PTX3 values in patients with lung cancer were significantly higher compared with cancer-free heavy smokers. With a cutoff of 4.5 ng/ml, specificity was 0.80, sensitivity 0.69, positive predictive value 0.15 and negative predictive value 0.98. The receiver operating curve (ROC) for serum PTX3 had an area under the curve (AUC) of 83.52%. Preoperative serum PTX3 levels in lung cancer patients did not correlate with patient outcome, but high interstitial expression of PTX3 in resected tumor specimens was a significant independent prognostic factor associated with shorter survival (p &lt; 0.001). These results support the potential of serum PTX3 as a lung cancer biomarker in high-risk subjects. Furthermore, PTX3 immunohistochemistry findings support the role of local inflammatory mechanisms in determining clinical outcome and suggest that local expression of PTX3 may be of prognostic utility in lung cancer patients.","author":[{"dropping-particle":"","family":"Infante","given":"Maurizio","non-dropping-particle":"","parse-names":false,"suffix":""},{"dropping-particle":"","family":"Allavena","given":"Paola","non-dropping-particle":"","parse-names":false,"suffix":""},{"dropping-particle":"","family":"Garlanda","given":"Cecilia","non-dropping-particle":"","parse-names":false,"suffix":""},{"dropping-particle":"","family":"Nebuloni","given":"Manuela","non-dropping-particle":"","parse-names":false,"suffix":""},{"dropping-particle":"","family":"Morenghi","given":"Emanuela","non-dropping-particle":"","parse-names":false,"suffix":""},{"dropping-particle":"","family":"Rahal","given":"Daoud","non-dropping-particle":"","parse-names":false,"suffix":""},{"dropping-particle":"","family":"Roncalli","given":"Massimo","non-dropping-particle":"","parse-names":false,"suffix":""},{"dropping-particle":"","family":"Cavuto","given":"Silvio","non-dropping-particle":"","parse-names":false,"suffix":""},{"dropping-particle":"","family":"Pesce","given":"Samantha","non-dropping-particle":"","parse-names":false,"suffix":""},{"dropping-particle":"","family":"Monari","given":"Marta","non-dropping-particle":"","parse-names":false,"suffix":""},{"dropping-particle":"","family":"Valaperta","given":"Serenella","non-dropping-particle":"","parse-names":false,"suffix":""},{"dropping-particle":"","family":"Montanelli","given":"Alessandro","non-dropping-particle":"","parse-names":false,"suffix":""},{"dropping-particle":"","family":"Solomon","given":"Daniel","non-dropping-particle":"","parse-names":false,"suffix":""},{"dropping-particle":"","family":"Bottoni","given":"Edoardo","non-dropping-particle":"","parse-names":false,"suffix":""},{"dropping-particle":"","family":"Errico","given":"Valentina","non-dropping-particle":"","parse-names":false,"suffix":""},{"dropping-particle":"","family":"Voulaz","given":"Emanuele","non-dropping-particle":"","parse-names":false,"suffix":""},{"dropping-particle":"","family":"Bossi","given":"Manuela","non-dropping-particle":"","parse-names":false,"suffix":""},{"dropping-particle":"","family":"Chiesa","given":"Giuseppe","non-dropping-particle":"","parse-names":false,"suffix":""},{"dropping-particle":"","family":"Passera","given":"Eliseo","non-dropping-particle":"","parse-names":false,"suffix":""},{"dropping-particle":"","family":"Mantovani","given":"Alberto","non-dropping-particle":"","parse-names":false,"suffix":""},{"dropping-particle":"","family":"Alloisio","given":"Marco","non-dropping-particle":"","parse-names":false,"suffix":""}],"container-title":"International Journal of Cancer","id":"ITEM-2","issue":"4","issued":{"date-parts":[["2016"]]},"page":"983-991","title":"Prognostic and diagnostic potential of local and circulating levels of pentraxin 3 in lung cancer patients","type":"article-journal","volume":"138"},"uris":["http://www.mendeley.com/documents/?uuid=f1719c4b-7726-400e-ac8d-2c506ddf2bd5"]},{"id":"ITEM-3","itemData":{"DOI":"10.1158/0008-5472.CAN-14-0369","ISSN":"15387445","abstract":"Pentraxin-3 (PTX3) is a member of the pentraxin family of innate immune regulators, which includes C-reactive protein (CRP). PTX3 has been implicated in angiogenesis, proliferation, and immune escape in cancer. In the present study, we evaluated PTX3 tissue expression and serum concentration as a biomarker to discriminate prostatic inflammation and benign prostatic hyperplasia (BPH) from prostate cancer, and to determine whether PTX3 status may predict progression from BPH to prostate cancer. We analyzed 40 patients with biopsy-proven BPH who underwent a second prostate biopsy 12 to 36 months later when they were diagnosed with prostate cancer or inflammation/BPH (n = 20 patients each group). Furthermore, we evaluated PTX3 serum concentrations in an independent set of patients with biopsy-proven inflammation/BPH (n = 61) and prostate cancer (n = 56). We found reduced PTX3 tissue expression in patients with prostatic inflammation/BPH compared with patients who developed prostate cancer. In the latter group, there was an increase in PTX3 tissue expression between the first and second prostate biopsy. PTX3 serum levels were also higher in patients with prostate cancer than in patients with inflammation/BPH. In contrast, there was no difference in serum PSA or CRP levels in these two groups. ROC curve analysis confirmed the reliability of PTX3 serum levels in predicting prostate cancer development, identifying a cutoff value of 3.25 ng/mL with a sensitivity and a specificity of 89.3% and 88.5%, respectively. In summary, our results encourage further evaluation of PTX3 as a tissue biopsy and blood-borne biomarker to discriminate BPH from prostate cancer. Cancer Res; 74(16); 4230-8. ©2014 AACR.","author":[{"dropping-particle":"","family":"Stallone","given":"Giovanni","non-dropping-particle":"","parse-names":false,"suffix":""},{"dropping-particle":"","family":"Cormio","given":"Luigi","non-dropping-particle":"","parse-names":false,"suffix":""},{"dropping-particle":"","family":"Netti","given":"Giuseppe Stefano","non-dropping-particle":"","parse-names":false,"suffix":""},{"dropping-particle":"","family":"Infante","given":"Barbara","non-dropping-particle":"","parse-names":false,"suffix":""},{"dropping-particle":"","family":"Selvaggio","given":"Oscar","non-dropping-particle":"","parse-names":false,"suffix":""},{"dropping-particle":"","family":"Fino","given":"Giuseppe","non-dropping-particle":"Di","parse-names":false,"suffix":""},{"dropping-particle":"","family":"Ranieri","given":"Elena","non-dropping-particle":"","parse-names":false,"suffix":""},{"dropping-particle":"","family":"Bruno","given":"Francesca","non-dropping-particle":"","parse-names":false,"suffix":""},{"dropping-particle":"","family":"Prattichizzo","given":"Clelia","non-dropping-particle":"","parse-names":false,"suffix":""},{"dropping-particle":"","family":"Sanguedolce","given":"Francesca","non-dropping-particle":"","parse-names":false,"suffix":""},{"dropping-particle":"","family":"Tortorella","given":"Simona","non-dropping-particle":"","parse-names":false,"suffix":""},{"dropping-particle":"","family":"Bufo","given":"Pantaleo","non-dropping-particle":"","parse-names":false,"suffix":""},{"dropping-particle":"","family":"Grandaliano","given":"Giuseppe","non-dropping-particle":"","parse-names":false,"suffix":""},{"dropping-particle":"","family":"Carrieri","given":"Giuseppe","non-dropping-particle":"","parse-names":false,"suffix":""}],"container-title":"Cancer Research","id":"ITEM-3","issue":"16","issued":{"date-parts":[["2014"]]},"page":"4230-4238","title":"Pentraxin 3: A novel biomarker for predicting progression from prostatic inflammation to prostate cancer","type":"article-journal","volume":"74"},"uris":["http://www.mendeley.com/documents/?uuid=f08c79a9-d91f-4892-b71c-71c6a8103a2c"]}],"mendeley":{"formattedCitation":"(Diamandis &lt;i&gt;et al.&lt;/i&gt;, 2011; Stallone &lt;i&gt;et al.&lt;/i&gt;, 2014; Infante &lt;i&gt;et al.&lt;/i&gt;, 2016)","manualFormatting":"(Diamandis i sur., 2011; Stallone i sur., 2014; Infante i sur., 2016)","plainTextFormattedCitation":"(Diamandis et al., 2011; Stallone et al., 2014; Infante et al., 2016)","previouslyFormattedCitation":"(Diamandis &lt;i&gt;et al.&lt;/i&gt;, 2011; Stallone &lt;i&gt;et al.&lt;/i&gt;, 2014; Infante &lt;i&gt;et al.&lt;/i&gt;, 2016)"},"properties":{"noteIndex":0},"schema":"https://github.com/citation-style-language/schema/raw/master/csl-citation.json"}</w:instrText>
      </w:r>
      <w:r w:rsidR="004F24E8">
        <w:rPr>
          <w:sz w:val="20"/>
          <w:szCs w:val="20"/>
        </w:rPr>
        <w:fldChar w:fldCharType="separate"/>
      </w:r>
      <w:r w:rsidR="004F24E8" w:rsidRPr="004F24E8">
        <w:rPr>
          <w:noProof/>
          <w:sz w:val="20"/>
          <w:szCs w:val="20"/>
        </w:rPr>
        <w:t xml:space="preserve">(Diamandis </w:t>
      </w:r>
      <w:r w:rsidR="003F4A87">
        <w:rPr>
          <w:i/>
          <w:noProof/>
          <w:sz w:val="20"/>
          <w:szCs w:val="20"/>
        </w:rPr>
        <w:t>i sur.,</w:t>
      </w:r>
      <w:r w:rsidR="004F24E8" w:rsidRPr="004F24E8">
        <w:rPr>
          <w:noProof/>
          <w:sz w:val="20"/>
          <w:szCs w:val="20"/>
        </w:rPr>
        <w:t xml:space="preserve"> 2011; Stallone </w:t>
      </w:r>
      <w:r w:rsidR="003F4A87">
        <w:rPr>
          <w:i/>
          <w:noProof/>
          <w:sz w:val="20"/>
          <w:szCs w:val="20"/>
        </w:rPr>
        <w:t>i sur.,</w:t>
      </w:r>
      <w:r w:rsidR="004F24E8" w:rsidRPr="004F24E8">
        <w:rPr>
          <w:noProof/>
          <w:sz w:val="20"/>
          <w:szCs w:val="20"/>
        </w:rPr>
        <w:t xml:space="preserve"> 2014; Infante </w:t>
      </w:r>
      <w:r w:rsidR="003F4A87">
        <w:rPr>
          <w:i/>
          <w:noProof/>
          <w:sz w:val="20"/>
          <w:szCs w:val="20"/>
        </w:rPr>
        <w:t>i sur.,</w:t>
      </w:r>
      <w:r w:rsidR="004F24E8" w:rsidRPr="004F24E8">
        <w:rPr>
          <w:noProof/>
          <w:sz w:val="20"/>
          <w:szCs w:val="20"/>
        </w:rPr>
        <w:t xml:space="preserve"> 2016)</w:t>
      </w:r>
      <w:r w:rsidR="004F24E8">
        <w:rPr>
          <w:sz w:val="20"/>
          <w:szCs w:val="20"/>
        </w:rPr>
        <w:fldChar w:fldCharType="end"/>
      </w:r>
      <w:r w:rsidR="004F24E8">
        <w:rPr>
          <w:sz w:val="20"/>
          <w:szCs w:val="20"/>
        </w:rPr>
        <w:t xml:space="preserve">. </w:t>
      </w:r>
      <w:r w:rsidR="0026135A" w:rsidRPr="00FC5A3E">
        <w:rPr>
          <w:sz w:val="20"/>
          <w:szCs w:val="20"/>
        </w:rPr>
        <w:t>S druge strane, PTX3 je opisan i kao ekstrinzični onkosupresor</w:t>
      </w:r>
      <w:r w:rsidR="004F24E8">
        <w:rPr>
          <w:sz w:val="20"/>
          <w:szCs w:val="20"/>
        </w:rPr>
        <w:t xml:space="preserve">, </w:t>
      </w:r>
      <w:r w:rsidR="0026135A" w:rsidRPr="00FC5A3E">
        <w:rPr>
          <w:sz w:val="20"/>
          <w:szCs w:val="20"/>
        </w:rPr>
        <w:t>a njegov deficit ima važnu ulogu u razvoju melanoma, multiplog mij</w:t>
      </w:r>
      <w:r w:rsidR="004F24E8">
        <w:rPr>
          <w:sz w:val="20"/>
          <w:szCs w:val="20"/>
        </w:rPr>
        <w:t xml:space="preserve">eloma i karcinoma prostate. </w:t>
      </w:r>
      <w:r w:rsidR="0026135A" w:rsidRPr="00FC5A3E">
        <w:rPr>
          <w:sz w:val="20"/>
          <w:szCs w:val="20"/>
        </w:rPr>
        <w:t>Uloga PTX3 u tumorigenezi još je kontroverzna. Čini se da PTX3 ima dvojaku ulogu: tumo</w:t>
      </w:r>
      <w:r w:rsidR="007023EC" w:rsidRPr="00FC5A3E">
        <w:rPr>
          <w:sz w:val="20"/>
          <w:szCs w:val="20"/>
        </w:rPr>
        <w:t xml:space="preserve">rpromotorsku i tumorsupresorsku, </w:t>
      </w:r>
      <w:r w:rsidR="0026135A" w:rsidRPr="00FC5A3E">
        <w:rPr>
          <w:sz w:val="20"/>
          <w:szCs w:val="20"/>
        </w:rPr>
        <w:t>ovisno o tipu tumora, staničnom podrijetlu i konte</w:t>
      </w:r>
      <w:r w:rsidR="004F24E8">
        <w:rPr>
          <w:sz w:val="20"/>
          <w:szCs w:val="20"/>
        </w:rPr>
        <w:t>kstu, tj. tum</w:t>
      </w:r>
      <w:r w:rsidR="00B8442B">
        <w:rPr>
          <w:sz w:val="20"/>
          <w:szCs w:val="20"/>
        </w:rPr>
        <w:t xml:space="preserve">orskom miljeu. </w:t>
      </w:r>
      <w:r w:rsidR="0026135A" w:rsidRPr="00FC5A3E">
        <w:rPr>
          <w:sz w:val="20"/>
          <w:szCs w:val="20"/>
        </w:rPr>
        <w:t>Rezultati ovog istraživanja u skladu su s rezultatima dosad publici</w:t>
      </w:r>
      <w:r w:rsidR="00755A73" w:rsidRPr="00FC5A3E">
        <w:rPr>
          <w:sz w:val="20"/>
          <w:szCs w:val="20"/>
        </w:rPr>
        <w:t>ranih istraživanja o povećanoj ekspresiji PTX3 u karcinomu</w:t>
      </w:r>
      <w:r w:rsidR="0026135A" w:rsidRPr="00FC5A3E">
        <w:rPr>
          <w:sz w:val="20"/>
          <w:szCs w:val="20"/>
        </w:rPr>
        <w:t xml:space="preserve"> želuca</w:t>
      </w:r>
      <w:r w:rsidR="00755A73" w:rsidRPr="00FC5A3E">
        <w:rPr>
          <w:sz w:val="20"/>
          <w:szCs w:val="20"/>
        </w:rPr>
        <w:t xml:space="preserve"> općenito</w:t>
      </w:r>
      <w:r w:rsidR="0026135A" w:rsidRPr="00FC5A3E">
        <w:rPr>
          <w:sz w:val="20"/>
          <w:szCs w:val="20"/>
        </w:rPr>
        <w:t>, a donose i nove spoznaje o povećanoj ekspresiji PTX3 specifično u difuznom tipu karcinoma želuca u usporedbi s kontrolnim netumorskim tkivom.</w:t>
      </w:r>
      <w:r w:rsidR="00651E5E" w:rsidRPr="00FC5A3E">
        <w:rPr>
          <w:sz w:val="20"/>
          <w:szCs w:val="20"/>
        </w:rPr>
        <w:t xml:space="preserve"> Korelacija između ekspresije PTX3 i TNM stadija difuznog karcinoma želuca nije s</w:t>
      </w:r>
      <w:r w:rsidR="00974AC4" w:rsidRPr="00FC5A3E">
        <w:rPr>
          <w:sz w:val="20"/>
          <w:szCs w:val="20"/>
        </w:rPr>
        <w:t xml:space="preserve">e mogla evaluirati jer je bolest redovito </w:t>
      </w:r>
      <w:r w:rsidR="00974AC4" w:rsidRPr="00FC5A3E">
        <w:rPr>
          <w:sz w:val="20"/>
          <w:szCs w:val="20"/>
        </w:rPr>
        <w:lastRenderedPageBreak/>
        <w:t>dijagnosticirana</w:t>
      </w:r>
      <w:r w:rsidR="00651E5E" w:rsidRPr="00FC5A3E">
        <w:rPr>
          <w:sz w:val="20"/>
          <w:szCs w:val="20"/>
        </w:rPr>
        <w:t xml:space="preserve"> u uznapredovalom stadiju.</w:t>
      </w:r>
      <w:r w:rsidR="0026135A" w:rsidRPr="00FC5A3E">
        <w:rPr>
          <w:sz w:val="20"/>
          <w:szCs w:val="20"/>
        </w:rPr>
        <w:t xml:space="preserve"> Potencijalne limitacije ovog istraživanja su retrospektivna priroda istraživanja i mali broj ispitanika. Osim toga, uzorci tkiva želuca dobiveni endoskopskim biopsijama koji su korišteni kao kontrolno netumorsko tkivo često pokazaju znakove</w:t>
      </w:r>
      <w:r w:rsidR="00790784" w:rsidRPr="00FC5A3E">
        <w:rPr>
          <w:sz w:val="20"/>
          <w:szCs w:val="20"/>
        </w:rPr>
        <w:t xml:space="preserve"> upalne infiltracije</w:t>
      </w:r>
      <w:r w:rsidR="00651E5E" w:rsidRPr="00FC5A3E">
        <w:rPr>
          <w:sz w:val="20"/>
          <w:szCs w:val="20"/>
        </w:rPr>
        <w:t xml:space="preserve">, </w:t>
      </w:r>
      <w:r w:rsidR="00DE06A1" w:rsidRPr="00FC5A3E">
        <w:rPr>
          <w:sz w:val="20"/>
          <w:szCs w:val="20"/>
        </w:rPr>
        <w:t>prvenstveno mononuklearne</w:t>
      </w:r>
      <w:r w:rsidR="00755A73" w:rsidRPr="00FC5A3E">
        <w:rPr>
          <w:sz w:val="20"/>
          <w:szCs w:val="20"/>
        </w:rPr>
        <w:t>, s patohistološkom dijagnozom kroničnog gastritisa,</w:t>
      </w:r>
      <w:r w:rsidR="0026135A" w:rsidRPr="00FC5A3E">
        <w:rPr>
          <w:sz w:val="20"/>
          <w:szCs w:val="20"/>
        </w:rPr>
        <w:t xml:space="preserve"> što može imati reperkusije na rezultate ekspresije PTX3 u tim uzorcima. Iako se ukupna incidencija karcinoma želuca progresivno smanjuje od sredine prošlog stoljeća, karcinom želuca i dalje je među deset najčešćih primarnih sijela raka i kod muškaraca i kod žena, a difuzni tip karcinoma želuca češće se javlja kod mlađih osoba, dijagnosticira se u uznapredovalom stadiju i ima lošiju prognozu. Bolje razumijevanje etiopatogeneze te unaprjeđenje dijagnostičkih i terapijskih metoda nužno je kako bi se poboljšao ishod i kvaliteta života oboljelih od karcinoma želuca.</w:t>
      </w:r>
    </w:p>
    <w:p w:rsidR="00D37832" w:rsidRPr="00FC5A3E" w:rsidRDefault="00D37832" w:rsidP="00FC5A3E">
      <w:pPr>
        <w:spacing w:line="360" w:lineRule="auto"/>
        <w:jc w:val="both"/>
        <w:rPr>
          <w:sz w:val="20"/>
          <w:szCs w:val="20"/>
        </w:rPr>
      </w:pPr>
      <w:r w:rsidRPr="00FC5A3E">
        <w:rPr>
          <w:sz w:val="20"/>
          <w:szCs w:val="20"/>
        </w:rPr>
        <w:br w:type="page"/>
      </w:r>
    </w:p>
    <w:p w:rsidR="00D37832" w:rsidRPr="00D37832" w:rsidRDefault="00D37832" w:rsidP="00D37832">
      <w:pPr>
        <w:pStyle w:val="Heading1"/>
        <w:spacing w:after="300"/>
      </w:pPr>
      <w:bookmarkStart w:id="15" w:name="_Toc7695574"/>
      <w:r>
        <w:lastRenderedPageBreak/>
        <w:t>7. ZAKLJUČCI</w:t>
      </w:r>
      <w:bookmarkEnd w:id="15"/>
    </w:p>
    <w:p w:rsidR="00D37832" w:rsidRPr="00FC5A3E" w:rsidRDefault="00D37832" w:rsidP="00FC5A3E">
      <w:pPr>
        <w:spacing w:line="360" w:lineRule="auto"/>
        <w:jc w:val="both"/>
        <w:rPr>
          <w:sz w:val="20"/>
          <w:szCs w:val="20"/>
        </w:rPr>
      </w:pPr>
      <w:r w:rsidRPr="00FC5A3E">
        <w:rPr>
          <w:sz w:val="20"/>
          <w:szCs w:val="20"/>
        </w:rPr>
        <w:t xml:space="preserve">Rezultati imunohistokemijske analize pokazali su veću ekspresiju PTX3 proteina u difuznom karcinomu želuca u odnosu na kontrolno netumorsko tkivo iako je razina mRNA ekspresije u obje skupine podjednaka. Razlog tomu je značajno zastupljeniji jaki intenzitet obojenja te područja s više od 80% pozitivnih stanica u tumorskom tkivu, dok su u kontrolnom tkivu zastupljenija područja slabijeg intenziteta obojenja i područja s manjim udjelom pozitivnih stanica. Uloga povećane ekspresije PTX3 u karcinomima želuca još nije dovoljno razjašnjena. </w:t>
      </w:r>
      <w:r w:rsidR="008E1740" w:rsidRPr="00FC5A3E">
        <w:rPr>
          <w:sz w:val="20"/>
          <w:szCs w:val="20"/>
        </w:rPr>
        <w:t>Prema r</w:t>
      </w:r>
      <w:r w:rsidRPr="00FC5A3E">
        <w:rPr>
          <w:sz w:val="20"/>
          <w:szCs w:val="20"/>
        </w:rPr>
        <w:t>ezultati</w:t>
      </w:r>
      <w:r w:rsidR="008E1740" w:rsidRPr="00FC5A3E">
        <w:rPr>
          <w:sz w:val="20"/>
          <w:szCs w:val="20"/>
        </w:rPr>
        <w:t>ma</w:t>
      </w:r>
      <w:r w:rsidRPr="00FC5A3E">
        <w:rPr>
          <w:sz w:val="20"/>
          <w:szCs w:val="20"/>
        </w:rPr>
        <w:t xml:space="preserve"> dosad publiciranih istraživanja </w:t>
      </w:r>
      <w:r w:rsidR="008E1740" w:rsidRPr="00FC5A3E">
        <w:rPr>
          <w:sz w:val="20"/>
          <w:szCs w:val="20"/>
        </w:rPr>
        <w:t xml:space="preserve">čini se </w:t>
      </w:r>
      <w:r w:rsidRPr="00FC5A3E">
        <w:rPr>
          <w:sz w:val="20"/>
          <w:szCs w:val="20"/>
        </w:rPr>
        <w:t xml:space="preserve">da </w:t>
      </w:r>
      <w:r w:rsidR="00717EEC" w:rsidRPr="00FC5A3E">
        <w:rPr>
          <w:sz w:val="20"/>
          <w:szCs w:val="20"/>
        </w:rPr>
        <w:t>povećana ekspresija PTX3 povećava invazivni potencijal</w:t>
      </w:r>
      <w:r w:rsidRPr="00FC5A3E">
        <w:rPr>
          <w:sz w:val="20"/>
          <w:szCs w:val="20"/>
        </w:rPr>
        <w:t xml:space="preserve"> stanica karcinoma želuca. Potrebna su daljnja istraživ</w:t>
      </w:r>
      <w:r w:rsidR="00717EEC" w:rsidRPr="00FC5A3E">
        <w:rPr>
          <w:sz w:val="20"/>
          <w:szCs w:val="20"/>
        </w:rPr>
        <w:t>anja kako bi se rasvijetlila stvarna uloga PTX3 u</w:t>
      </w:r>
      <w:r w:rsidRPr="00FC5A3E">
        <w:rPr>
          <w:sz w:val="20"/>
          <w:szCs w:val="20"/>
        </w:rPr>
        <w:t xml:space="preserve"> razvoj</w:t>
      </w:r>
      <w:r w:rsidR="00717EEC" w:rsidRPr="00FC5A3E">
        <w:rPr>
          <w:sz w:val="20"/>
          <w:szCs w:val="20"/>
        </w:rPr>
        <w:t>u i progresiji</w:t>
      </w:r>
      <w:r w:rsidRPr="00FC5A3E">
        <w:rPr>
          <w:sz w:val="20"/>
          <w:szCs w:val="20"/>
        </w:rPr>
        <w:t xml:space="preserve"> difuznog karcinoma želuca, ispitala mogućnost kliničke primjene PTX3 kao prognostičkog tkivnog i/ili serumskog markera te usmjerio razvoj novih protutumorskih terapijskih modaliteta čiji bio cilj bila molekula PTX3.</w:t>
      </w:r>
    </w:p>
    <w:p w:rsidR="00D37832" w:rsidRPr="00FC5A3E" w:rsidRDefault="00D37832" w:rsidP="00FC5A3E">
      <w:pPr>
        <w:spacing w:line="360" w:lineRule="auto"/>
        <w:jc w:val="both"/>
        <w:rPr>
          <w:sz w:val="20"/>
          <w:szCs w:val="20"/>
        </w:rPr>
      </w:pPr>
      <w:r w:rsidRPr="00FC5A3E">
        <w:rPr>
          <w:sz w:val="20"/>
          <w:szCs w:val="20"/>
        </w:rPr>
        <w:br w:type="page"/>
      </w:r>
    </w:p>
    <w:p w:rsidR="00DE06A1" w:rsidRDefault="00D37832" w:rsidP="00344731">
      <w:pPr>
        <w:pStyle w:val="Heading1"/>
        <w:spacing w:after="300"/>
      </w:pPr>
      <w:bookmarkStart w:id="16" w:name="_Toc7695575"/>
      <w:r>
        <w:lastRenderedPageBreak/>
        <w:t>8. ZAHVALE</w:t>
      </w:r>
      <w:bookmarkEnd w:id="16"/>
    </w:p>
    <w:p w:rsidR="00F529BC" w:rsidRPr="00FC5A3E" w:rsidRDefault="00F529BC" w:rsidP="00FC5A3E">
      <w:pPr>
        <w:spacing w:line="360" w:lineRule="auto"/>
        <w:jc w:val="both"/>
        <w:rPr>
          <w:sz w:val="20"/>
          <w:szCs w:val="20"/>
        </w:rPr>
      </w:pPr>
      <w:r w:rsidRPr="00FC5A3E">
        <w:rPr>
          <w:sz w:val="20"/>
          <w:szCs w:val="20"/>
        </w:rPr>
        <w:t>Zahvaljujem svojoj mentorici</w:t>
      </w:r>
      <w:r w:rsidR="001E5DFA">
        <w:rPr>
          <w:sz w:val="20"/>
          <w:szCs w:val="20"/>
        </w:rPr>
        <w:t xml:space="preserve"> prof. dr. sc. Tamari Nikuševa </w:t>
      </w:r>
      <w:r w:rsidRPr="00FC5A3E">
        <w:rPr>
          <w:sz w:val="20"/>
          <w:szCs w:val="20"/>
        </w:rPr>
        <w:t xml:space="preserve">Martić na </w:t>
      </w:r>
      <w:r w:rsidR="00344731" w:rsidRPr="00FC5A3E">
        <w:rPr>
          <w:sz w:val="20"/>
          <w:szCs w:val="20"/>
        </w:rPr>
        <w:t xml:space="preserve">poticaju i prilici za samostalni istraživački rad, na nesebičnom dijeljenju znanja i iskustva te onog najdragocjenijeg – vlastitog vremena. </w:t>
      </w:r>
    </w:p>
    <w:p w:rsidR="00344731" w:rsidRPr="00FC5A3E" w:rsidRDefault="00344731" w:rsidP="00FC5A3E">
      <w:pPr>
        <w:spacing w:line="360" w:lineRule="auto"/>
        <w:jc w:val="both"/>
        <w:rPr>
          <w:sz w:val="20"/>
          <w:szCs w:val="20"/>
        </w:rPr>
      </w:pPr>
      <w:r w:rsidRPr="00FC5A3E">
        <w:rPr>
          <w:sz w:val="20"/>
          <w:szCs w:val="20"/>
        </w:rPr>
        <w:t>Zahvaljujem doc. dr. sc. Frani Paiću na uloženom trudu i</w:t>
      </w:r>
      <w:r w:rsidR="00B3186F" w:rsidRPr="00FC5A3E">
        <w:rPr>
          <w:sz w:val="20"/>
          <w:szCs w:val="20"/>
        </w:rPr>
        <w:t xml:space="preserve"> konstruktivnim savjetima.</w:t>
      </w:r>
      <w:r w:rsidR="003E3942" w:rsidRPr="00FC5A3E">
        <w:rPr>
          <w:sz w:val="20"/>
          <w:szCs w:val="20"/>
        </w:rPr>
        <w:t xml:space="preserve"> </w:t>
      </w:r>
      <w:r w:rsidRPr="00FC5A3E">
        <w:rPr>
          <w:sz w:val="20"/>
          <w:szCs w:val="20"/>
        </w:rPr>
        <w:t xml:space="preserve"> </w:t>
      </w:r>
    </w:p>
    <w:p w:rsidR="00E32580" w:rsidRPr="00FC5A3E" w:rsidRDefault="00E32580" w:rsidP="00FC5A3E">
      <w:pPr>
        <w:spacing w:line="360" w:lineRule="auto"/>
        <w:jc w:val="both"/>
        <w:rPr>
          <w:sz w:val="20"/>
          <w:szCs w:val="20"/>
        </w:rPr>
      </w:pPr>
      <w:r w:rsidRPr="00FC5A3E">
        <w:rPr>
          <w:sz w:val="20"/>
          <w:szCs w:val="20"/>
        </w:rPr>
        <w:t xml:space="preserve">Hvala mojoj obitelji na </w:t>
      </w:r>
      <w:r w:rsidR="003E3942" w:rsidRPr="00FC5A3E">
        <w:rPr>
          <w:sz w:val="20"/>
          <w:szCs w:val="20"/>
        </w:rPr>
        <w:t xml:space="preserve">podršci i razumijevanju u svim fazama </w:t>
      </w:r>
      <w:r w:rsidRPr="00FC5A3E">
        <w:rPr>
          <w:sz w:val="20"/>
          <w:szCs w:val="20"/>
        </w:rPr>
        <w:t>obrazovanja.</w:t>
      </w:r>
    </w:p>
    <w:p w:rsidR="00E32580" w:rsidRPr="00FC5A3E" w:rsidRDefault="00E32580" w:rsidP="00FC5A3E">
      <w:pPr>
        <w:spacing w:line="360" w:lineRule="auto"/>
        <w:jc w:val="both"/>
        <w:rPr>
          <w:sz w:val="20"/>
          <w:szCs w:val="20"/>
        </w:rPr>
      </w:pPr>
      <w:r w:rsidRPr="00FC5A3E">
        <w:rPr>
          <w:sz w:val="20"/>
          <w:szCs w:val="20"/>
        </w:rPr>
        <w:t xml:space="preserve">I na kraju, hvala </w:t>
      </w:r>
      <w:r w:rsidRPr="00FC5A3E">
        <w:rPr>
          <w:i/>
          <w:sz w:val="20"/>
          <w:szCs w:val="20"/>
        </w:rPr>
        <w:t>njemu</w:t>
      </w:r>
      <w:r w:rsidRPr="00FC5A3E">
        <w:rPr>
          <w:sz w:val="20"/>
          <w:szCs w:val="20"/>
        </w:rPr>
        <w:t xml:space="preserve">, dr. Nikoli Zagorcu, najvećem kritičaru, a ujedno i najvećoj motivaciji, čija je </w:t>
      </w:r>
      <w:r w:rsidR="00EE2A5A" w:rsidRPr="00FC5A3E">
        <w:rPr>
          <w:sz w:val="20"/>
          <w:szCs w:val="20"/>
        </w:rPr>
        <w:t>potpora</w:t>
      </w:r>
      <w:r w:rsidRPr="00FC5A3E">
        <w:rPr>
          <w:sz w:val="20"/>
          <w:szCs w:val="20"/>
        </w:rPr>
        <w:t xml:space="preserve"> bezuvjetna, a pomoć neprocjenjiva.</w:t>
      </w:r>
    </w:p>
    <w:p w:rsidR="00DE06A1" w:rsidRPr="00DE06A1" w:rsidRDefault="00DE06A1" w:rsidP="00DE06A1"/>
    <w:p w:rsidR="00D37832" w:rsidRDefault="00D37832">
      <w:pPr>
        <w:rPr>
          <w:rFonts w:eastAsiaTheme="majorEastAsia" w:cstheme="majorBidi"/>
          <w:b/>
          <w:bCs/>
          <w:szCs w:val="28"/>
        </w:rPr>
      </w:pPr>
      <w:r>
        <w:br w:type="page"/>
      </w:r>
    </w:p>
    <w:p w:rsidR="00FC5A3E" w:rsidRDefault="00D37832" w:rsidP="0096585E">
      <w:pPr>
        <w:pStyle w:val="Heading1"/>
      </w:pPr>
      <w:bookmarkStart w:id="17" w:name="_Toc7695576"/>
      <w:r>
        <w:lastRenderedPageBreak/>
        <w:t>9. POPIS LITERATURE</w:t>
      </w:r>
      <w:bookmarkEnd w:id="17"/>
    </w:p>
    <w:p w:rsidR="00F41B60" w:rsidRDefault="00F41B60"/>
    <w:p w:rsidR="009C742C" w:rsidRPr="009C742C" w:rsidRDefault="00F41B60" w:rsidP="009C742C">
      <w:pPr>
        <w:widowControl w:val="0"/>
        <w:autoSpaceDE w:val="0"/>
        <w:autoSpaceDN w:val="0"/>
        <w:adjustRightInd w:val="0"/>
        <w:spacing w:line="240" w:lineRule="auto"/>
        <w:rPr>
          <w:rFonts w:cs="Times New Roman"/>
          <w:noProof/>
          <w:sz w:val="20"/>
          <w:szCs w:val="24"/>
        </w:rPr>
      </w:pPr>
      <w:r w:rsidRPr="00F41B60">
        <w:rPr>
          <w:sz w:val="20"/>
          <w:szCs w:val="20"/>
        </w:rPr>
        <w:fldChar w:fldCharType="begin" w:fldLock="1"/>
      </w:r>
      <w:r w:rsidRPr="00F41B60">
        <w:rPr>
          <w:sz w:val="20"/>
          <w:szCs w:val="20"/>
        </w:rPr>
        <w:instrText xml:space="preserve">ADDIN Mendeley Bibliography CSL_BIBLIOGRAPHY </w:instrText>
      </w:r>
      <w:r w:rsidRPr="00F41B60">
        <w:rPr>
          <w:sz w:val="20"/>
          <w:szCs w:val="20"/>
        </w:rPr>
        <w:fldChar w:fldCharType="separate"/>
      </w:r>
      <w:r w:rsidR="009C742C" w:rsidRPr="009C742C">
        <w:rPr>
          <w:rFonts w:cs="Times New Roman"/>
          <w:noProof/>
          <w:sz w:val="20"/>
          <w:szCs w:val="24"/>
        </w:rPr>
        <w:t xml:space="preserve">Abderrahim-Ferkoune, A. </w:t>
      </w:r>
      <w:r w:rsidR="009C742C" w:rsidRPr="009C742C">
        <w:rPr>
          <w:rFonts w:cs="Times New Roman"/>
          <w:i/>
          <w:iCs/>
          <w:noProof/>
          <w:sz w:val="20"/>
          <w:szCs w:val="24"/>
        </w:rPr>
        <w:t>et al.</w:t>
      </w:r>
      <w:r w:rsidR="009C742C" w:rsidRPr="009C742C">
        <w:rPr>
          <w:rFonts w:cs="Times New Roman"/>
          <w:noProof/>
          <w:sz w:val="20"/>
          <w:szCs w:val="24"/>
        </w:rPr>
        <w:t xml:space="preserve"> (2003) ‘Characterization of the long pentraxin PTX3 as a TNFα-induced secreted protein of adipose cells’, </w:t>
      </w:r>
      <w:r w:rsidR="009C742C" w:rsidRPr="009C742C">
        <w:rPr>
          <w:rFonts w:cs="Times New Roman"/>
          <w:i/>
          <w:iCs/>
          <w:noProof/>
          <w:sz w:val="20"/>
          <w:szCs w:val="24"/>
        </w:rPr>
        <w:t>Journal of Lipid Research</w:t>
      </w:r>
      <w:r w:rsidR="009C742C" w:rsidRPr="009C742C">
        <w:rPr>
          <w:rFonts w:cs="Times New Roman"/>
          <w:noProof/>
          <w:sz w:val="20"/>
          <w:szCs w:val="24"/>
        </w:rPr>
        <w:t>, 44(5), pp. 994–1000. doi: 10.1194/jlr.m200382-jlr200.</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Balakrishnan, M. </w:t>
      </w:r>
      <w:r w:rsidRPr="009C742C">
        <w:rPr>
          <w:rFonts w:cs="Times New Roman"/>
          <w:i/>
          <w:iCs/>
          <w:noProof/>
          <w:sz w:val="20"/>
          <w:szCs w:val="24"/>
        </w:rPr>
        <w:t>et al.</w:t>
      </w:r>
      <w:r w:rsidRPr="009C742C">
        <w:rPr>
          <w:rFonts w:cs="Times New Roman"/>
          <w:noProof/>
          <w:sz w:val="20"/>
          <w:szCs w:val="24"/>
        </w:rPr>
        <w:t xml:space="preserve"> (2017) ‘Changing Trends in Stomach Cancer Throughout the World’, </w:t>
      </w:r>
      <w:r w:rsidRPr="009C742C">
        <w:rPr>
          <w:rFonts w:cs="Times New Roman"/>
          <w:i/>
          <w:iCs/>
          <w:noProof/>
          <w:sz w:val="20"/>
          <w:szCs w:val="24"/>
        </w:rPr>
        <w:t>Current Gastroenterology Reports</w:t>
      </w:r>
      <w:r w:rsidRPr="009C742C">
        <w:rPr>
          <w:rFonts w:cs="Times New Roman"/>
          <w:noProof/>
          <w:sz w:val="20"/>
          <w:szCs w:val="24"/>
        </w:rPr>
        <w:t>. Current Gastroenterology Reports, 19(8). doi: 10.1007/s11894-017-0575-8.</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Balkwill, F. and Mantovani, A. (2001) ‘Inflammation and cancer: Back to Virchow?’, </w:t>
      </w:r>
      <w:r w:rsidRPr="009C742C">
        <w:rPr>
          <w:rFonts w:cs="Times New Roman"/>
          <w:i/>
          <w:iCs/>
          <w:noProof/>
          <w:sz w:val="20"/>
          <w:szCs w:val="24"/>
        </w:rPr>
        <w:t>Lancet</w:t>
      </w:r>
      <w:r w:rsidRPr="009C742C">
        <w:rPr>
          <w:rFonts w:cs="Times New Roman"/>
          <w:noProof/>
          <w:sz w:val="20"/>
          <w:szCs w:val="24"/>
        </w:rPr>
        <w:t>, 357(9255), pp. 539–545. doi: 10.1016/S0140-6736(00)04046-0.</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Basile, A. </w:t>
      </w:r>
      <w:r w:rsidRPr="009C742C">
        <w:rPr>
          <w:rFonts w:cs="Times New Roman"/>
          <w:i/>
          <w:iCs/>
          <w:noProof/>
          <w:sz w:val="20"/>
          <w:szCs w:val="24"/>
        </w:rPr>
        <w:t>et al.</w:t>
      </w:r>
      <w:r w:rsidRPr="009C742C">
        <w:rPr>
          <w:rFonts w:cs="Times New Roman"/>
          <w:noProof/>
          <w:sz w:val="20"/>
          <w:szCs w:val="24"/>
        </w:rPr>
        <w:t xml:space="preserve"> (2013) ‘Pentraxin 3 (PTX3) inhibits plasma cell/stromal cell cross-talk in the bone marrow of multiple myeloma patients’, </w:t>
      </w:r>
      <w:r w:rsidRPr="009C742C">
        <w:rPr>
          <w:rFonts w:cs="Times New Roman"/>
          <w:i/>
          <w:iCs/>
          <w:noProof/>
          <w:sz w:val="20"/>
          <w:szCs w:val="24"/>
        </w:rPr>
        <w:t>Journal of Pathology</w:t>
      </w:r>
      <w:r w:rsidRPr="009C742C">
        <w:rPr>
          <w:rFonts w:cs="Times New Roman"/>
          <w:noProof/>
          <w:sz w:val="20"/>
          <w:szCs w:val="24"/>
        </w:rPr>
        <w:t>, 229(1), pp. 87–98. doi: 10.1002/path.4081.</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Biswas, S. K. and Mantovani, A. (2010) ‘Macrophage plasticity and interaction with lymphocyte subsets: Cancer as a paradigm’, </w:t>
      </w:r>
      <w:r w:rsidRPr="009C742C">
        <w:rPr>
          <w:rFonts w:cs="Times New Roman"/>
          <w:i/>
          <w:iCs/>
          <w:noProof/>
          <w:sz w:val="20"/>
          <w:szCs w:val="24"/>
        </w:rPr>
        <w:t>Nature Immunology</w:t>
      </w:r>
      <w:r w:rsidRPr="009C742C">
        <w:rPr>
          <w:rFonts w:cs="Times New Roman"/>
          <w:noProof/>
          <w:sz w:val="20"/>
          <w:szCs w:val="24"/>
        </w:rPr>
        <w:t>. Nature Publishing Group, 11(10), pp. 889–896. doi: 10.1038/ni.1937.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Boland, C. R. and Yurgelun, M. B. (2017) ‘Historical Perspective on Familial Gastric Cancer’, </w:t>
      </w:r>
      <w:r w:rsidRPr="009C742C">
        <w:rPr>
          <w:rFonts w:cs="Times New Roman"/>
          <w:i/>
          <w:iCs/>
          <w:noProof/>
          <w:sz w:val="20"/>
          <w:szCs w:val="24"/>
        </w:rPr>
        <w:t>Cmgh</w:t>
      </w:r>
      <w:r w:rsidRPr="009C742C">
        <w:rPr>
          <w:rFonts w:cs="Times New Roman"/>
          <w:noProof/>
          <w:sz w:val="20"/>
          <w:szCs w:val="24"/>
        </w:rPr>
        <w:t>. Elsevier Inc, 3(2), pp. 192–200. doi: 10.1016/j.jcmgh.2016.12.003.</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Bonavita, E. </w:t>
      </w:r>
      <w:r w:rsidRPr="009C742C">
        <w:rPr>
          <w:rFonts w:cs="Times New Roman"/>
          <w:i/>
          <w:iCs/>
          <w:noProof/>
          <w:sz w:val="20"/>
          <w:szCs w:val="24"/>
        </w:rPr>
        <w:t>et al.</w:t>
      </w:r>
      <w:r w:rsidRPr="009C742C">
        <w:rPr>
          <w:rFonts w:cs="Times New Roman"/>
          <w:noProof/>
          <w:sz w:val="20"/>
          <w:szCs w:val="24"/>
        </w:rPr>
        <w:t xml:space="preserve"> (2015) ‘PTX3 is an extrinsic oncosuppressor regulating complement-dependent inflammation in cancer’, </w:t>
      </w:r>
      <w:r w:rsidRPr="009C742C">
        <w:rPr>
          <w:rFonts w:cs="Times New Roman"/>
          <w:i/>
          <w:iCs/>
          <w:noProof/>
          <w:sz w:val="20"/>
          <w:szCs w:val="24"/>
        </w:rPr>
        <w:t>Cell</w:t>
      </w:r>
      <w:r w:rsidRPr="009C742C">
        <w:rPr>
          <w:rFonts w:cs="Times New Roman"/>
          <w:noProof/>
          <w:sz w:val="20"/>
          <w:szCs w:val="24"/>
        </w:rPr>
        <w:t>, 160(4), pp. 700–714. doi: 10.1016/j.cell.2015.01.004.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Bottazzi, B. </w:t>
      </w:r>
      <w:r w:rsidRPr="009C742C">
        <w:rPr>
          <w:rFonts w:cs="Times New Roman"/>
          <w:i/>
          <w:iCs/>
          <w:noProof/>
          <w:sz w:val="20"/>
          <w:szCs w:val="24"/>
        </w:rPr>
        <w:t>et al.</w:t>
      </w:r>
      <w:r w:rsidRPr="009C742C">
        <w:rPr>
          <w:rFonts w:cs="Times New Roman"/>
          <w:noProof/>
          <w:sz w:val="20"/>
          <w:szCs w:val="24"/>
        </w:rPr>
        <w:t xml:space="preserve"> (2002) ‘Multimer Formation and Ligand Recognition by the Long Pentraxin PTX3’, </w:t>
      </w:r>
      <w:r w:rsidRPr="009C742C">
        <w:rPr>
          <w:rFonts w:cs="Times New Roman"/>
          <w:i/>
          <w:iCs/>
          <w:noProof/>
          <w:sz w:val="20"/>
          <w:szCs w:val="24"/>
        </w:rPr>
        <w:t>Journal of Biological Chemistry</w:t>
      </w:r>
      <w:r w:rsidRPr="009C742C">
        <w:rPr>
          <w:rFonts w:cs="Times New Roman"/>
          <w:noProof/>
          <w:sz w:val="20"/>
          <w:szCs w:val="24"/>
        </w:rPr>
        <w:t>, 272(52), pp. 32817–32823. doi: 10.1074/jbc.272.52.32817.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Bottazzi, B. </w:t>
      </w:r>
      <w:r w:rsidRPr="009C742C">
        <w:rPr>
          <w:rFonts w:cs="Times New Roman"/>
          <w:i/>
          <w:iCs/>
          <w:noProof/>
          <w:sz w:val="20"/>
          <w:szCs w:val="24"/>
        </w:rPr>
        <w:t>et al.</w:t>
      </w:r>
      <w:r w:rsidRPr="009C742C">
        <w:rPr>
          <w:rFonts w:cs="Times New Roman"/>
          <w:noProof/>
          <w:sz w:val="20"/>
          <w:szCs w:val="24"/>
        </w:rPr>
        <w:t xml:space="preserve"> (2009) ‘An Integrated View of Humoral Innate Immunity: Pentraxins as a Paradigm’, </w:t>
      </w:r>
      <w:r w:rsidRPr="009C742C">
        <w:rPr>
          <w:rFonts w:cs="Times New Roman"/>
          <w:i/>
          <w:iCs/>
          <w:noProof/>
          <w:sz w:val="20"/>
          <w:szCs w:val="24"/>
        </w:rPr>
        <w:t>Annual Review of Immunology</w:t>
      </w:r>
      <w:r w:rsidRPr="009C742C">
        <w:rPr>
          <w:rFonts w:cs="Times New Roman"/>
          <w:noProof/>
          <w:sz w:val="20"/>
          <w:szCs w:val="24"/>
        </w:rPr>
        <w:t>, 28(1), pp. 157–183. doi: 10.1146/annurev-immunol-030409-101305.</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Bray, F. </w:t>
      </w:r>
      <w:r w:rsidRPr="009C742C">
        <w:rPr>
          <w:rFonts w:cs="Times New Roman"/>
          <w:i/>
          <w:iCs/>
          <w:noProof/>
          <w:sz w:val="20"/>
          <w:szCs w:val="24"/>
        </w:rPr>
        <w:t>et al.</w:t>
      </w:r>
      <w:r w:rsidRPr="009C742C">
        <w:rPr>
          <w:rFonts w:cs="Times New Roman"/>
          <w:noProof/>
          <w:sz w:val="20"/>
          <w:szCs w:val="24"/>
        </w:rPr>
        <w:t xml:space="preserve"> (2018) ‘Global cancer statistics 2018: GLOBOCAN estimates of incidence and mortality worldwide for 36 cancers in 185 countries.’, </w:t>
      </w:r>
      <w:r w:rsidRPr="009C742C">
        <w:rPr>
          <w:rFonts w:cs="Times New Roman"/>
          <w:i/>
          <w:iCs/>
          <w:noProof/>
          <w:sz w:val="20"/>
          <w:szCs w:val="24"/>
        </w:rPr>
        <w:t>CA: a cancer journal for clinicians</w:t>
      </w:r>
      <w:r w:rsidRPr="009C742C">
        <w:rPr>
          <w:rFonts w:cs="Times New Roman"/>
          <w:noProof/>
          <w:sz w:val="20"/>
          <w:szCs w:val="24"/>
        </w:rPr>
        <w:t>, 68(6), pp. 394–424. doi: 10.3322/caac.21492.</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Breviario, F. </w:t>
      </w:r>
      <w:r w:rsidRPr="009C742C">
        <w:rPr>
          <w:rFonts w:cs="Times New Roman"/>
          <w:i/>
          <w:iCs/>
          <w:noProof/>
          <w:sz w:val="20"/>
          <w:szCs w:val="24"/>
        </w:rPr>
        <w:t>et al.</w:t>
      </w:r>
      <w:r w:rsidRPr="009C742C">
        <w:rPr>
          <w:rFonts w:cs="Times New Roman"/>
          <w:noProof/>
          <w:sz w:val="20"/>
          <w:szCs w:val="24"/>
        </w:rPr>
        <w:t xml:space="preserve"> (1992) ‘Interleukin-1-inducible genes in endothelial cells’, </w:t>
      </w:r>
      <w:r w:rsidRPr="009C742C">
        <w:rPr>
          <w:rFonts w:cs="Times New Roman"/>
          <w:i/>
          <w:iCs/>
          <w:noProof/>
          <w:sz w:val="20"/>
          <w:szCs w:val="24"/>
        </w:rPr>
        <w:t>The Journal of Biological Chemistry</w:t>
      </w:r>
      <w:r w:rsidRPr="009C742C">
        <w:rPr>
          <w:rFonts w:cs="Times New Roman"/>
          <w:noProof/>
          <w:sz w:val="20"/>
          <w:szCs w:val="24"/>
        </w:rPr>
        <w:t>, 267(31), pp. 22190–22197.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Chang, W.-C. </w:t>
      </w:r>
      <w:r w:rsidRPr="009C742C">
        <w:rPr>
          <w:rFonts w:cs="Times New Roman"/>
          <w:i/>
          <w:iCs/>
          <w:noProof/>
          <w:sz w:val="20"/>
          <w:szCs w:val="24"/>
        </w:rPr>
        <w:t>et al.</w:t>
      </w:r>
      <w:r w:rsidRPr="009C742C">
        <w:rPr>
          <w:rFonts w:cs="Times New Roman"/>
          <w:noProof/>
          <w:sz w:val="20"/>
          <w:szCs w:val="24"/>
        </w:rPr>
        <w:t xml:space="preserve"> (2015) ‘PTX3 gene activation in EGF-induced head and neck cancer cell metastasis’, </w:t>
      </w:r>
      <w:r w:rsidRPr="009C742C">
        <w:rPr>
          <w:rFonts w:cs="Times New Roman"/>
          <w:i/>
          <w:iCs/>
          <w:noProof/>
          <w:sz w:val="20"/>
          <w:szCs w:val="24"/>
        </w:rPr>
        <w:t>Oncotarget</w:t>
      </w:r>
      <w:r w:rsidRPr="009C742C">
        <w:rPr>
          <w:rFonts w:cs="Times New Roman"/>
          <w:noProof/>
          <w:sz w:val="20"/>
          <w:szCs w:val="24"/>
        </w:rPr>
        <w:t>, 6(10). doi: 10.18632/oncotarget.3482.</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Choi, B. </w:t>
      </w:r>
      <w:r w:rsidRPr="009C742C">
        <w:rPr>
          <w:rFonts w:cs="Times New Roman"/>
          <w:i/>
          <w:iCs/>
          <w:noProof/>
          <w:sz w:val="20"/>
          <w:szCs w:val="24"/>
        </w:rPr>
        <w:t>et al.</w:t>
      </w:r>
      <w:r w:rsidRPr="009C742C">
        <w:rPr>
          <w:rFonts w:cs="Times New Roman"/>
          <w:noProof/>
          <w:sz w:val="20"/>
          <w:szCs w:val="24"/>
        </w:rPr>
        <w:t xml:space="preserve"> (2014) ‘Oncotarget 481 www.impactjournals.com/oncotarget Elevated Pentraxin 3 in bone metastatic breast cancer is correlated with osteolytic function’, </w:t>
      </w:r>
      <w:r w:rsidRPr="009C742C">
        <w:rPr>
          <w:rFonts w:cs="Times New Roman"/>
          <w:i/>
          <w:iCs/>
          <w:noProof/>
          <w:sz w:val="20"/>
          <w:szCs w:val="24"/>
        </w:rPr>
        <w:t>Oncotarget</w:t>
      </w:r>
      <w:r w:rsidRPr="009C742C">
        <w:rPr>
          <w:rFonts w:cs="Times New Roman"/>
          <w:noProof/>
          <w:sz w:val="20"/>
          <w:szCs w:val="24"/>
        </w:rPr>
        <w:t>, 5(2).</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Choi, B. </w:t>
      </w:r>
      <w:r w:rsidRPr="009C742C">
        <w:rPr>
          <w:rFonts w:cs="Times New Roman"/>
          <w:i/>
          <w:iCs/>
          <w:noProof/>
          <w:sz w:val="20"/>
          <w:szCs w:val="24"/>
        </w:rPr>
        <w:t>et al.</w:t>
      </w:r>
      <w:r w:rsidRPr="009C742C">
        <w:rPr>
          <w:rFonts w:cs="Times New Roman"/>
          <w:noProof/>
          <w:sz w:val="20"/>
          <w:szCs w:val="24"/>
        </w:rPr>
        <w:t xml:space="preserve"> (2015) ‘Pentraxin-3 silencing suppresses gastric cancer-related inflammation by inhibiting chemotactic migration of macrophages’, </w:t>
      </w:r>
      <w:r w:rsidRPr="009C742C">
        <w:rPr>
          <w:rFonts w:cs="Times New Roman"/>
          <w:i/>
          <w:iCs/>
          <w:noProof/>
          <w:sz w:val="20"/>
          <w:szCs w:val="24"/>
        </w:rPr>
        <w:t>Anticancer Research</w:t>
      </w:r>
      <w:r w:rsidRPr="009C742C">
        <w:rPr>
          <w:rFonts w:cs="Times New Roman"/>
          <w:noProof/>
          <w:sz w:val="20"/>
          <w:szCs w:val="24"/>
        </w:rPr>
        <w:t>, 35(5), pp. 2663–2668.</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Choi, B. </w:t>
      </w:r>
      <w:r w:rsidRPr="009C742C">
        <w:rPr>
          <w:rFonts w:cs="Times New Roman"/>
          <w:i/>
          <w:iCs/>
          <w:noProof/>
          <w:sz w:val="20"/>
          <w:szCs w:val="24"/>
        </w:rPr>
        <w:t>et al.</w:t>
      </w:r>
      <w:r w:rsidRPr="009C742C">
        <w:rPr>
          <w:rFonts w:cs="Times New Roman"/>
          <w:noProof/>
          <w:sz w:val="20"/>
          <w:szCs w:val="24"/>
        </w:rPr>
        <w:t xml:space="preserve"> (2016) ‘Upregulation of brain-derived neurotrophic factor in advanced gastric cancer contributes to bone metastatic osteolysis by inducing long pentraxin 3’, </w:t>
      </w:r>
      <w:r w:rsidRPr="009C742C">
        <w:rPr>
          <w:rFonts w:cs="Times New Roman"/>
          <w:i/>
          <w:iCs/>
          <w:noProof/>
          <w:sz w:val="20"/>
          <w:szCs w:val="24"/>
        </w:rPr>
        <w:t>Oncotarget</w:t>
      </w:r>
      <w:r w:rsidRPr="009C742C">
        <w:rPr>
          <w:rFonts w:cs="Times New Roman"/>
          <w:noProof/>
          <w:sz w:val="20"/>
          <w:szCs w:val="24"/>
        </w:rPr>
        <w:t>, 7(34). doi: 10.18632/oncotarget.10747.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Deban, L. </w:t>
      </w:r>
      <w:r w:rsidRPr="009C742C">
        <w:rPr>
          <w:rFonts w:cs="Times New Roman"/>
          <w:i/>
          <w:iCs/>
          <w:noProof/>
          <w:sz w:val="20"/>
          <w:szCs w:val="24"/>
        </w:rPr>
        <w:t>et al.</w:t>
      </w:r>
      <w:r w:rsidRPr="009C742C">
        <w:rPr>
          <w:rFonts w:cs="Times New Roman"/>
          <w:noProof/>
          <w:sz w:val="20"/>
          <w:szCs w:val="24"/>
        </w:rPr>
        <w:t xml:space="preserve"> (2010) ‘Regulation of leukocyte recruitment by the long pentraxin PTX3’, </w:t>
      </w:r>
      <w:r w:rsidRPr="009C742C">
        <w:rPr>
          <w:rFonts w:cs="Times New Roman"/>
          <w:i/>
          <w:iCs/>
          <w:noProof/>
          <w:sz w:val="20"/>
          <w:szCs w:val="24"/>
        </w:rPr>
        <w:t>Nature Immunology</w:t>
      </w:r>
      <w:r w:rsidRPr="009C742C">
        <w:rPr>
          <w:rFonts w:cs="Times New Roman"/>
          <w:noProof/>
          <w:sz w:val="20"/>
          <w:szCs w:val="24"/>
        </w:rPr>
        <w:t>. Nature Publishing Group, 11(4), pp. 328–334. doi: 10.1038/ni.1854.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Deban, L. </w:t>
      </w:r>
      <w:r w:rsidRPr="009C742C">
        <w:rPr>
          <w:rFonts w:cs="Times New Roman"/>
          <w:i/>
          <w:iCs/>
          <w:noProof/>
          <w:sz w:val="20"/>
          <w:szCs w:val="24"/>
        </w:rPr>
        <w:t>et al.</w:t>
      </w:r>
      <w:r w:rsidRPr="009C742C">
        <w:rPr>
          <w:rFonts w:cs="Times New Roman"/>
          <w:noProof/>
          <w:sz w:val="20"/>
          <w:szCs w:val="24"/>
        </w:rPr>
        <w:t xml:space="preserve"> (2014) ‘Binding of the Long Pentraxin PTX3 to Factor H: Interacting Domains and Function in the Regulation of Complement Activation’, </w:t>
      </w:r>
      <w:r w:rsidRPr="009C742C">
        <w:rPr>
          <w:rFonts w:cs="Times New Roman"/>
          <w:i/>
          <w:iCs/>
          <w:noProof/>
          <w:sz w:val="20"/>
          <w:szCs w:val="24"/>
        </w:rPr>
        <w:t>The Journal of Immunology</w:t>
      </w:r>
      <w:r w:rsidRPr="009C742C">
        <w:rPr>
          <w:rFonts w:cs="Times New Roman"/>
          <w:noProof/>
          <w:sz w:val="20"/>
          <w:szCs w:val="24"/>
        </w:rPr>
        <w:t>, 181(12), pp. 8433–8440. doi: 10.4049/jimmunol.181.12.8433.</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Diamandis, E. P. </w:t>
      </w:r>
      <w:r w:rsidRPr="009C742C">
        <w:rPr>
          <w:rFonts w:cs="Times New Roman"/>
          <w:i/>
          <w:iCs/>
          <w:noProof/>
          <w:sz w:val="20"/>
          <w:szCs w:val="24"/>
        </w:rPr>
        <w:t>et al.</w:t>
      </w:r>
      <w:r w:rsidRPr="009C742C">
        <w:rPr>
          <w:rFonts w:cs="Times New Roman"/>
          <w:noProof/>
          <w:sz w:val="20"/>
          <w:szCs w:val="24"/>
        </w:rPr>
        <w:t xml:space="preserve"> (2011) ‘Pentraxin-3 is a novel biomarker of lung carcinoma’, </w:t>
      </w:r>
      <w:r w:rsidRPr="009C742C">
        <w:rPr>
          <w:rFonts w:cs="Times New Roman"/>
          <w:i/>
          <w:iCs/>
          <w:noProof/>
          <w:sz w:val="20"/>
          <w:szCs w:val="24"/>
        </w:rPr>
        <w:t>Clinical Cancer Research</w:t>
      </w:r>
      <w:r w:rsidRPr="009C742C">
        <w:rPr>
          <w:rFonts w:cs="Times New Roman"/>
          <w:noProof/>
          <w:sz w:val="20"/>
          <w:szCs w:val="24"/>
        </w:rPr>
        <w:t>, 17(8), pp. 2395–2399. doi: 10.1158/1078-0432.CCR-10-3024.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Doni, A. (2006) ‘Regulation of PTX3, a key component of humoral innate immunity in human dendritic cells: stimulation by IL-10 and inhibition by IFN- ’, </w:t>
      </w:r>
      <w:r w:rsidRPr="009C742C">
        <w:rPr>
          <w:rFonts w:cs="Times New Roman"/>
          <w:i/>
          <w:iCs/>
          <w:noProof/>
          <w:sz w:val="20"/>
          <w:szCs w:val="24"/>
        </w:rPr>
        <w:t>Journal of Leukocyte Biology</w:t>
      </w:r>
      <w:r w:rsidRPr="009C742C">
        <w:rPr>
          <w:rFonts w:cs="Times New Roman"/>
          <w:noProof/>
          <w:sz w:val="20"/>
          <w:szCs w:val="24"/>
        </w:rPr>
        <w:t xml:space="preserve">, 79(4), pp. 797–802. doi: </w:t>
      </w:r>
      <w:r w:rsidRPr="009C742C">
        <w:rPr>
          <w:rFonts w:cs="Times New Roman"/>
          <w:noProof/>
          <w:sz w:val="20"/>
          <w:szCs w:val="24"/>
        </w:rPr>
        <w:lastRenderedPageBreak/>
        <w:t>10.1189/jlb.0905493.</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Doni, A. </w:t>
      </w:r>
      <w:r w:rsidRPr="009C742C">
        <w:rPr>
          <w:rFonts w:cs="Times New Roman"/>
          <w:i/>
          <w:iCs/>
          <w:noProof/>
          <w:sz w:val="20"/>
          <w:szCs w:val="24"/>
        </w:rPr>
        <w:t>et al.</w:t>
      </w:r>
      <w:r w:rsidRPr="009C742C">
        <w:rPr>
          <w:rFonts w:cs="Times New Roman"/>
          <w:noProof/>
          <w:sz w:val="20"/>
          <w:szCs w:val="24"/>
        </w:rPr>
        <w:t xml:space="preserve"> (2008) ‘Cell-specific regulation of PTX3 by glucocorticoid hormones in hematopoietic and nonhematopoietic cells’, </w:t>
      </w:r>
      <w:r w:rsidRPr="009C742C">
        <w:rPr>
          <w:rFonts w:cs="Times New Roman"/>
          <w:i/>
          <w:iCs/>
          <w:noProof/>
          <w:sz w:val="20"/>
          <w:szCs w:val="24"/>
        </w:rPr>
        <w:t>Journal of Biological Chemistry</w:t>
      </w:r>
      <w:r w:rsidRPr="009C742C">
        <w:rPr>
          <w:rFonts w:cs="Times New Roman"/>
          <w:noProof/>
          <w:sz w:val="20"/>
          <w:szCs w:val="24"/>
        </w:rPr>
        <w:t>, 283(44), pp. 29983–29992. doi: 10.1074/jbc.M805631200.</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Doni, A. </w:t>
      </w:r>
      <w:r w:rsidRPr="009C742C">
        <w:rPr>
          <w:rFonts w:cs="Times New Roman"/>
          <w:i/>
          <w:iCs/>
          <w:noProof/>
          <w:sz w:val="20"/>
          <w:szCs w:val="24"/>
        </w:rPr>
        <w:t>et al.</w:t>
      </w:r>
      <w:r w:rsidRPr="009C742C">
        <w:rPr>
          <w:rFonts w:cs="Times New Roman"/>
          <w:noProof/>
          <w:sz w:val="20"/>
          <w:szCs w:val="24"/>
        </w:rPr>
        <w:t xml:space="preserve"> (2015) ‘An acidic microenvironment sets the humoral pattern recognition molecule PTX3 in a tissue repair mode’, </w:t>
      </w:r>
      <w:r w:rsidRPr="009C742C">
        <w:rPr>
          <w:rFonts w:cs="Times New Roman"/>
          <w:i/>
          <w:iCs/>
          <w:noProof/>
          <w:sz w:val="20"/>
          <w:szCs w:val="24"/>
        </w:rPr>
        <w:t>The Journal of Experimental Medicine</w:t>
      </w:r>
      <w:r w:rsidRPr="009C742C">
        <w:rPr>
          <w:rFonts w:cs="Times New Roman"/>
          <w:noProof/>
          <w:sz w:val="20"/>
          <w:szCs w:val="24"/>
        </w:rPr>
        <w:t>, 212(6), pp. 905–925. doi: 10.1084/jem.20141268.</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Dvorak, H. F. (1986) ‘Similarities between Tumour Stroma Generation and Wound Healing’, </w:t>
      </w:r>
      <w:r w:rsidRPr="009C742C">
        <w:rPr>
          <w:rFonts w:cs="Times New Roman"/>
          <w:i/>
          <w:iCs/>
          <w:noProof/>
          <w:sz w:val="20"/>
          <w:szCs w:val="24"/>
        </w:rPr>
        <w:t>The New England Journal of Medicine</w:t>
      </w:r>
      <w:r w:rsidRPr="009C742C">
        <w:rPr>
          <w:rFonts w:cs="Times New Roman"/>
          <w:noProof/>
          <w:sz w:val="20"/>
          <w:szCs w:val="24"/>
        </w:rPr>
        <w:t>.</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Edgren, G. </w:t>
      </w:r>
      <w:r w:rsidRPr="009C742C">
        <w:rPr>
          <w:rFonts w:cs="Times New Roman"/>
          <w:i/>
          <w:iCs/>
          <w:noProof/>
          <w:sz w:val="20"/>
          <w:szCs w:val="24"/>
        </w:rPr>
        <w:t>et al.</w:t>
      </w:r>
      <w:r w:rsidRPr="009C742C">
        <w:rPr>
          <w:rFonts w:cs="Times New Roman"/>
          <w:noProof/>
          <w:sz w:val="20"/>
          <w:szCs w:val="24"/>
        </w:rPr>
        <w:t xml:space="preserve"> (2010) ‘Risk of gastric cancer and peptic ulcers in relation to ABO blood type: A cohort study’, </w:t>
      </w:r>
      <w:r w:rsidRPr="009C742C">
        <w:rPr>
          <w:rFonts w:cs="Times New Roman"/>
          <w:i/>
          <w:iCs/>
          <w:noProof/>
          <w:sz w:val="20"/>
          <w:szCs w:val="24"/>
        </w:rPr>
        <w:t>American Journal of Epidemiology</w:t>
      </w:r>
      <w:r w:rsidRPr="009C742C">
        <w:rPr>
          <w:rFonts w:cs="Times New Roman"/>
          <w:noProof/>
          <w:sz w:val="20"/>
          <w:szCs w:val="24"/>
        </w:rPr>
        <w:t>, 172(11), pp. 1280–1285. doi: 10.1093/aje/kwq299.</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Ernst, P. B. and Gold, B. D. (2000) ‘T HE D ISEASE S PECTRUM OF H ELICOBACTER P YLORI : The Immunopathogenesis of Gastroduodenal Ulcer and Gastric Cancer CONTENTS’.</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Giacomini, A. </w:t>
      </w:r>
      <w:r w:rsidRPr="009C742C">
        <w:rPr>
          <w:rFonts w:cs="Times New Roman"/>
          <w:i/>
          <w:iCs/>
          <w:noProof/>
          <w:sz w:val="20"/>
          <w:szCs w:val="24"/>
        </w:rPr>
        <w:t>et al.</w:t>
      </w:r>
      <w:r w:rsidRPr="009C742C">
        <w:rPr>
          <w:rFonts w:cs="Times New Roman"/>
          <w:noProof/>
          <w:sz w:val="20"/>
          <w:szCs w:val="24"/>
        </w:rPr>
        <w:t xml:space="preserve"> (2018) ‘Long pentraxin 3: A novel multifaceted player in cancer’, </w:t>
      </w:r>
      <w:r w:rsidRPr="009C742C">
        <w:rPr>
          <w:rFonts w:cs="Times New Roman"/>
          <w:i/>
          <w:iCs/>
          <w:noProof/>
          <w:sz w:val="20"/>
          <w:szCs w:val="24"/>
        </w:rPr>
        <w:t>Biochimica et Biophysica Acta - Reviews on Cancer</w:t>
      </w:r>
      <w:r w:rsidRPr="009C742C">
        <w:rPr>
          <w:rFonts w:cs="Times New Roman"/>
          <w:noProof/>
          <w:sz w:val="20"/>
          <w:szCs w:val="24"/>
        </w:rPr>
        <w:t>. Elsevier, 1869(1), pp. 53–63. doi: 10.1016/j.bbcan.2017.11.004.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Goodman, A. R. </w:t>
      </w:r>
      <w:r w:rsidRPr="009C742C">
        <w:rPr>
          <w:rFonts w:cs="Times New Roman"/>
          <w:i/>
          <w:iCs/>
          <w:noProof/>
          <w:sz w:val="20"/>
          <w:szCs w:val="24"/>
        </w:rPr>
        <w:t>et al.</w:t>
      </w:r>
      <w:r w:rsidRPr="009C742C">
        <w:rPr>
          <w:rFonts w:cs="Times New Roman"/>
          <w:noProof/>
          <w:sz w:val="20"/>
          <w:szCs w:val="24"/>
        </w:rPr>
        <w:t xml:space="preserve"> (2000) ‘Differential regulation of TSG-14 expression in murine fibroblasts and peritoneal macrophages’, </w:t>
      </w:r>
      <w:r w:rsidRPr="009C742C">
        <w:rPr>
          <w:rFonts w:cs="Times New Roman"/>
          <w:i/>
          <w:iCs/>
          <w:noProof/>
          <w:sz w:val="20"/>
          <w:szCs w:val="24"/>
        </w:rPr>
        <w:t>Journal of Leukocyte Biology</w:t>
      </w:r>
      <w:r w:rsidRPr="009C742C">
        <w:rPr>
          <w:rFonts w:cs="Times New Roman"/>
          <w:noProof/>
          <w:sz w:val="20"/>
          <w:szCs w:val="24"/>
        </w:rPr>
        <w:t>, 67(3), pp. 387–395. doi: 10.1002/jlb.67.3.387.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Han, B. </w:t>
      </w:r>
      <w:r w:rsidRPr="009C742C">
        <w:rPr>
          <w:rFonts w:cs="Times New Roman"/>
          <w:i/>
          <w:iCs/>
          <w:noProof/>
          <w:sz w:val="20"/>
          <w:szCs w:val="24"/>
        </w:rPr>
        <w:t>et al.</w:t>
      </w:r>
      <w:r w:rsidRPr="009C742C">
        <w:rPr>
          <w:rFonts w:cs="Times New Roman"/>
          <w:noProof/>
          <w:sz w:val="20"/>
          <w:szCs w:val="24"/>
        </w:rPr>
        <w:t xml:space="preserve"> (2014) ‘TNF -Induced Long Pentraxin PTX3 Expression in Human Lung Epithelial Cells via JNK’, </w:t>
      </w:r>
      <w:r w:rsidRPr="009C742C">
        <w:rPr>
          <w:rFonts w:cs="Times New Roman"/>
          <w:i/>
          <w:iCs/>
          <w:noProof/>
          <w:sz w:val="20"/>
          <w:szCs w:val="24"/>
        </w:rPr>
        <w:t>The Journal of Immunology</w:t>
      </w:r>
      <w:r w:rsidRPr="009C742C">
        <w:rPr>
          <w:rFonts w:cs="Times New Roman"/>
          <w:noProof/>
          <w:sz w:val="20"/>
          <w:szCs w:val="24"/>
        </w:rPr>
        <w:t>, 175(12), pp. 8303–8311. doi: 10.4049/jimmunol.175.12.8303.</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Hrvatski zavod za javno zdravstvo (2016) ‘Registar za rak Republike Hrvatske. Incidencija raka u Hrvatskoj 2014.’, (41).</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Infante, M. </w:t>
      </w:r>
      <w:r w:rsidRPr="009C742C">
        <w:rPr>
          <w:rFonts w:cs="Times New Roman"/>
          <w:i/>
          <w:iCs/>
          <w:noProof/>
          <w:sz w:val="20"/>
          <w:szCs w:val="24"/>
        </w:rPr>
        <w:t>et al.</w:t>
      </w:r>
      <w:r w:rsidRPr="009C742C">
        <w:rPr>
          <w:rFonts w:cs="Times New Roman"/>
          <w:noProof/>
          <w:sz w:val="20"/>
          <w:szCs w:val="24"/>
        </w:rPr>
        <w:t xml:space="preserve"> (2016) ‘Prognostic and diagnostic potential of local and circulating levels of pentraxin 3 in lung cancer patients’, </w:t>
      </w:r>
      <w:r w:rsidRPr="009C742C">
        <w:rPr>
          <w:rFonts w:cs="Times New Roman"/>
          <w:i/>
          <w:iCs/>
          <w:noProof/>
          <w:sz w:val="20"/>
          <w:szCs w:val="24"/>
        </w:rPr>
        <w:t>International Journal of Cancer</w:t>
      </w:r>
      <w:r w:rsidRPr="009C742C">
        <w:rPr>
          <w:rFonts w:cs="Times New Roman"/>
          <w:noProof/>
          <w:sz w:val="20"/>
          <w:szCs w:val="24"/>
        </w:rPr>
        <w:t>, 138(4), pp. 983–991. doi: 10.1002/ijc.29822.</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Klouche, M. </w:t>
      </w:r>
      <w:r w:rsidRPr="009C742C">
        <w:rPr>
          <w:rFonts w:cs="Times New Roman"/>
          <w:i/>
          <w:iCs/>
          <w:noProof/>
          <w:sz w:val="20"/>
          <w:szCs w:val="24"/>
        </w:rPr>
        <w:t>et al.</w:t>
      </w:r>
      <w:r w:rsidRPr="009C742C">
        <w:rPr>
          <w:rFonts w:cs="Times New Roman"/>
          <w:noProof/>
          <w:sz w:val="20"/>
          <w:szCs w:val="24"/>
        </w:rPr>
        <w:t xml:space="preserve"> (2004) ‘Modified atherogenic lipoproteins induce expression of pentraxin-3 by human vascular smooth muscle cells’, </w:t>
      </w:r>
      <w:r w:rsidRPr="009C742C">
        <w:rPr>
          <w:rFonts w:cs="Times New Roman"/>
          <w:i/>
          <w:iCs/>
          <w:noProof/>
          <w:sz w:val="20"/>
          <w:szCs w:val="24"/>
        </w:rPr>
        <w:t>Atherosclerosis</w:t>
      </w:r>
      <w:r w:rsidRPr="009C742C">
        <w:rPr>
          <w:rFonts w:cs="Times New Roman"/>
          <w:noProof/>
          <w:sz w:val="20"/>
          <w:szCs w:val="24"/>
        </w:rPr>
        <w:t>, 175(2), pp. 221–228. doi: 10.1016/j.atherosclerosis.2004.03.020.</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Kondo, S. </w:t>
      </w:r>
      <w:r w:rsidRPr="009C742C">
        <w:rPr>
          <w:rFonts w:cs="Times New Roman"/>
          <w:i/>
          <w:iCs/>
          <w:noProof/>
          <w:sz w:val="20"/>
          <w:szCs w:val="24"/>
        </w:rPr>
        <w:t>et al.</w:t>
      </w:r>
      <w:r w:rsidRPr="009C742C">
        <w:rPr>
          <w:rFonts w:cs="Times New Roman"/>
          <w:noProof/>
          <w:sz w:val="20"/>
          <w:szCs w:val="24"/>
        </w:rPr>
        <w:t xml:space="preserve"> (2013) ‘Clinical impact of pentraxin family expression on prognosis of pancreatic carcinoma’, </w:t>
      </w:r>
      <w:r w:rsidRPr="009C742C">
        <w:rPr>
          <w:rFonts w:cs="Times New Roman"/>
          <w:i/>
          <w:iCs/>
          <w:noProof/>
          <w:sz w:val="20"/>
          <w:szCs w:val="24"/>
        </w:rPr>
        <w:t>British Journal of Cancer</w:t>
      </w:r>
      <w:r w:rsidRPr="009C742C">
        <w:rPr>
          <w:rFonts w:cs="Times New Roman"/>
          <w:noProof/>
          <w:sz w:val="20"/>
          <w:szCs w:val="24"/>
        </w:rPr>
        <w:t>. Nature Publishing Group, 109(3), pp. 739–746. doi: 10.1038/bjc.2013.348.</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Ladeiras-Lopes, R. </w:t>
      </w:r>
      <w:r w:rsidRPr="009C742C">
        <w:rPr>
          <w:rFonts w:cs="Times New Roman"/>
          <w:i/>
          <w:iCs/>
          <w:noProof/>
          <w:sz w:val="20"/>
          <w:szCs w:val="24"/>
        </w:rPr>
        <w:t>et al.</w:t>
      </w:r>
      <w:r w:rsidRPr="009C742C">
        <w:rPr>
          <w:rFonts w:cs="Times New Roman"/>
          <w:noProof/>
          <w:sz w:val="20"/>
          <w:szCs w:val="24"/>
        </w:rPr>
        <w:t xml:space="preserve"> (2008) ‘Smoking and gastric cancer: Systematic review and meta-analysis of cohort studies’, </w:t>
      </w:r>
      <w:r w:rsidRPr="009C742C">
        <w:rPr>
          <w:rFonts w:cs="Times New Roman"/>
          <w:i/>
          <w:iCs/>
          <w:noProof/>
          <w:sz w:val="20"/>
          <w:szCs w:val="24"/>
        </w:rPr>
        <w:t>Cancer Causes and Control</w:t>
      </w:r>
      <w:r w:rsidRPr="009C742C">
        <w:rPr>
          <w:rFonts w:cs="Times New Roman"/>
          <w:noProof/>
          <w:sz w:val="20"/>
          <w:szCs w:val="24"/>
        </w:rPr>
        <w:t>, 19(7), pp. 689–701. doi: 10.1007/s10552-008-9132-y.</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LAURÉN, P. (2017) ‘the Two Histological Main Types of Gastric Carcinoma: Diffuse and So-Called Intestinal-Type Carcinoma’, </w:t>
      </w:r>
      <w:r w:rsidRPr="009C742C">
        <w:rPr>
          <w:rFonts w:cs="Times New Roman"/>
          <w:i/>
          <w:iCs/>
          <w:noProof/>
          <w:sz w:val="20"/>
          <w:szCs w:val="24"/>
        </w:rPr>
        <w:t>Acta Pathologica Microbiologica Scandinavica</w:t>
      </w:r>
      <w:r w:rsidRPr="009C742C">
        <w:rPr>
          <w:rFonts w:cs="Times New Roman"/>
          <w:noProof/>
          <w:sz w:val="20"/>
          <w:szCs w:val="24"/>
        </w:rPr>
        <w:t>, 64(1), pp. 31–49. doi: 10.1111/apm.1965.64.1.31.</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Leali, D. </w:t>
      </w:r>
      <w:r w:rsidRPr="009C742C">
        <w:rPr>
          <w:rFonts w:cs="Times New Roman"/>
          <w:i/>
          <w:iCs/>
          <w:noProof/>
          <w:sz w:val="20"/>
          <w:szCs w:val="24"/>
        </w:rPr>
        <w:t>et al.</w:t>
      </w:r>
      <w:r w:rsidRPr="009C742C">
        <w:rPr>
          <w:rFonts w:cs="Times New Roman"/>
          <w:noProof/>
          <w:sz w:val="20"/>
          <w:szCs w:val="24"/>
        </w:rPr>
        <w:t xml:space="preserve"> (2012) ‘Long Pentraxin 3/Tumor Necrosis Factor-Stimulated Gene-6 Interaction’, </w:t>
      </w:r>
      <w:r w:rsidRPr="009C742C">
        <w:rPr>
          <w:rFonts w:cs="Times New Roman"/>
          <w:i/>
          <w:iCs/>
          <w:noProof/>
          <w:sz w:val="20"/>
          <w:szCs w:val="24"/>
        </w:rPr>
        <w:t>Arteriosclerosis, Thrombosis, and Vascular Biology</w:t>
      </w:r>
      <w:r w:rsidRPr="009C742C">
        <w:rPr>
          <w:rFonts w:cs="Times New Roman"/>
          <w:noProof/>
          <w:sz w:val="20"/>
          <w:szCs w:val="24"/>
        </w:rPr>
        <w:t>, 32(3), pp. 696–703. doi: 10.1161/atvbaha.111.243998.</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Lee, G. W. </w:t>
      </w:r>
      <w:r w:rsidRPr="009C742C">
        <w:rPr>
          <w:rFonts w:cs="Times New Roman"/>
          <w:i/>
          <w:iCs/>
          <w:noProof/>
          <w:sz w:val="20"/>
          <w:szCs w:val="24"/>
        </w:rPr>
        <w:t>et al.</w:t>
      </w:r>
      <w:r w:rsidRPr="009C742C">
        <w:rPr>
          <w:rFonts w:cs="Times New Roman"/>
          <w:noProof/>
          <w:sz w:val="20"/>
          <w:szCs w:val="24"/>
        </w:rPr>
        <w:t xml:space="preserve"> (2016) ‘pentraxin family of major acute phase Relationship of TSG-14 protein to the Relationship of TSG-14 Protein to the Pentraxin Family of Major Acute Phase Proteins’’, </w:t>
      </w:r>
      <w:r w:rsidRPr="009C742C">
        <w:rPr>
          <w:rFonts w:cs="Times New Roman"/>
          <w:i/>
          <w:iCs/>
          <w:noProof/>
          <w:sz w:val="20"/>
          <w:szCs w:val="24"/>
        </w:rPr>
        <w:t>J Immunol The Journal of Immunology at Nagoya City University on June The Journal of Immunology</w:t>
      </w:r>
      <w:r w:rsidRPr="009C742C">
        <w:rPr>
          <w:rFonts w:cs="Times New Roman"/>
          <w:noProof/>
          <w:sz w:val="20"/>
          <w:szCs w:val="24"/>
        </w:rPr>
        <w:t>, 153(153), pp. 3700–3707.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Locatelli, M. </w:t>
      </w:r>
      <w:r w:rsidRPr="009C742C">
        <w:rPr>
          <w:rFonts w:cs="Times New Roman"/>
          <w:i/>
          <w:iCs/>
          <w:noProof/>
          <w:sz w:val="20"/>
          <w:szCs w:val="24"/>
        </w:rPr>
        <w:t>et al.</w:t>
      </w:r>
      <w:r w:rsidRPr="009C742C">
        <w:rPr>
          <w:rFonts w:cs="Times New Roman"/>
          <w:noProof/>
          <w:sz w:val="20"/>
          <w:szCs w:val="24"/>
        </w:rPr>
        <w:t xml:space="preserve"> (2013) ‘The long pentraxin PTX3 as a correlate of cancer-related inflammation and prognosis of malignancy in gliomas’, </w:t>
      </w:r>
      <w:r w:rsidRPr="009C742C">
        <w:rPr>
          <w:rFonts w:cs="Times New Roman"/>
          <w:i/>
          <w:iCs/>
          <w:noProof/>
          <w:sz w:val="20"/>
          <w:szCs w:val="24"/>
        </w:rPr>
        <w:t>Journal of Neuroimmunology</w:t>
      </w:r>
      <w:r w:rsidRPr="009C742C">
        <w:rPr>
          <w:rFonts w:cs="Times New Roman"/>
          <w:noProof/>
          <w:sz w:val="20"/>
          <w:szCs w:val="24"/>
        </w:rPr>
        <w:t>. Elsevier B.V., 260(1–2), pp. 99–106. doi: 10.1016/j.jneuroim.2013.04.009.</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Lopéz, M. L. </w:t>
      </w:r>
      <w:r w:rsidRPr="009C742C">
        <w:rPr>
          <w:rFonts w:cs="Times New Roman"/>
          <w:i/>
          <w:iCs/>
          <w:noProof/>
          <w:sz w:val="20"/>
          <w:szCs w:val="24"/>
        </w:rPr>
        <w:t>et al.</w:t>
      </w:r>
      <w:r w:rsidRPr="009C742C">
        <w:rPr>
          <w:rFonts w:cs="Times New Roman"/>
          <w:noProof/>
          <w:sz w:val="20"/>
          <w:szCs w:val="24"/>
        </w:rPr>
        <w:t xml:space="preserve"> (2014) ‘Thrombin selectively induces transcription of genes in human monocytes involved in inflammation and wound healing’, </w:t>
      </w:r>
      <w:r w:rsidRPr="009C742C">
        <w:rPr>
          <w:rFonts w:cs="Times New Roman"/>
          <w:i/>
          <w:iCs/>
          <w:noProof/>
          <w:sz w:val="20"/>
          <w:szCs w:val="24"/>
        </w:rPr>
        <w:t>Thrombosis and Haemostasis</w:t>
      </w:r>
      <w:r w:rsidRPr="009C742C">
        <w:rPr>
          <w:rFonts w:cs="Times New Roman"/>
          <w:noProof/>
          <w:sz w:val="20"/>
          <w:szCs w:val="24"/>
        </w:rPr>
        <w:t>, 112(5), pp. 992–1001. doi: 10.1160/TH14-01-0034.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Lra, M. Der </w:t>
      </w:r>
      <w:r w:rsidRPr="009C742C">
        <w:rPr>
          <w:rFonts w:cs="Times New Roman"/>
          <w:i/>
          <w:iCs/>
          <w:noProof/>
          <w:sz w:val="20"/>
          <w:szCs w:val="24"/>
        </w:rPr>
        <w:t>et al.</w:t>
      </w:r>
      <w:r w:rsidRPr="009C742C">
        <w:rPr>
          <w:rFonts w:cs="Times New Roman"/>
          <w:noProof/>
          <w:sz w:val="20"/>
          <w:szCs w:val="24"/>
        </w:rPr>
        <w:t xml:space="preserve"> (1986) ‘Immunhistochemischer Nachweis von Östrogenrezeptoren ( ER-ICA ) im </w:t>
      </w:r>
      <w:r w:rsidRPr="009C742C">
        <w:rPr>
          <w:rFonts w:cs="Times New Roman"/>
          <w:noProof/>
          <w:sz w:val="20"/>
          <w:szCs w:val="24"/>
        </w:rPr>
        <w:lastRenderedPageBreak/>
        <w:t>Mammakarzinomgewebe : Vorschlag zur einheitlichen Formulierung’, (November).</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Lu, J. </w:t>
      </w:r>
      <w:r w:rsidRPr="009C742C">
        <w:rPr>
          <w:rFonts w:cs="Times New Roman"/>
          <w:i/>
          <w:iCs/>
          <w:noProof/>
          <w:sz w:val="20"/>
          <w:szCs w:val="24"/>
        </w:rPr>
        <w:t>et al.</w:t>
      </w:r>
      <w:r w:rsidRPr="009C742C">
        <w:rPr>
          <w:rFonts w:cs="Times New Roman"/>
          <w:noProof/>
          <w:sz w:val="20"/>
          <w:szCs w:val="24"/>
        </w:rPr>
        <w:t xml:space="preserve"> (2008) ‘Structural recognition and functional activation of FcγR by innate pentraxins’, </w:t>
      </w:r>
      <w:r w:rsidRPr="009C742C">
        <w:rPr>
          <w:rFonts w:cs="Times New Roman"/>
          <w:i/>
          <w:iCs/>
          <w:noProof/>
          <w:sz w:val="20"/>
          <w:szCs w:val="24"/>
        </w:rPr>
        <w:t>Nature</w:t>
      </w:r>
      <w:r w:rsidRPr="009C742C">
        <w:rPr>
          <w:rFonts w:cs="Times New Roman"/>
          <w:noProof/>
          <w:sz w:val="20"/>
          <w:szCs w:val="24"/>
        </w:rPr>
        <w:t>. Nature Publishing Group, 456(7224), pp. 989–992. doi: 10.1038/nature07468.</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Mantovani, A. </w:t>
      </w:r>
      <w:r w:rsidRPr="009C742C">
        <w:rPr>
          <w:rFonts w:cs="Times New Roman"/>
          <w:i/>
          <w:iCs/>
          <w:noProof/>
          <w:sz w:val="20"/>
          <w:szCs w:val="24"/>
        </w:rPr>
        <w:t>et al.</w:t>
      </w:r>
      <w:r w:rsidRPr="009C742C">
        <w:rPr>
          <w:rFonts w:cs="Times New Roman"/>
          <w:noProof/>
          <w:sz w:val="20"/>
          <w:szCs w:val="24"/>
        </w:rPr>
        <w:t xml:space="preserve"> (2008) ‘Pentraxins in innate immunity: From C-reactive protein to the long pentraxin PTX3’, </w:t>
      </w:r>
      <w:r w:rsidRPr="009C742C">
        <w:rPr>
          <w:rFonts w:cs="Times New Roman"/>
          <w:i/>
          <w:iCs/>
          <w:noProof/>
          <w:sz w:val="20"/>
          <w:szCs w:val="24"/>
        </w:rPr>
        <w:t>Journal of Clinical Immunology</w:t>
      </w:r>
      <w:r w:rsidRPr="009C742C">
        <w:rPr>
          <w:rFonts w:cs="Times New Roman"/>
          <w:noProof/>
          <w:sz w:val="20"/>
          <w:szCs w:val="24"/>
        </w:rPr>
        <w:t>, 28(1), pp. 1–13. doi: 10.1007/s10875-007-9126-7.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Ming, S. </w:t>
      </w:r>
      <w:r w:rsidRPr="009C742C">
        <w:rPr>
          <w:rFonts w:ascii="Cambria Math" w:hAnsi="Cambria Math" w:cs="Cambria Math"/>
          <w:noProof/>
          <w:sz w:val="20"/>
          <w:szCs w:val="24"/>
        </w:rPr>
        <w:t>‐</w:t>
      </w:r>
      <w:r w:rsidRPr="009C742C">
        <w:rPr>
          <w:rFonts w:cs="Times New Roman"/>
          <w:noProof/>
          <w:sz w:val="20"/>
          <w:szCs w:val="24"/>
        </w:rPr>
        <w:t xml:space="preserve">C (1977) ‘Gastric carcinoma: A pathobiological classification’, </w:t>
      </w:r>
      <w:r w:rsidRPr="009C742C">
        <w:rPr>
          <w:rFonts w:cs="Times New Roman"/>
          <w:i/>
          <w:iCs/>
          <w:noProof/>
          <w:sz w:val="20"/>
          <w:szCs w:val="24"/>
        </w:rPr>
        <w:t>Cancer</w:t>
      </w:r>
      <w:r w:rsidRPr="009C742C">
        <w:rPr>
          <w:rFonts w:cs="Times New Roman"/>
          <w:noProof/>
          <w:sz w:val="20"/>
          <w:szCs w:val="24"/>
        </w:rPr>
        <w:t>, 39(6), pp. 2475–2485. doi: 10.1002/1097-0142(197706)39:6&lt;2475::AID-CNCR2820390626&gt;3.0.CO;2-L.</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Nauta, A. J. </w:t>
      </w:r>
      <w:r w:rsidRPr="009C742C">
        <w:rPr>
          <w:rFonts w:cs="Times New Roman"/>
          <w:i/>
          <w:iCs/>
          <w:noProof/>
          <w:sz w:val="20"/>
          <w:szCs w:val="24"/>
        </w:rPr>
        <w:t>et al.</w:t>
      </w:r>
      <w:r w:rsidRPr="009C742C">
        <w:rPr>
          <w:rFonts w:cs="Times New Roman"/>
          <w:noProof/>
          <w:sz w:val="20"/>
          <w:szCs w:val="24"/>
        </w:rPr>
        <w:t xml:space="preserve"> (2005) ‘Human renal epithelial cells produce the long pentraxin PTX3’, </w:t>
      </w:r>
      <w:r w:rsidRPr="009C742C">
        <w:rPr>
          <w:rFonts w:cs="Times New Roman"/>
          <w:i/>
          <w:iCs/>
          <w:noProof/>
          <w:sz w:val="20"/>
          <w:szCs w:val="24"/>
        </w:rPr>
        <w:t>Kidney International</w:t>
      </w:r>
      <w:r w:rsidRPr="009C742C">
        <w:rPr>
          <w:rFonts w:cs="Times New Roman"/>
          <w:noProof/>
          <w:sz w:val="20"/>
          <w:szCs w:val="24"/>
        </w:rPr>
        <w:t>, 67(2), pp. 543–553. doi: 10.1111/j.1523-1755.2005.67111.x.</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Ortega-Hernandez, O. D. </w:t>
      </w:r>
      <w:r w:rsidRPr="009C742C">
        <w:rPr>
          <w:rFonts w:cs="Times New Roman"/>
          <w:i/>
          <w:iCs/>
          <w:noProof/>
          <w:sz w:val="20"/>
          <w:szCs w:val="24"/>
        </w:rPr>
        <w:t>et al.</w:t>
      </w:r>
      <w:r w:rsidRPr="009C742C">
        <w:rPr>
          <w:rFonts w:cs="Times New Roman"/>
          <w:noProof/>
          <w:sz w:val="20"/>
          <w:szCs w:val="24"/>
        </w:rPr>
        <w:t xml:space="preserve"> (2009) ‘The Long Pentraxin 3 and Its Role in Autoimmunity’, </w:t>
      </w:r>
      <w:r w:rsidRPr="009C742C">
        <w:rPr>
          <w:rFonts w:cs="Times New Roman"/>
          <w:i/>
          <w:iCs/>
          <w:noProof/>
          <w:sz w:val="20"/>
          <w:szCs w:val="24"/>
        </w:rPr>
        <w:t>Seminars in Arthritis and Rheumatism</w:t>
      </w:r>
      <w:r w:rsidRPr="009C742C">
        <w:rPr>
          <w:rFonts w:cs="Times New Roman"/>
          <w:noProof/>
          <w:sz w:val="20"/>
          <w:szCs w:val="24"/>
        </w:rPr>
        <w:t>. Elsevier Inc., 39(1), pp. 38–54. doi: 10.1016/j.semarthrit.2008.03.006.</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Peng, X. </w:t>
      </w:r>
      <w:r w:rsidRPr="009C742C">
        <w:rPr>
          <w:rFonts w:cs="Times New Roman"/>
          <w:i/>
          <w:iCs/>
          <w:noProof/>
          <w:sz w:val="20"/>
          <w:szCs w:val="24"/>
        </w:rPr>
        <w:t>et al.</w:t>
      </w:r>
      <w:r w:rsidRPr="009C742C">
        <w:rPr>
          <w:rFonts w:cs="Times New Roman"/>
          <w:noProof/>
          <w:sz w:val="20"/>
          <w:szCs w:val="24"/>
        </w:rPr>
        <w:t xml:space="preserve"> (2016) ‘Accumulated promoter methylation as a potential biomarker for esophageal cancer’, </w:t>
      </w:r>
      <w:r w:rsidRPr="009C742C">
        <w:rPr>
          <w:rFonts w:cs="Times New Roman"/>
          <w:i/>
          <w:iCs/>
          <w:noProof/>
          <w:sz w:val="20"/>
          <w:szCs w:val="24"/>
        </w:rPr>
        <w:t>Oncotarget</w:t>
      </w:r>
      <w:r w:rsidRPr="009C742C">
        <w:rPr>
          <w:rFonts w:cs="Times New Roman"/>
          <w:noProof/>
          <w:sz w:val="20"/>
          <w:szCs w:val="24"/>
        </w:rPr>
        <w:t>, 8(1), pp. 679–691. doi: 10.18632/oncotarget.13510.</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Polentarutti, N. </w:t>
      </w:r>
      <w:r w:rsidRPr="009C742C">
        <w:rPr>
          <w:rFonts w:cs="Times New Roman"/>
          <w:i/>
          <w:iCs/>
          <w:noProof/>
          <w:sz w:val="20"/>
          <w:szCs w:val="24"/>
        </w:rPr>
        <w:t>et al.</w:t>
      </w:r>
      <w:r w:rsidRPr="009C742C">
        <w:rPr>
          <w:rFonts w:cs="Times New Roman"/>
          <w:noProof/>
          <w:sz w:val="20"/>
          <w:szCs w:val="24"/>
        </w:rPr>
        <w:t xml:space="preserve"> (1998) ‘Interferon-γ inhibits expression of the long pentraxin PTX3 in human monocytes’, </w:t>
      </w:r>
      <w:r w:rsidRPr="009C742C">
        <w:rPr>
          <w:rFonts w:cs="Times New Roman"/>
          <w:i/>
          <w:iCs/>
          <w:noProof/>
          <w:sz w:val="20"/>
          <w:szCs w:val="24"/>
        </w:rPr>
        <w:t>European Journal of Immunology</w:t>
      </w:r>
      <w:r w:rsidRPr="009C742C">
        <w:rPr>
          <w:rFonts w:cs="Times New Roman"/>
          <w:noProof/>
          <w:sz w:val="20"/>
          <w:szCs w:val="24"/>
        </w:rPr>
        <w:t>, 28(2), pp. 496–501. doi: 10.1002/(SICI)1521-4141(199802)28:02&lt;496::AID-IMMU496&gt;3.0.CO;2-V.</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Qian, B.-Z. and Pollard, J. W. (2010) ‘Macrophage diversity enhances tumor progression and metastasis.’, </w:t>
      </w:r>
      <w:r w:rsidRPr="009C742C">
        <w:rPr>
          <w:rFonts w:cs="Times New Roman"/>
          <w:i/>
          <w:iCs/>
          <w:noProof/>
          <w:sz w:val="20"/>
          <w:szCs w:val="24"/>
        </w:rPr>
        <w:t>Cell</w:t>
      </w:r>
      <w:r w:rsidRPr="009C742C">
        <w:rPr>
          <w:rFonts w:cs="Times New Roman"/>
          <w:noProof/>
          <w:sz w:val="20"/>
          <w:szCs w:val="24"/>
        </w:rPr>
        <w:t>, 141(1), pp. 39–51. doi: 10.1016/j.cell.2010.03.014.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Ravenna, L. </w:t>
      </w:r>
      <w:r w:rsidRPr="009C742C">
        <w:rPr>
          <w:rFonts w:cs="Times New Roman"/>
          <w:i/>
          <w:iCs/>
          <w:noProof/>
          <w:sz w:val="20"/>
          <w:szCs w:val="24"/>
        </w:rPr>
        <w:t>et al.</w:t>
      </w:r>
      <w:r w:rsidRPr="009C742C">
        <w:rPr>
          <w:rFonts w:cs="Times New Roman"/>
          <w:noProof/>
          <w:sz w:val="20"/>
          <w:szCs w:val="24"/>
        </w:rPr>
        <w:t xml:space="preserve"> (2009) ‘Up-regulation of the inflammatory-reparative phenotype in human prostate carcinoma’, </w:t>
      </w:r>
      <w:r w:rsidRPr="009C742C">
        <w:rPr>
          <w:rFonts w:cs="Times New Roman"/>
          <w:i/>
          <w:iCs/>
          <w:noProof/>
          <w:sz w:val="20"/>
          <w:szCs w:val="24"/>
        </w:rPr>
        <w:t>Prostate</w:t>
      </w:r>
      <w:r w:rsidRPr="009C742C">
        <w:rPr>
          <w:rFonts w:cs="Times New Roman"/>
          <w:noProof/>
          <w:sz w:val="20"/>
          <w:szCs w:val="24"/>
        </w:rPr>
        <w:t>, 69(11), pp. 1245–1255. doi: 10.1002/pros.20966.</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Rawla, P. and Barsouk, A. (2019) ‘Epidemiology of gastric cancer: global trends, risk factors and prevention’, </w:t>
      </w:r>
      <w:r w:rsidRPr="009C742C">
        <w:rPr>
          <w:rFonts w:cs="Times New Roman"/>
          <w:i/>
          <w:iCs/>
          <w:noProof/>
          <w:sz w:val="20"/>
          <w:szCs w:val="24"/>
        </w:rPr>
        <w:t>Gastroenterology Review</w:t>
      </w:r>
      <w:r w:rsidRPr="009C742C">
        <w:rPr>
          <w:rFonts w:cs="Times New Roman"/>
          <w:noProof/>
          <w:sz w:val="20"/>
          <w:szCs w:val="24"/>
        </w:rPr>
        <w:t>, 14(1). doi: 10.5114/pg.2018.80001.</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Ronca, R. </w:t>
      </w:r>
      <w:r w:rsidRPr="009C742C">
        <w:rPr>
          <w:rFonts w:cs="Times New Roman"/>
          <w:i/>
          <w:iCs/>
          <w:noProof/>
          <w:sz w:val="20"/>
          <w:szCs w:val="24"/>
        </w:rPr>
        <w:t>et al.</w:t>
      </w:r>
      <w:r w:rsidRPr="009C742C">
        <w:rPr>
          <w:rFonts w:cs="Times New Roman"/>
          <w:noProof/>
          <w:sz w:val="20"/>
          <w:szCs w:val="24"/>
        </w:rPr>
        <w:t xml:space="preserve"> (2013) ‘Long pentraxin-3 as an epithelial-stromal fibroblast growth factor-targeting inhibitor in prostate cancer’, </w:t>
      </w:r>
      <w:r w:rsidRPr="009C742C">
        <w:rPr>
          <w:rFonts w:cs="Times New Roman"/>
          <w:i/>
          <w:iCs/>
          <w:noProof/>
          <w:sz w:val="20"/>
          <w:szCs w:val="24"/>
        </w:rPr>
        <w:t>Journal of Pathology</w:t>
      </w:r>
      <w:r w:rsidRPr="009C742C">
        <w:rPr>
          <w:rFonts w:cs="Times New Roman"/>
          <w:noProof/>
          <w:sz w:val="20"/>
          <w:szCs w:val="24"/>
        </w:rPr>
        <w:t>, 230(2), pp. 228–238. doi: 10.1002/path.4181.</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Ronca, R. </w:t>
      </w:r>
      <w:r w:rsidRPr="009C742C">
        <w:rPr>
          <w:rFonts w:cs="Times New Roman"/>
          <w:i/>
          <w:iCs/>
          <w:noProof/>
          <w:sz w:val="20"/>
          <w:szCs w:val="24"/>
        </w:rPr>
        <w:t>et al.</w:t>
      </w:r>
      <w:r w:rsidRPr="009C742C">
        <w:rPr>
          <w:rFonts w:cs="Times New Roman"/>
          <w:noProof/>
          <w:sz w:val="20"/>
          <w:szCs w:val="24"/>
        </w:rPr>
        <w:t xml:space="preserve"> (2013) ‘Long Pentraxin-3 Inhibits Epithelial-Mesenchymal Transition in Melanoma Cells’, </w:t>
      </w:r>
      <w:r w:rsidRPr="009C742C">
        <w:rPr>
          <w:rFonts w:cs="Times New Roman"/>
          <w:i/>
          <w:iCs/>
          <w:noProof/>
          <w:sz w:val="20"/>
          <w:szCs w:val="24"/>
        </w:rPr>
        <w:t>Molecular Cancer Therapeutics</w:t>
      </w:r>
      <w:r w:rsidRPr="009C742C">
        <w:rPr>
          <w:rFonts w:cs="Times New Roman"/>
          <w:noProof/>
          <w:sz w:val="20"/>
          <w:szCs w:val="24"/>
        </w:rPr>
        <w:t>, 12(12), pp. 2760–2771. doi: 10.1158/1535-7163.MCT-13-0487.</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Ronca, R. </w:t>
      </w:r>
      <w:r w:rsidRPr="009C742C">
        <w:rPr>
          <w:rFonts w:cs="Times New Roman"/>
          <w:i/>
          <w:iCs/>
          <w:noProof/>
          <w:sz w:val="20"/>
          <w:szCs w:val="24"/>
        </w:rPr>
        <w:t>et al.</w:t>
      </w:r>
      <w:r w:rsidRPr="009C742C">
        <w:rPr>
          <w:rFonts w:cs="Times New Roman"/>
          <w:noProof/>
          <w:sz w:val="20"/>
          <w:szCs w:val="24"/>
        </w:rPr>
        <w:t xml:space="preserve"> (2015) ‘Long-Pentraxin 3 Derivative as a Small-Molecule FGF Trap for Cancer Therapy’, </w:t>
      </w:r>
      <w:r w:rsidRPr="009C742C">
        <w:rPr>
          <w:rFonts w:cs="Times New Roman"/>
          <w:i/>
          <w:iCs/>
          <w:noProof/>
          <w:sz w:val="20"/>
          <w:szCs w:val="24"/>
        </w:rPr>
        <w:t>Cancer Cell</w:t>
      </w:r>
      <w:r w:rsidRPr="009C742C">
        <w:rPr>
          <w:rFonts w:cs="Times New Roman"/>
          <w:noProof/>
          <w:sz w:val="20"/>
          <w:szCs w:val="24"/>
        </w:rPr>
        <w:t>. Elsevier Inc., 28(2), pp. 225–239. doi: 10.1016/j.ccell.2015.07.002.</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Roumenina, L. T. </w:t>
      </w:r>
      <w:r w:rsidRPr="009C742C">
        <w:rPr>
          <w:rFonts w:cs="Times New Roman"/>
          <w:i/>
          <w:iCs/>
          <w:noProof/>
          <w:sz w:val="20"/>
          <w:szCs w:val="24"/>
        </w:rPr>
        <w:t>et al.</w:t>
      </w:r>
      <w:r w:rsidRPr="009C742C">
        <w:rPr>
          <w:rFonts w:cs="Times New Roman"/>
          <w:noProof/>
          <w:sz w:val="20"/>
          <w:szCs w:val="24"/>
        </w:rPr>
        <w:t xml:space="preserve"> (2006) ‘Interaction of C1q with IgG1, C-reactive protein and pentraxin 3: Mutational studies using recombinant globular head modules of human C1q A, B, and C chains’, </w:t>
      </w:r>
      <w:r w:rsidRPr="009C742C">
        <w:rPr>
          <w:rFonts w:cs="Times New Roman"/>
          <w:i/>
          <w:iCs/>
          <w:noProof/>
          <w:sz w:val="20"/>
          <w:szCs w:val="24"/>
        </w:rPr>
        <w:t>Biochemistry</w:t>
      </w:r>
      <w:r w:rsidRPr="009C742C">
        <w:rPr>
          <w:rFonts w:cs="Times New Roman"/>
          <w:noProof/>
          <w:sz w:val="20"/>
          <w:szCs w:val="24"/>
        </w:rPr>
        <w:t>, 45(13), pp. 4093–4104. doi: 10.1021/bi052646f.</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Rovere, P. </w:t>
      </w:r>
      <w:r w:rsidRPr="009C742C">
        <w:rPr>
          <w:rFonts w:cs="Times New Roman"/>
          <w:i/>
          <w:iCs/>
          <w:noProof/>
          <w:sz w:val="20"/>
          <w:szCs w:val="24"/>
        </w:rPr>
        <w:t>et al.</w:t>
      </w:r>
      <w:r w:rsidRPr="009C742C">
        <w:rPr>
          <w:rFonts w:cs="Times New Roman"/>
          <w:noProof/>
          <w:sz w:val="20"/>
          <w:szCs w:val="24"/>
        </w:rPr>
        <w:t xml:space="preserve"> (2000) ‘The long pentraxin PTX3 binds to apoptotic cells and regulates their clearance by antigen-presenting dendritic cells.’, </w:t>
      </w:r>
      <w:r w:rsidRPr="009C742C">
        <w:rPr>
          <w:rFonts w:cs="Times New Roman"/>
          <w:i/>
          <w:iCs/>
          <w:noProof/>
          <w:sz w:val="20"/>
          <w:szCs w:val="24"/>
        </w:rPr>
        <w:t>Blood</w:t>
      </w:r>
      <w:r w:rsidRPr="009C742C">
        <w:rPr>
          <w:rFonts w:cs="Times New Roman"/>
          <w:noProof/>
          <w:sz w:val="20"/>
          <w:szCs w:val="24"/>
        </w:rPr>
        <w:t>, 96(13), pp. 4300–6.</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Rubino, M. </w:t>
      </w:r>
      <w:r w:rsidRPr="009C742C">
        <w:rPr>
          <w:rFonts w:cs="Times New Roman"/>
          <w:i/>
          <w:iCs/>
          <w:noProof/>
          <w:sz w:val="20"/>
          <w:szCs w:val="24"/>
        </w:rPr>
        <w:t>et al.</w:t>
      </w:r>
      <w:r w:rsidRPr="009C742C">
        <w:rPr>
          <w:rFonts w:cs="Times New Roman"/>
          <w:noProof/>
          <w:sz w:val="20"/>
          <w:szCs w:val="24"/>
        </w:rPr>
        <w:t xml:space="preserve"> (2017) ‘Epigenetic regulation of the extrinsic oncosuppressor PTX3 gene in inflammation and cancer’, </w:t>
      </w:r>
      <w:r w:rsidRPr="009C742C">
        <w:rPr>
          <w:rFonts w:cs="Times New Roman"/>
          <w:i/>
          <w:iCs/>
          <w:noProof/>
          <w:sz w:val="20"/>
          <w:szCs w:val="24"/>
        </w:rPr>
        <w:t>OncoImmunology</w:t>
      </w:r>
      <w:r w:rsidRPr="009C742C">
        <w:rPr>
          <w:rFonts w:cs="Times New Roman"/>
          <w:noProof/>
          <w:sz w:val="20"/>
          <w:szCs w:val="24"/>
        </w:rPr>
        <w:t>, 6(7). doi: 10.1080/2162402X.2017.1333215.</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Rusnati, M. </w:t>
      </w:r>
      <w:r w:rsidRPr="009C742C">
        <w:rPr>
          <w:rFonts w:cs="Times New Roman"/>
          <w:i/>
          <w:iCs/>
          <w:noProof/>
          <w:sz w:val="20"/>
          <w:szCs w:val="24"/>
        </w:rPr>
        <w:t>et al.</w:t>
      </w:r>
      <w:r w:rsidRPr="009C742C">
        <w:rPr>
          <w:rFonts w:cs="Times New Roman"/>
          <w:noProof/>
          <w:sz w:val="20"/>
          <w:szCs w:val="24"/>
        </w:rPr>
        <w:t xml:space="preserve"> (2004) ‘Selective recognition of fibroblast growth factor-2 by the long pentraxin PTX3 inhibits angiogenesis’, </w:t>
      </w:r>
      <w:r w:rsidRPr="009C742C">
        <w:rPr>
          <w:rFonts w:cs="Times New Roman"/>
          <w:i/>
          <w:iCs/>
          <w:noProof/>
          <w:sz w:val="20"/>
          <w:szCs w:val="24"/>
        </w:rPr>
        <w:t>Blood</w:t>
      </w:r>
      <w:r w:rsidRPr="009C742C">
        <w:rPr>
          <w:rFonts w:cs="Times New Roman"/>
          <w:noProof/>
          <w:sz w:val="20"/>
          <w:szCs w:val="24"/>
        </w:rPr>
        <w:t>, 104(1), pp. 92–99. doi: 10.1182/blood-2003-10-3433.</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Salustri, A. (2004) ‘PTX3 plays a key role in the organization of the cumulus oophorus extracellular matrix and in in vivo fertilization’, </w:t>
      </w:r>
      <w:r w:rsidRPr="009C742C">
        <w:rPr>
          <w:rFonts w:cs="Times New Roman"/>
          <w:i/>
          <w:iCs/>
          <w:noProof/>
          <w:sz w:val="20"/>
          <w:szCs w:val="24"/>
        </w:rPr>
        <w:t>Development</w:t>
      </w:r>
      <w:r w:rsidRPr="009C742C">
        <w:rPr>
          <w:rFonts w:cs="Times New Roman"/>
          <w:noProof/>
          <w:sz w:val="20"/>
          <w:szCs w:val="24"/>
        </w:rPr>
        <w:t>, 131(7), pp. 1577–1586. doi: 10.1242/dev.01056.</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Scarchilli, L. </w:t>
      </w:r>
      <w:r w:rsidRPr="009C742C">
        <w:rPr>
          <w:rFonts w:cs="Times New Roman"/>
          <w:i/>
          <w:iCs/>
          <w:noProof/>
          <w:sz w:val="20"/>
          <w:szCs w:val="24"/>
        </w:rPr>
        <w:t>et al.</w:t>
      </w:r>
      <w:r w:rsidRPr="009C742C">
        <w:rPr>
          <w:rFonts w:cs="Times New Roman"/>
          <w:noProof/>
          <w:sz w:val="20"/>
          <w:szCs w:val="24"/>
        </w:rPr>
        <w:t xml:space="preserve"> (2007) ‘PTX3 Interacts with Inter-α-trypsin Inhibitor’, </w:t>
      </w:r>
      <w:r w:rsidRPr="009C742C">
        <w:rPr>
          <w:rFonts w:cs="Times New Roman"/>
          <w:i/>
          <w:iCs/>
          <w:noProof/>
          <w:sz w:val="20"/>
          <w:szCs w:val="24"/>
        </w:rPr>
        <w:t>Journal of Biological Chemistry</w:t>
      </w:r>
      <w:r w:rsidRPr="009C742C">
        <w:rPr>
          <w:rFonts w:cs="Times New Roman"/>
          <w:noProof/>
          <w:sz w:val="20"/>
          <w:szCs w:val="24"/>
        </w:rPr>
        <w:t>, 282(41), pp. 30161–30170. doi: 10.1074/jbc.m703738200.</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Stallone, G. </w:t>
      </w:r>
      <w:r w:rsidRPr="009C742C">
        <w:rPr>
          <w:rFonts w:cs="Times New Roman"/>
          <w:i/>
          <w:iCs/>
          <w:noProof/>
          <w:sz w:val="20"/>
          <w:szCs w:val="24"/>
        </w:rPr>
        <w:t>et al.</w:t>
      </w:r>
      <w:r w:rsidRPr="009C742C">
        <w:rPr>
          <w:rFonts w:cs="Times New Roman"/>
          <w:noProof/>
          <w:sz w:val="20"/>
          <w:szCs w:val="24"/>
        </w:rPr>
        <w:t xml:space="preserve"> (2014) ‘Pentraxin 3: A novel biomarker for predicting progression from prostatic inflammation to prostate cancer’, </w:t>
      </w:r>
      <w:r w:rsidRPr="009C742C">
        <w:rPr>
          <w:rFonts w:cs="Times New Roman"/>
          <w:i/>
          <w:iCs/>
          <w:noProof/>
          <w:sz w:val="20"/>
          <w:szCs w:val="24"/>
        </w:rPr>
        <w:t>Cancer Research</w:t>
      </w:r>
      <w:r w:rsidRPr="009C742C">
        <w:rPr>
          <w:rFonts w:cs="Times New Roman"/>
          <w:noProof/>
          <w:sz w:val="20"/>
          <w:szCs w:val="24"/>
        </w:rPr>
        <w:t>, 74(16), pp. 4230–4238. doi: 10.1158/0008-5472.CAN-14-0369.</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lastRenderedPageBreak/>
        <w:t xml:space="preserve">Thomas, C. </w:t>
      </w:r>
      <w:r w:rsidRPr="009C742C">
        <w:rPr>
          <w:rFonts w:cs="Times New Roman"/>
          <w:i/>
          <w:iCs/>
          <w:noProof/>
          <w:sz w:val="20"/>
          <w:szCs w:val="24"/>
        </w:rPr>
        <w:t>et al.</w:t>
      </w:r>
      <w:r w:rsidRPr="009C742C">
        <w:rPr>
          <w:rFonts w:cs="Times New Roman"/>
          <w:noProof/>
          <w:sz w:val="20"/>
          <w:szCs w:val="24"/>
        </w:rPr>
        <w:t xml:space="preserve"> (2017) ‘Pentraxin-3 is a PI3K signaling target that promotes stem cell-like traits in basal-like breast cancers’, </w:t>
      </w:r>
      <w:r w:rsidRPr="009C742C">
        <w:rPr>
          <w:rFonts w:cs="Times New Roman"/>
          <w:i/>
          <w:iCs/>
          <w:noProof/>
          <w:sz w:val="20"/>
          <w:szCs w:val="24"/>
        </w:rPr>
        <w:t>Science Signaling</w:t>
      </w:r>
      <w:r w:rsidRPr="009C742C">
        <w:rPr>
          <w:rFonts w:cs="Times New Roman"/>
          <w:noProof/>
          <w:sz w:val="20"/>
          <w:szCs w:val="24"/>
        </w:rPr>
        <w:t>, 10(467), pp. 1–10. doi: 10.1126/scisignal.aah4674.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Tramacere, I. </w:t>
      </w:r>
      <w:r w:rsidRPr="009C742C">
        <w:rPr>
          <w:rFonts w:cs="Times New Roman"/>
          <w:i/>
          <w:iCs/>
          <w:noProof/>
          <w:sz w:val="20"/>
          <w:szCs w:val="24"/>
        </w:rPr>
        <w:t>et al.</w:t>
      </w:r>
      <w:r w:rsidRPr="009C742C">
        <w:rPr>
          <w:rFonts w:cs="Times New Roman"/>
          <w:noProof/>
          <w:sz w:val="20"/>
          <w:szCs w:val="24"/>
        </w:rPr>
        <w:t xml:space="preserve"> (2012) ‘A meta-analysis on alcohol drinking and gastric cancer risk’, </w:t>
      </w:r>
      <w:r w:rsidRPr="009C742C">
        <w:rPr>
          <w:rFonts w:cs="Times New Roman"/>
          <w:i/>
          <w:iCs/>
          <w:noProof/>
          <w:sz w:val="20"/>
          <w:szCs w:val="24"/>
        </w:rPr>
        <w:t>Annals of Oncology</w:t>
      </w:r>
      <w:r w:rsidRPr="009C742C">
        <w:rPr>
          <w:rFonts w:cs="Times New Roman"/>
          <w:noProof/>
          <w:sz w:val="20"/>
          <w:szCs w:val="24"/>
        </w:rPr>
        <w:t>, 23(1), pp. 28–36. doi: 10.1093/annonc/mdr135.</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Tsugane, S. and Sasazuki, S. (2007) ‘Diet and the risk of gastric cancer: Review of epidemiological evidence’, </w:t>
      </w:r>
      <w:r w:rsidRPr="009C742C">
        <w:rPr>
          <w:rFonts w:cs="Times New Roman"/>
          <w:i/>
          <w:iCs/>
          <w:noProof/>
          <w:sz w:val="20"/>
          <w:szCs w:val="24"/>
        </w:rPr>
        <w:t>Gastric Cancer</w:t>
      </w:r>
      <w:r w:rsidRPr="009C742C">
        <w:rPr>
          <w:rFonts w:cs="Times New Roman"/>
          <w:noProof/>
          <w:sz w:val="20"/>
          <w:szCs w:val="24"/>
        </w:rPr>
        <w:t>, 10(2), pp. 75–83. doi: 10.1007/s10120-007-0420-0.</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Tung, J. N. </w:t>
      </w:r>
      <w:r w:rsidRPr="009C742C">
        <w:rPr>
          <w:rFonts w:cs="Times New Roman"/>
          <w:i/>
          <w:iCs/>
          <w:noProof/>
          <w:sz w:val="20"/>
          <w:szCs w:val="24"/>
        </w:rPr>
        <w:t>et al.</w:t>
      </w:r>
      <w:r w:rsidRPr="009C742C">
        <w:rPr>
          <w:rFonts w:cs="Times New Roman"/>
          <w:noProof/>
          <w:sz w:val="20"/>
          <w:szCs w:val="24"/>
        </w:rPr>
        <w:t xml:space="preserve"> (2016) ‘Inhibition of pentraxin 3 in glioma cells impairs proliferation and invasion in vitro and in vivo’, </w:t>
      </w:r>
      <w:r w:rsidRPr="009C742C">
        <w:rPr>
          <w:rFonts w:cs="Times New Roman"/>
          <w:i/>
          <w:iCs/>
          <w:noProof/>
          <w:sz w:val="20"/>
          <w:szCs w:val="24"/>
        </w:rPr>
        <w:t>Journal of Neuro-Oncology</w:t>
      </w:r>
      <w:r w:rsidRPr="009C742C">
        <w:rPr>
          <w:rFonts w:cs="Times New Roman"/>
          <w:noProof/>
          <w:sz w:val="20"/>
          <w:szCs w:val="24"/>
        </w:rPr>
        <w:t>. Springer US, 129(2), pp. 201–209. doi: 10.1007/s11060-016-2168-z.</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Victor, B. </w:t>
      </w:r>
      <w:r w:rsidRPr="009C742C">
        <w:rPr>
          <w:rFonts w:cs="Times New Roman"/>
          <w:i/>
          <w:iCs/>
          <w:noProof/>
          <w:sz w:val="20"/>
          <w:szCs w:val="24"/>
        </w:rPr>
        <w:t>et al.</w:t>
      </w:r>
      <w:r w:rsidRPr="009C742C">
        <w:rPr>
          <w:rFonts w:cs="Times New Roman"/>
          <w:noProof/>
          <w:sz w:val="20"/>
          <w:szCs w:val="24"/>
        </w:rPr>
        <w:t xml:space="preserve"> (2015) ‘Inducible Expression of PTX3, a New Member’, 84(10), pp. 3483–3493.</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Wang, J. X. </w:t>
      </w:r>
      <w:r w:rsidRPr="009C742C">
        <w:rPr>
          <w:rFonts w:cs="Times New Roman"/>
          <w:i/>
          <w:iCs/>
          <w:noProof/>
          <w:sz w:val="20"/>
          <w:szCs w:val="24"/>
        </w:rPr>
        <w:t>et al.</w:t>
      </w:r>
      <w:r w:rsidRPr="009C742C">
        <w:rPr>
          <w:rFonts w:cs="Times New Roman"/>
          <w:noProof/>
          <w:sz w:val="20"/>
          <w:szCs w:val="24"/>
        </w:rPr>
        <w:t xml:space="preserve"> (2011) ‘Aberrant methylation of the 3q25 tumor suppressor gene PTX3 in human esophageal squamous cell carcinoma’, </w:t>
      </w:r>
      <w:r w:rsidRPr="009C742C">
        <w:rPr>
          <w:rFonts w:cs="Times New Roman"/>
          <w:i/>
          <w:iCs/>
          <w:noProof/>
          <w:sz w:val="20"/>
          <w:szCs w:val="24"/>
        </w:rPr>
        <w:t>World Journal of Gastroenterology</w:t>
      </w:r>
      <w:r w:rsidRPr="009C742C">
        <w:rPr>
          <w:rFonts w:cs="Times New Roman"/>
          <w:noProof/>
          <w:sz w:val="20"/>
          <w:szCs w:val="24"/>
        </w:rPr>
        <w:t>, 17(37), pp. 4225–4230. doi: 10.3748/wjg.v17.i37.4225.</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Wang, Z. </w:t>
      </w:r>
      <w:r w:rsidRPr="009C742C">
        <w:rPr>
          <w:rFonts w:cs="Times New Roman"/>
          <w:i/>
          <w:iCs/>
          <w:noProof/>
          <w:sz w:val="20"/>
          <w:szCs w:val="24"/>
        </w:rPr>
        <w:t>et al.</w:t>
      </w:r>
      <w:r w:rsidRPr="009C742C">
        <w:rPr>
          <w:rFonts w:cs="Times New Roman"/>
          <w:noProof/>
          <w:sz w:val="20"/>
          <w:szCs w:val="24"/>
        </w:rPr>
        <w:t xml:space="preserve"> (2016) ‘Reproductive factors, hormone use and gastric cancer risk: The Singapore Chinese Health Study’, </w:t>
      </w:r>
      <w:r w:rsidRPr="009C742C">
        <w:rPr>
          <w:rFonts w:cs="Times New Roman"/>
          <w:i/>
          <w:iCs/>
          <w:noProof/>
          <w:sz w:val="20"/>
          <w:szCs w:val="24"/>
        </w:rPr>
        <w:t>International Journal of Cancer</w:t>
      </w:r>
      <w:r w:rsidRPr="009C742C">
        <w:rPr>
          <w:rFonts w:cs="Times New Roman"/>
          <w:noProof/>
          <w:sz w:val="20"/>
          <w:szCs w:val="24"/>
        </w:rPr>
        <w:t>, 138(12), pp. 2837–2845. doi: 10.1002/ijc.30024.</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Who, T. </w:t>
      </w:r>
      <w:r w:rsidRPr="009C742C">
        <w:rPr>
          <w:rFonts w:cs="Times New Roman"/>
          <w:i/>
          <w:iCs/>
          <w:noProof/>
          <w:sz w:val="20"/>
          <w:szCs w:val="24"/>
        </w:rPr>
        <w:t>et al.</w:t>
      </w:r>
      <w:r w:rsidRPr="009C742C">
        <w:rPr>
          <w:rFonts w:cs="Times New Roman"/>
          <w:noProof/>
          <w:sz w:val="20"/>
          <w:szCs w:val="24"/>
        </w:rPr>
        <w:t xml:space="preserve"> (no date) ‘Appendix 4: WHO Classification a of Gastric Tumours 4 th edition’, 23.</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Willeke, F. </w:t>
      </w:r>
      <w:r w:rsidRPr="009C742C">
        <w:rPr>
          <w:rFonts w:cs="Times New Roman"/>
          <w:i/>
          <w:iCs/>
          <w:noProof/>
          <w:sz w:val="20"/>
          <w:szCs w:val="24"/>
        </w:rPr>
        <w:t>et al.</w:t>
      </w:r>
      <w:r w:rsidRPr="009C742C">
        <w:rPr>
          <w:rFonts w:cs="Times New Roman"/>
          <w:noProof/>
          <w:sz w:val="20"/>
          <w:szCs w:val="24"/>
        </w:rPr>
        <w:t xml:space="preserve"> (2006) ‘Overexpression of a member of the pentraxin family (PTX3) in human soft tissue liposarcoma’, </w:t>
      </w:r>
      <w:r w:rsidRPr="009C742C">
        <w:rPr>
          <w:rFonts w:cs="Times New Roman"/>
          <w:i/>
          <w:iCs/>
          <w:noProof/>
          <w:sz w:val="20"/>
          <w:szCs w:val="24"/>
        </w:rPr>
        <w:t>European Journal of Cancer</w:t>
      </w:r>
      <w:r w:rsidRPr="009C742C">
        <w:rPr>
          <w:rFonts w:cs="Times New Roman"/>
          <w:noProof/>
          <w:sz w:val="20"/>
          <w:szCs w:val="24"/>
        </w:rPr>
        <w:t>, 42(15), pp. 2639–2646. doi: 10.1016/j.ejca.2006.05.035.</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World Cancer Research Fund/American Institute for Cancer Research (2018) </w:t>
      </w:r>
      <w:r w:rsidRPr="009C742C">
        <w:rPr>
          <w:rFonts w:cs="Times New Roman"/>
          <w:i/>
          <w:iCs/>
          <w:noProof/>
          <w:sz w:val="20"/>
          <w:szCs w:val="24"/>
        </w:rPr>
        <w:t>Diet, Nutrition, Physical Activity and Cancer: a Global Perspective</w:t>
      </w:r>
      <w:r w:rsidRPr="009C742C">
        <w:rPr>
          <w:rFonts w:cs="Times New Roman"/>
          <w:noProof/>
          <w:sz w:val="20"/>
          <w:szCs w:val="24"/>
        </w:rPr>
        <w:t xml:space="preserve">, </w:t>
      </w:r>
      <w:r w:rsidRPr="009C742C">
        <w:rPr>
          <w:rFonts w:cs="Times New Roman"/>
          <w:i/>
          <w:iCs/>
          <w:noProof/>
          <w:sz w:val="20"/>
          <w:szCs w:val="24"/>
        </w:rPr>
        <w:t>American Institute for Cancer Research</w:t>
      </w:r>
      <w:r w:rsidRPr="009C742C">
        <w:rPr>
          <w:rFonts w:cs="Times New Roman"/>
          <w:noProof/>
          <w:sz w:val="20"/>
          <w:szCs w:val="24"/>
        </w:rPr>
        <w:t>. doi: 10.1016/j.scienta.2014.02.005.</w:t>
      </w:r>
    </w:p>
    <w:p w:rsidR="009C742C" w:rsidRP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Yamasaki, K. </w:t>
      </w:r>
      <w:r w:rsidRPr="009C742C">
        <w:rPr>
          <w:rFonts w:cs="Times New Roman"/>
          <w:i/>
          <w:iCs/>
          <w:noProof/>
          <w:sz w:val="20"/>
          <w:szCs w:val="24"/>
        </w:rPr>
        <w:t>et al.</w:t>
      </w:r>
      <w:r w:rsidRPr="009C742C">
        <w:rPr>
          <w:rFonts w:cs="Times New Roman"/>
          <w:noProof/>
          <w:sz w:val="20"/>
          <w:szCs w:val="24"/>
        </w:rPr>
        <w:t xml:space="preserve"> (2009) ‘Determination of physiological plasma pentraxin 3 (PTX3) levels in healthy populations’, </w:t>
      </w:r>
      <w:r w:rsidRPr="009C742C">
        <w:rPr>
          <w:rFonts w:cs="Times New Roman"/>
          <w:i/>
          <w:iCs/>
          <w:noProof/>
          <w:sz w:val="20"/>
          <w:szCs w:val="24"/>
        </w:rPr>
        <w:t>Clinical Chemistry and Laboratory Medicine</w:t>
      </w:r>
      <w:r w:rsidRPr="009C742C">
        <w:rPr>
          <w:rFonts w:cs="Times New Roman"/>
          <w:noProof/>
          <w:sz w:val="20"/>
          <w:szCs w:val="24"/>
        </w:rPr>
        <w:t>, 47(4), pp. 471–477. doi: 10.1515/CCLM.2009.110.</w:t>
      </w:r>
    </w:p>
    <w:p w:rsidR="009C742C" w:rsidRDefault="009C742C" w:rsidP="009C742C">
      <w:pPr>
        <w:widowControl w:val="0"/>
        <w:autoSpaceDE w:val="0"/>
        <w:autoSpaceDN w:val="0"/>
        <w:adjustRightInd w:val="0"/>
        <w:spacing w:line="240" w:lineRule="auto"/>
        <w:rPr>
          <w:rFonts w:cs="Times New Roman"/>
          <w:noProof/>
          <w:sz w:val="20"/>
          <w:szCs w:val="24"/>
        </w:rPr>
      </w:pPr>
      <w:r w:rsidRPr="009C742C">
        <w:rPr>
          <w:rFonts w:cs="Times New Roman"/>
          <w:noProof/>
          <w:sz w:val="20"/>
          <w:szCs w:val="24"/>
        </w:rPr>
        <w:t xml:space="preserve">Ying, T. H. </w:t>
      </w:r>
      <w:r w:rsidRPr="009C742C">
        <w:rPr>
          <w:rFonts w:cs="Times New Roman"/>
          <w:i/>
          <w:iCs/>
          <w:noProof/>
          <w:sz w:val="20"/>
          <w:szCs w:val="24"/>
        </w:rPr>
        <w:t>et al.</w:t>
      </w:r>
      <w:r w:rsidRPr="009C742C">
        <w:rPr>
          <w:rFonts w:cs="Times New Roman"/>
          <w:noProof/>
          <w:sz w:val="20"/>
          <w:szCs w:val="24"/>
        </w:rPr>
        <w:t xml:space="preserve"> (2016) ‘Knockdown of Pentraxin 3 suppresses tumorigenicity and metastasis of human cervical cancer cells’, </w:t>
      </w:r>
      <w:r w:rsidRPr="009C742C">
        <w:rPr>
          <w:rFonts w:cs="Times New Roman"/>
          <w:i/>
          <w:iCs/>
          <w:noProof/>
          <w:sz w:val="20"/>
          <w:szCs w:val="24"/>
        </w:rPr>
        <w:t>Scientific Reports</w:t>
      </w:r>
      <w:r w:rsidRPr="009C742C">
        <w:rPr>
          <w:rFonts w:cs="Times New Roman"/>
          <w:noProof/>
          <w:sz w:val="20"/>
          <w:szCs w:val="24"/>
        </w:rPr>
        <w:t>. Nature Publishing Group, 6(July), pp. 1–12. doi: 10.1038/srep29385.</w:t>
      </w:r>
    </w:p>
    <w:p w:rsidR="003616DD" w:rsidRPr="009C742C" w:rsidRDefault="003616DD" w:rsidP="009C742C">
      <w:pPr>
        <w:widowControl w:val="0"/>
        <w:autoSpaceDE w:val="0"/>
        <w:autoSpaceDN w:val="0"/>
        <w:adjustRightInd w:val="0"/>
        <w:spacing w:line="240" w:lineRule="auto"/>
        <w:rPr>
          <w:rFonts w:cs="Times New Roman"/>
          <w:noProof/>
          <w:sz w:val="20"/>
        </w:rPr>
      </w:pPr>
    </w:p>
    <w:p w:rsidR="00FC5A3E" w:rsidRPr="00F41B60" w:rsidRDefault="00F41B60" w:rsidP="009C742C">
      <w:pPr>
        <w:widowControl w:val="0"/>
        <w:autoSpaceDE w:val="0"/>
        <w:autoSpaceDN w:val="0"/>
        <w:adjustRightInd w:val="0"/>
        <w:spacing w:line="240" w:lineRule="auto"/>
        <w:rPr>
          <w:rFonts w:eastAsiaTheme="majorEastAsia" w:cstheme="majorBidi"/>
          <w:b/>
          <w:bCs/>
          <w:sz w:val="20"/>
          <w:szCs w:val="20"/>
        </w:rPr>
      </w:pPr>
      <w:r w:rsidRPr="00F41B60">
        <w:rPr>
          <w:sz w:val="20"/>
          <w:szCs w:val="20"/>
        </w:rPr>
        <w:fldChar w:fldCharType="end"/>
      </w:r>
      <w:r w:rsidR="00FC5A3E" w:rsidRPr="00F41B60">
        <w:rPr>
          <w:sz w:val="20"/>
          <w:szCs w:val="20"/>
        </w:rPr>
        <w:br w:type="page"/>
      </w:r>
    </w:p>
    <w:p w:rsidR="00D37832" w:rsidRDefault="00727BAF" w:rsidP="0096585E">
      <w:pPr>
        <w:pStyle w:val="Heading1"/>
      </w:pPr>
      <w:bookmarkStart w:id="18" w:name="_Toc7695577"/>
      <w:r>
        <w:lastRenderedPageBreak/>
        <w:t>10. SAŽETAK</w:t>
      </w:r>
      <w:bookmarkEnd w:id="18"/>
    </w:p>
    <w:p w:rsidR="00BD25A9" w:rsidRDefault="00BD25A9" w:rsidP="00BD25A9"/>
    <w:p w:rsidR="00BD25A9" w:rsidRDefault="005F33B7" w:rsidP="00182654">
      <w:pPr>
        <w:spacing w:line="360" w:lineRule="auto"/>
        <w:rPr>
          <w:rFonts w:cs="Times New Roman"/>
          <w:b/>
          <w:sz w:val="22"/>
        </w:rPr>
      </w:pPr>
      <w:r>
        <w:rPr>
          <w:rFonts w:cs="Times New Roman"/>
          <w:b/>
          <w:sz w:val="22"/>
        </w:rPr>
        <w:t>IZRAŽENOST PROTEINA PENTRAXIN 3 U DIFUZNIM KARCINOMIMA</w:t>
      </w:r>
      <w:r w:rsidR="00BD25A9" w:rsidRPr="00BD25A9">
        <w:rPr>
          <w:rFonts w:cs="Times New Roman"/>
          <w:b/>
          <w:sz w:val="22"/>
        </w:rPr>
        <w:t xml:space="preserve"> ŽELUCA</w:t>
      </w:r>
    </w:p>
    <w:p w:rsidR="00BD25A9" w:rsidRPr="006479C6" w:rsidRDefault="00BD25A9" w:rsidP="00182654">
      <w:pPr>
        <w:spacing w:line="360" w:lineRule="auto"/>
        <w:rPr>
          <w:rFonts w:cs="Times New Roman"/>
          <w:b/>
          <w:sz w:val="22"/>
        </w:rPr>
      </w:pPr>
      <w:r w:rsidRPr="006479C6">
        <w:rPr>
          <w:rFonts w:cs="Times New Roman"/>
          <w:b/>
          <w:sz w:val="22"/>
        </w:rPr>
        <w:t>Mira Knežić</w:t>
      </w:r>
    </w:p>
    <w:p w:rsidR="00BE76AC" w:rsidRDefault="00BD25A9" w:rsidP="000D0779">
      <w:pPr>
        <w:spacing w:line="360" w:lineRule="auto"/>
        <w:jc w:val="both"/>
        <w:rPr>
          <w:rFonts w:cs="Times New Roman"/>
          <w:sz w:val="22"/>
        </w:rPr>
      </w:pPr>
      <w:r>
        <w:rPr>
          <w:rFonts w:cs="Times New Roman"/>
          <w:sz w:val="22"/>
        </w:rPr>
        <w:t xml:space="preserve">Karcinom </w:t>
      </w:r>
      <w:r w:rsidR="0032090A">
        <w:rPr>
          <w:rFonts w:cs="Times New Roman"/>
          <w:sz w:val="22"/>
        </w:rPr>
        <w:t xml:space="preserve">želuca spada u </w:t>
      </w:r>
      <w:r w:rsidR="00BF6175">
        <w:rPr>
          <w:rFonts w:cs="Times New Roman"/>
          <w:sz w:val="22"/>
        </w:rPr>
        <w:t>deset najčešćih</w:t>
      </w:r>
      <w:r w:rsidR="0032090A">
        <w:rPr>
          <w:rFonts w:cs="Times New Roman"/>
          <w:sz w:val="22"/>
        </w:rPr>
        <w:t xml:space="preserve"> </w:t>
      </w:r>
      <w:r w:rsidR="00BF6175">
        <w:rPr>
          <w:rFonts w:cs="Times New Roman"/>
          <w:sz w:val="22"/>
        </w:rPr>
        <w:t>uzroka</w:t>
      </w:r>
      <w:r w:rsidR="0032090A">
        <w:rPr>
          <w:rFonts w:cs="Times New Roman"/>
          <w:sz w:val="22"/>
        </w:rPr>
        <w:t xml:space="preserve"> pobola i smrtnosti od zloćudnih novotvorina, a difuzni tip karcinoma po </w:t>
      </w:r>
      <w:r w:rsidR="005B3244" w:rsidRPr="005B3244">
        <w:rPr>
          <w:rFonts w:cs="Times New Roman"/>
          <w:sz w:val="22"/>
        </w:rPr>
        <w:t>Laurén</w:t>
      </w:r>
      <w:r w:rsidR="006B2562">
        <w:rPr>
          <w:rFonts w:cs="Times New Roman"/>
          <w:sz w:val="22"/>
        </w:rPr>
        <w:t>ovoj klasifikaciji</w:t>
      </w:r>
      <w:r w:rsidR="0032090A">
        <w:rPr>
          <w:rFonts w:cs="Times New Roman"/>
          <w:sz w:val="22"/>
        </w:rPr>
        <w:t xml:space="preserve"> </w:t>
      </w:r>
      <w:r w:rsidR="006B2562">
        <w:rPr>
          <w:rFonts w:cs="Times New Roman"/>
          <w:sz w:val="22"/>
        </w:rPr>
        <w:t>češće se javlja u mlađoj životnoj dobi, kasnije s</w:t>
      </w:r>
      <w:r w:rsidR="005B3244">
        <w:rPr>
          <w:rFonts w:cs="Times New Roman"/>
          <w:sz w:val="22"/>
        </w:rPr>
        <w:t>e dijagnosticira i ima</w:t>
      </w:r>
      <w:r w:rsidR="006B2562">
        <w:rPr>
          <w:rFonts w:cs="Times New Roman"/>
          <w:sz w:val="22"/>
        </w:rPr>
        <w:t xml:space="preserve"> lošiju prognozu. </w:t>
      </w:r>
      <w:r w:rsidR="0032090A">
        <w:rPr>
          <w:rFonts w:cs="Times New Roman"/>
          <w:sz w:val="22"/>
        </w:rPr>
        <w:t>Uloga</w:t>
      </w:r>
      <w:r w:rsidR="0049487E">
        <w:rPr>
          <w:rFonts w:cs="Times New Roman"/>
          <w:sz w:val="22"/>
        </w:rPr>
        <w:t xml:space="preserve"> proteina</w:t>
      </w:r>
      <w:r w:rsidR="004A2740">
        <w:rPr>
          <w:rFonts w:cs="Times New Roman"/>
          <w:sz w:val="22"/>
        </w:rPr>
        <w:t xml:space="preserve"> </w:t>
      </w:r>
      <w:proofErr w:type="spellStart"/>
      <w:r w:rsidR="004A2740">
        <w:rPr>
          <w:rFonts w:cs="Times New Roman"/>
          <w:sz w:val="22"/>
        </w:rPr>
        <w:t>pentrax</w:t>
      </w:r>
      <w:r w:rsidR="0049487E">
        <w:rPr>
          <w:rFonts w:cs="Times New Roman"/>
          <w:sz w:val="22"/>
        </w:rPr>
        <w:t>in</w:t>
      </w:r>
      <w:proofErr w:type="spellEnd"/>
      <w:r w:rsidR="0032090A">
        <w:rPr>
          <w:rFonts w:cs="Times New Roman"/>
          <w:sz w:val="22"/>
        </w:rPr>
        <w:t xml:space="preserve"> 3</w:t>
      </w:r>
      <w:r w:rsidR="00AB5706">
        <w:rPr>
          <w:rFonts w:cs="Times New Roman"/>
          <w:sz w:val="22"/>
        </w:rPr>
        <w:t xml:space="preserve"> (PTX3)</w:t>
      </w:r>
      <w:r w:rsidR="0032090A">
        <w:rPr>
          <w:rFonts w:cs="Times New Roman"/>
          <w:sz w:val="22"/>
        </w:rPr>
        <w:t xml:space="preserve">, </w:t>
      </w:r>
      <w:r w:rsidR="005B3244">
        <w:rPr>
          <w:rFonts w:cs="Times New Roman"/>
          <w:sz w:val="22"/>
        </w:rPr>
        <w:t>koji se ubraja</w:t>
      </w:r>
      <w:r w:rsidR="000D0779">
        <w:rPr>
          <w:rFonts w:cs="Times New Roman"/>
          <w:sz w:val="22"/>
        </w:rPr>
        <w:t xml:space="preserve"> u proteine</w:t>
      </w:r>
      <w:r w:rsidR="006B2562">
        <w:rPr>
          <w:rFonts w:cs="Times New Roman"/>
          <w:sz w:val="22"/>
        </w:rPr>
        <w:t xml:space="preserve"> akutne faze upalnog odgovora</w:t>
      </w:r>
      <w:r w:rsidR="0032090A">
        <w:rPr>
          <w:rFonts w:cs="Times New Roman"/>
          <w:sz w:val="22"/>
        </w:rPr>
        <w:t>, u procesu tumorigeneze nije sasvim jasna, a prema dosad</w:t>
      </w:r>
      <w:r w:rsidR="006B2562">
        <w:rPr>
          <w:rFonts w:cs="Times New Roman"/>
          <w:sz w:val="22"/>
        </w:rPr>
        <w:t xml:space="preserve">ašnjim istraživanjima čini se </w:t>
      </w:r>
      <w:r w:rsidR="0032090A">
        <w:rPr>
          <w:rFonts w:cs="Times New Roman"/>
          <w:sz w:val="22"/>
        </w:rPr>
        <w:t>da</w:t>
      </w:r>
      <w:r w:rsidR="006B2562">
        <w:rPr>
          <w:rFonts w:cs="Times New Roman"/>
          <w:sz w:val="22"/>
        </w:rPr>
        <w:t xml:space="preserve"> je dvojaka: tumorpromotorska i tumorsupresorska</w:t>
      </w:r>
      <w:r w:rsidR="00AB5706">
        <w:rPr>
          <w:rFonts w:cs="Times New Roman"/>
          <w:sz w:val="22"/>
        </w:rPr>
        <w:t>.</w:t>
      </w:r>
      <w:r w:rsidR="006479C6" w:rsidRPr="006479C6">
        <w:t xml:space="preserve"> </w:t>
      </w:r>
      <w:r w:rsidR="006479C6" w:rsidRPr="006479C6">
        <w:rPr>
          <w:rFonts w:cs="Times New Roman"/>
          <w:sz w:val="22"/>
        </w:rPr>
        <w:t>Prema rezultatima dosad publicir</w:t>
      </w:r>
      <w:r w:rsidR="006479C6">
        <w:rPr>
          <w:rFonts w:cs="Times New Roman"/>
          <w:sz w:val="22"/>
        </w:rPr>
        <w:t xml:space="preserve">anih istraživanja čini se da </w:t>
      </w:r>
      <w:r w:rsidR="006479C6" w:rsidRPr="006479C6">
        <w:rPr>
          <w:rFonts w:cs="Times New Roman"/>
          <w:sz w:val="22"/>
        </w:rPr>
        <w:t>povećana ekspresija PTX3 povećava invazivni potencijal stanica karcinoma želuca.</w:t>
      </w:r>
      <w:r w:rsidR="006479C6">
        <w:rPr>
          <w:rFonts w:cs="Times New Roman"/>
          <w:sz w:val="22"/>
        </w:rPr>
        <w:t xml:space="preserve"> </w:t>
      </w:r>
      <w:r w:rsidR="005B3244">
        <w:rPr>
          <w:rFonts w:cs="Times New Roman"/>
          <w:sz w:val="22"/>
        </w:rPr>
        <w:t>Cilj ovog</w:t>
      </w:r>
      <w:r w:rsidR="00AB5706">
        <w:rPr>
          <w:rFonts w:cs="Times New Roman"/>
          <w:sz w:val="22"/>
        </w:rPr>
        <w:t xml:space="preserve"> istraživanja bio je</w:t>
      </w:r>
      <w:r w:rsidR="00BF6175">
        <w:rPr>
          <w:rFonts w:cs="Times New Roman"/>
          <w:sz w:val="22"/>
        </w:rPr>
        <w:t xml:space="preserve"> usporediti</w:t>
      </w:r>
      <w:r w:rsidR="005B3244">
        <w:rPr>
          <w:rFonts w:cs="Times New Roman"/>
          <w:sz w:val="22"/>
        </w:rPr>
        <w:t xml:space="preserve"> ekspresiju </w:t>
      </w:r>
      <w:r w:rsidR="000F0C55">
        <w:rPr>
          <w:rFonts w:cs="Times New Roman"/>
          <w:sz w:val="22"/>
        </w:rPr>
        <w:t xml:space="preserve">gena </w:t>
      </w:r>
      <w:r w:rsidR="004D4E23" w:rsidRPr="005B3244">
        <w:rPr>
          <w:rFonts w:cs="Times New Roman"/>
          <w:sz w:val="22"/>
        </w:rPr>
        <w:t xml:space="preserve"> </w:t>
      </w:r>
      <w:r w:rsidR="005B3244" w:rsidRPr="000F0C55">
        <w:rPr>
          <w:rFonts w:cs="Times New Roman"/>
          <w:i/>
          <w:sz w:val="22"/>
        </w:rPr>
        <w:t>PTX3</w:t>
      </w:r>
      <w:r w:rsidR="005B3244">
        <w:rPr>
          <w:rFonts w:cs="Times New Roman"/>
          <w:sz w:val="22"/>
        </w:rPr>
        <w:t xml:space="preserve"> </w:t>
      </w:r>
      <w:r w:rsidR="000F0C55">
        <w:rPr>
          <w:rFonts w:cs="Times New Roman"/>
          <w:sz w:val="22"/>
        </w:rPr>
        <w:t>na</w:t>
      </w:r>
      <w:r w:rsidR="005B3244">
        <w:rPr>
          <w:rFonts w:cs="Times New Roman"/>
          <w:sz w:val="22"/>
        </w:rPr>
        <w:t xml:space="preserve"> </w:t>
      </w:r>
      <w:proofErr w:type="spellStart"/>
      <w:r w:rsidR="005B3244">
        <w:rPr>
          <w:rFonts w:cs="Times New Roman"/>
          <w:sz w:val="22"/>
        </w:rPr>
        <w:t>mRNA</w:t>
      </w:r>
      <w:proofErr w:type="spellEnd"/>
      <w:r w:rsidR="000F0C55">
        <w:rPr>
          <w:rFonts w:cs="Times New Roman"/>
          <w:sz w:val="22"/>
        </w:rPr>
        <w:t xml:space="preserve"> i proteinskoj razini </w:t>
      </w:r>
      <w:r w:rsidR="004D4E23">
        <w:rPr>
          <w:rFonts w:cs="Times New Roman"/>
          <w:sz w:val="22"/>
        </w:rPr>
        <w:t xml:space="preserve"> </w:t>
      </w:r>
      <w:r w:rsidR="000F0C55">
        <w:rPr>
          <w:rFonts w:cs="Times New Roman"/>
          <w:sz w:val="22"/>
        </w:rPr>
        <w:t xml:space="preserve">u </w:t>
      </w:r>
      <w:r w:rsidR="004D4E23">
        <w:rPr>
          <w:rFonts w:cs="Times New Roman"/>
          <w:sz w:val="22"/>
        </w:rPr>
        <w:t>difuznim karcinomima</w:t>
      </w:r>
      <w:r w:rsidR="005B3244" w:rsidRPr="005B3244">
        <w:rPr>
          <w:rFonts w:cs="Times New Roman"/>
          <w:sz w:val="22"/>
        </w:rPr>
        <w:t xml:space="preserve"> želuca i kontrolnom netumorskom tkivu želuca</w:t>
      </w:r>
      <w:r w:rsidR="00BF6175">
        <w:rPr>
          <w:rFonts w:cs="Times New Roman"/>
          <w:sz w:val="22"/>
        </w:rPr>
        <w:t xml:space="preserve">. </w:t>
      </w:r>
      <w:r w:rsidR="005B3244" w:rsidRPr="005B3244">
        <w:rPr>
          <w:rFonts w:cs="Times New Roman"/>
          <w:sz w:val="22"/>
        </w:rPr>
        <w:t>Tumorsko tkivo pokazuje veći intenzitet obojenja i veći postotak pozitivnih stanica, tj. veću ekspresiju PTX3 proteina, u odnosu na kontrolno tkivo</w:t>
      </w:r>
      <w:r w:rsidR="004D4E23">
        <w:rPr>
          <w:rFonts w:cs="Times New Roman"/>
          <w:sz w:val="22"/>
        </w:rPr>
        <w:t xml:space="preserve"> iako je razina </w:t>
      </w:r>
      <w:proofErr w:type="spellStart"/>
      <w:r w:rsidR="004D4E23">
        <w:rPr>
          <w:rFonts w:cs="Times New Roman"/>
          <w:sz w:val="22"/>
        </w:rPr>
        <w:t>mRNA</w:t>
      </w:r>
      <w:proofErr w:type="spellEnd"/>
      <w:r w:rsidR="004D4E23">
        <w:rPr>
          <w:rFonts w:cs="Times New Roman"/>
          <w:sz w:val="22"/>
        </w:rPr>
        <w:t xml:space="preserve"> </w:t>
      </w:r>
      <w:r w:rsidR="005B3244" w:rsidRPr="005B3244">
        <w:rPr>
          <w:rFonts w:cs="Times New Roman"/>
          <w:sz w:val="22"/>
        </w:rPr>
        <w:t xml:space="preserve">u obje skupine podjednaka. Naime, u kontrolnom tkivu izraženiji su slabi i umjereni intenzitet obojenja, kao i područja do 10%, 11 – 50% te 50 – 80% pozitivnih stanica. Nasuprot tomu, u tumorskom tkivu značajno je zastupljeniji jaki intenzitet obojenja te područja s više od 80% pozitivnih stanica, što u konačnici rezultira jačim intenzitetom imunohistokemijske reakcije u tumorskom tkivu. </w:t>
      </w:r>
      <w:r w:rsidR="00C44310">
        <w:rPr>
          <w:rFonts w:cs="Times New Roman"/>
          <w:sz w:val="22"/>
        </w:rPr>
        <w:t xml:space="preserve">Daljnja su istraživanja nužna kako bi se razjasnila </w:t>
      </w:r>
      <w:r w:rsidR="005B3244">
        <w:rPr>
          <w:rFonts w:cs="Times New Roman"/>
          <w:sz w:val="22"/>
        </w:rPr>
        <w:t>stvar</w:t>
      </w:r>
      <w:r w:rsidR="00CF1F0F">
        <w:rPr>
          <w:rFonts w:cs="Times New Roman"/>
          <w:sz w:val="22"/>
        </w:rPr>
        <w:t xml:space="preserve">na </w:t>
      </w:r>
      <w:r w:rsidR="00C44310">
        <w:rPr>
          <w:rFonts w:cs="Times New Roman"/>
          <w:sz w:val="22"/>
        </w:rPr>
        <w:t xml:space="preserve">uloga PTX3 u difuznom karcinomu želuca. </w:t>
      </w:r>
    </w:p>
    <w:p w:rsidR="00E0017C" w:rsidRDefault="00E0017C" w:rsidP="000D0779">
      <w:pPr>
        <w:spacing w:line="360" w:lineRule="auto"/>
        <w:jc w:val="both"/>
        <w:rPr>
          <w:rFonts w:cs="Times New Roman"/>
          <w:sz w:val="22"/>
        </w:rPr>
      </w:pPr>
      <w:r>
        <w:rPr>
          <w:rFonts w:cs="Times New Roman"/>
          <w:sz w:val="22"/>
        </w:rPr>
        <w:t xml:space="preserve">Ključne riječi: </w:t>
      </w:r>
      <w:r w:rsidR="000D0779">
        <w:rPr>
          <w:rFonts w:cs="Times New Roman"/>
          <w:sz w:val="22"/>
        </w:rPr>
        <w:t xml:space="preserve">difuzni karcinom želuca, PTX3, </w:t>
      </w:r>
      <w:r w:rsidR="00333574">
        <w:rPr>
          <w:rFonts w:cs="Times New Roman"/>
          <w:sz w:val="22"/>
        </w:rPr>
        <w:t>imunohistokemija</w:t>
      </w:r>
    </w:p>
    <w:p w:rsidR="00BE76AC" w:rsidRDefault="00BE76AC" w:rsidP="000D0779">
      <w:pPr>
        <w:spacing w:line="360" w:lineRule="auto"/>
        <w:jc w:val="both"/>
      </w:pPr>
      <w:r>
        <w:br w:type="page"/>
      </w:r>
    </w:p>
    <w:p w:rsidR="00BD25A9" w:rsidRPr="00C44310" w:rsidRDefault="00BE76AC" w:rsidP="00BE76AC">
      <w:pPr>
        <w:pStyle w:val="Heading1"/>
      </w:pPr>
      <w:bookmarkStart w:id="19" w:name="_Toc7695578"/>
      <w:r>
        <w:lastRenderedPageBreak/>
        <w:t>11. ABSTRACT</w:t>
      </w:r>
      <w:bookmarkStart w:id="20" w:name="_GoBack"/>
      <w:bookmarkEnd w:id="19"/>
      <w:bookmarkEnd w:id="20"/>
    </w:p>
    <w:p w:rsidR="00727BAF" w:rsidRDefault="00727BAF" w:rsidP="00727BAF">
      <w:r>
        <w:tab/>
      </w:r>
    </w:p>
    <w:p w:rsidR="00280302" w:rsidRPr="00280302" w:rsidRDefault="00280302" w:rsidP="00727BAF">
      <w:pPr>
        <w:rPr>
          <w:b/>
        </w:rPr>
      </w:pPr>
      <w:r>
        <w:rPr>
          <w:b/>
        </w:rPr>
        <w:t>PENTRAXIN 3 PROTEIN EXPRESS</w:t>
      </w:r>
      <w:r w:rsidR="00FE0ADE">
        <w:rPr>
          <w:b/>
        </w:rPr>
        <w:t>ION IN DIFFUSE GASTRIC CANCER</w:t>
      </w:r>
    </w:p>
    <w:p w:rsidR="005F33B7" w:rsidRDefault="00280302" w:rsidP="00727BAF">
      <w:pPr>
        <w:rPr>
          <w:rFonts w:cs="Times New Roman"/>
          <w:b/>
          <w:sz w:val="22"/>
        </w:rPr>
      </w:pPr>
      <w:r>
        <w:rPr>
          <w:rFonts w:cs="Times New Roman"/>
          <w:b/>
          <w:sz w:val="22"/>
        </w:rPr>
        <w:t>Mira Knežić</w:t>
      </w:r>
    </w:p>
    <w:p w:rsidR="00280302" w:rsidRDefault="00280302" w:rsidP="0050747D">
      <w:pPr>
        <w:spacing w:line="360" w:lineRule="auto"/>
        <w:jc w:val="both"/>
        <w:rPr>
          <w:rFonts w:cs="Times New Roman"/>
          <w:sz w:val="22"/>
        </w:rPr>
      </w:pPr>
      <w:r>
        <w:rPr>
          <w:rFonts w:cs="Times New Roman"/>
          <w:sz w:val="22"/>
        </w:rPr>
        <w:t xml:space="preserve">Gastric cancer remains one of the most common </w:t>
      </w:r>
      <w:r w:rsidR="00FE0ADE">
        <w:rPr>
          <w:rFonts w:cs="Times New Roman"/>
          <w:sz w:val="22"/>
        </w:rPr>
        <w:t>and</w:t>
      </w:r>
      <w:r>
        <w:rPr>
          <w:rFonts w:cs="Times New Roman"/>
          <w:sz w:val="22"/>
        </w:rPr>
        <w:t xml:space="preserve"> deadly cancers worldwide. Diffuse gastr</w:t>
      </w:r>
      <w:r w:rsidR="008433D3">
        <w:rPr>
          <w:rFonts w:cs="Times New Roman"/>
          <w:sz w:val="22"/>
        </w:rPr>
        <w:t>ic cancer</w:t>
      </w:r>
      <w:r w:rsidR="001B1454">
        <w:rPr>
          <w:rFonts w:cs="Times New Roman"/>
          <w:sz w:val="22"/>
        </w:rPr>
        <w:t xml:space="preserve">, according to </w:t>
      </w:r>
      <w:r w:rsidR="001B1454" w:rsidRPr="001B1454">
        <w:rPr>
          <w:rFonts w:cs="Times New Roman"/>
          <w:sz w:val="22"/>
        </w:rPr>
        <w:t>Laurén</w:t>
      </w:r>
      <w:r w:rsidR="001B1454">
        <w:rPr>
          <w:rFonts w:cs="Times New Roman"/>
          <w:sz w:val="22"/>
        </w:rPr>
        <w:t>'</w:t>
      </w:r>
      <w:r w:rsidR="009E472B">
        <w:rPr>
          <w:rFonts w:cs="Times New Roman"/>
          <w:sz w:val="22"/>
        </w:rPr>
        <w:t>s</w:t>
      </w:r>
      <w:r w:rsidR="0047059F">
        <w:rPr>
          <w:rFonts w:cs="Times New Roman"/>
          <w:sz w:val="22"/>
        </w:rPr>
        <w:t xml:space="preserve"> classification, </w:t>
      </w:r>
      <w:r>
        <w:rPr>
          <w:rFonts w:cs="Times New Roman"/>
          <w:sz w:val="22"/>
        </w:rPr>
        <w:t>appears more common in young age</w:t>
      </w:r>
      <w:r w:rsidR="0047059F">
        <w:rPr>
          <w:rFonts w:cs="Times New Roman"/>
          <w:sz w:val="22"/>
        </w:rPr>
        <w:t xml:space="preserve"> groups</w:t>
      </w:r>
      <w:r>
        <w:rPr>
          <w:rFonts w:cs="Times New Roman"/>
          <w:sz w:val="22"/>
        </w:rPr>
        <w:t xml:space="preserve"> </w:t>
      </w:r>
      <w:r w:rsidR="00166627">
        <w:rPr>
          <w:rFonts w:cs="Times New Roman"/>
          <w:sz w:val="22"/>
        </w:rPr>
        <w:t>and</w:t>
      </w:r>
      <w:r>
        <w:rPr>
          <w:rFonts w:cs="Times New Roman"/>
          <w:sz w:val="22"/>
        </w:rPr>
        <w:t xml:space="preserve"> has wo</w:t>
      </w:r>
      <w:r w:rsidR="00166627">
        <w:rPr>
          <w:rFonts w:cs="Times New Roman"/>
          <w:sz w:val="22"/>
        </w:rPr>
        <w:t xml:space="preserve">rse prognosis. The role of </w:t>
      </w:r>
      <w:r w:rsidR="002C5F04">
        <w:rPr>
          <w:rFonts w:cs="Times New Roman"/>
          <w:sz w:val="22"/>
        </w:rPr>
        <w:t xml:space="preserve">pentraxin 3 (PTX3), which behaves as an </w:t>
      </w:r>
      <w:r>
        <w:rPr>
          <w:rFonts w:cs="Times New Roman"/>
          <w:sz w:val="22"/>
        </w:rPr>
        <w:t>acute phase</w:t>
      </w:r>
      <w:r w:rsidR="002C5F04">
        <w:rPr>
          <w:rFonts w:cs="Times New Roman"/>
          <w:sz w:val="22"/>
        </w:rPr>
        <w:t xml:space="preserve"> response protein</w:t>
      </w:r>
      <w:r>
        <w:rPr>
          <w:rFonts w:cs="Times New Roman"/>
          <w:sz w:val="22"/>
        </w:rPr>
        <w:t xml:space="preserve">, </w:t>
      </w:r>
      <w:r w:rsidR="00004D0E">
        <w:rPr>
          <w:rFonts w:cs="Times New Roman"/>
          <w:sz w:val="22"/>
        </w:rPr>
        <w:t xml:space="preserve">in tumorigenesis is not completely </w:t>
      </w:r>
      <w:r w:rsidR="00925F62">
        <w:rPr>
          <w:rFonts w:cs="Times New Roman"/>
          <w:sz w:val="22"/>
        </w:rPr>
        <w:t xml:space="preserve">understood </w:t>
      </w:r>
      <w:r w:rsidR="00004D0E">
        <w:rPr>
          <w:rFonts w:cs="Times New Roman"/>
          <w:sz w:val="22"/>
        </w:rPr>
        <w:t>but prev</w:t>
      </w:r>
      <w:r w:rsidR="002C5F04">
        <w:rPr>
          <w:rFonts w:cs="Times New Roman"/>
          <w:sz w:val="22"/>
        </w:rPr>
        <w:t xml:space="preserve">ious </w:t>
      </w:r>
      <w:r w:rsidR="00925F62">
        <w:rPr>
          <w:rFonts w:cs="Times New Roman"/>
          <w:sz w:val="22"/>
        </w:rPr>
        <w:t xml:space="preserve">have shown that </w:t>
      </w:r>
      <w:r w:rsidR="002C5F04">
        <w:rPr>
          <w:rFonts w:cs="Times New Roman"/>
          <w:sz w:val="22"/>
        </w:rPr>
        <w:t>it may exert both tumor-</w:t>
      </w:r>
      <w:r w:rsidR="00004D0E">
        <w:rPr>
          <w:rFonts w:cs="Times New Roman"/>
          <w:sz w:val="22"/>
        </w:rPr>
        <w:t xml:space="preserve">promotor </w:t>
      </w:r>
      <w:r w:rsidR="002C5F04">
        <w:rPr>
          <w:rFonts w:cs="Times New Roman"/>
          <w:sz w:val="22"/>
        </w:rPr>
        <w:t>and</w:t>
      </w:r>
      <w:r w:rsidR="00004D0E">
        <w:rPr>
          <w:rFonts w:cs="Times New Roman"/>
          <w:sz w:val="22"/>
        </w:rPr>
        <w:t xml:space="preserve"> tumor </w:t>
      </w:r>
      <w:r w:rsidR="002C5F04">
        <w:rPr>
          <w:rFonts w:cs="Times New Roman"/>
          <w:sz w:val="22"/>
        </w:rPr>
        <w:t>–suppressing role</w:t>
      </w:r>
      <w:r w:rsidR="00004D0E">
        <w:rPr>
          <w:rFonts w:cs="Times New Roman"/>
          <w:sz w:val="22"/>
        </w:rPr>
        <w:t>. Some researches found correlation</w:t>
      </w:r>
      <w:r w:rsidR="0047059F">
        <w:rPr>
          <w:rFonts w:cs="Times New Roman"/>
          <w:sz w:val="22"/>
        </w:rPr>
        <w:t xml:space="preserve"> between high</w:t>
      </w:r>
      <w:r w:rsidR="008433D3">
        <w:rPr>
          <w:rFonts w:cs="Times New Roman"/>
          <w:sz w:val="22"/>
        </w:rPr>
        <w:t xml:space="preserve"> PTX3 exp</w:t>
      </w:r>
      <w:r w:rsidR="00004D0E">
        <w:rPr>
          <w:rFonts w:cs="Times New Roman"/>
          <w:sz w:val="22"/>
        </w:rPr>
        <w:t xml:space="preserve">ression </w:t>
      </w:r>
      <w:r w:rsidR="002C5F04">
        <w:rPr>
          <w:rFonts w:cs="Times New Roman"/>
          <w:sz w:val="22"/>
        </w:rPr>
        <w:t>and</w:t>
      </w:r>
      <w:r w:rsidR="00004D0E">
        <w:rPr>
          <w:rFonts w:cs="Times New Roman"/>
          <w:sz w:val="22"/>
        </w:rPr>
        <w:t xml:space="preserve"> </w:t>
      </w:r>
      <w:r w:rsidR="00D06917">
        <w:rPr>
          <w:rFonts w:cs="Times New Roman"/>
          <w:sz w:val="22"/>
        </w:rPr>
        <w:t xml:space="preserve">invasive potential of tumor cells. </w:t>
      </w:r>
      <w:r w:rsidR="002C5F04">
        <w:rPr>
          <w:rFonts w:cs="Times New Roman"/>
          <w:sz w:val="22"/>
        </w:rPr>
        <w:t xml:space="preserve">The aim of this study was to compare </w:t>
      </w:r>
      <w:r w:rsidR="00D06917">
        <w:rPr>
          <w:rFonts w:cs="Times New Roman"/>
          <w:sz w:val="22"/>
        </w:rPr>
        <w:t xml:space="preserve">immunohistochemical PTX3 </w:t>
      </w:r>
      <w:r w:rsidR="002C5F04">
        <w:rPr>
          <w:rFonts w:cs="Times New Roman"/>
          <w:sz w:val="22"/>
        </w:rPr>
        <w:t>and</w:t>
      </w:r>
      <w:r w:rsidR="00D06917">
        <w:rPr>
          <w:rFonts w:cs="Times New Roman"/>
          <w:sz w:val="22"/>
        </w:rPr>
        <w:t xml:space="preserve"> PTX3 mRNA expression</w:t>
      </w:r>
      <w:r w:rsidR="0068311C">
        <w:rPr>
          <w:rFonts w:cs="Times New Roman"/>
          <w:sz w:val="22"/>
        </w:rPr>
        <w:t xml:space="preserve"> between two groups of samples: </w:t>
      </w:r>
      <w:r w:rsidR="00D06917">
        <w:rPr>
          <w:rFonts w:cs="Times New Roman"/>
          <w:sz w:val="22"/>
        </w:rPr>
        <w:t xml:space="preserve"> diffus</w:t>
      </w:r>
      <w:r w:rsidR="008433D3">
        <w:rPr>
          <w:rFonts w:cs="Times New Roman"/>
          <w:sz w:val="22"/>
        </w:rPr>
        <w:t>e gastric cancer</w:t>
      </w:r>
      <w:r w:rsidR="0068311C">
        <w:rPr>
          <w:rFonts w:cs="Times New Roman"/>
          <w:sz w:val="22"/>
        </w:rPr>
        <w:t xml:space="preserve"> </w:t>
      </w:r>
      <w:r w:rsidR="00703583">
        <w:rPr>
          <w:rFonts w:cs="Times New Roman"/>
          <w:sz w:val="22"/>
        </w:rPr>
        <w:t>i</w:t>
      </w:r>
      <w:r w:rsidR="0068311C">
        <w:rPr>
          <w:rFonts w:cs="Times New Roman"/>
          <w:sz w:val="22"/>
        </w:rPr>
        <w:t xml:space="preserve"> non-tumor control</w:t>
      </w:r>
      <w:r w:rsidR="00D06917">
        <w:rPr>
          <w:rFonts w:cs="Times New Roman"/>
          <w:sz w:val="22"/>
        </w:rPr>
        <w:t>.</w:t>
      </w:r>
      <w:r w:rsidR="0068311C">
        <w:rPr>
          <w:rFonts w:cs="Times New Roman"/>
          <w:sz w:val="22"/>
        </w:rPr>
        <w:t xml:space="preserve"> Staining intensity </w:t>
      </w:r>
      <w:r w:rsidR="002C5F04">
        <w:rPr>
          <w:rFonts w:cs="Times New Roman"/>
          <w:sz w:val="22"/>
        </w:rPr>
        <w:t>and percentage of positive cells were</w:t>
      </w:r>
      <w:r w:rsidR="0068311C">
        <w:rPr>
          <w:rFonts w:cs="Times New Roman"/>
          <w:sz w:val="22"/>
        </w:rPr>
        <w:t xml:space="preserve"> higher in </w:t>
      </w:r>
      <w:r w:rsidR="001D071A">
        <w:rPr>
          <w:rFonts w:cs="Times New Roman"/>
          <w:sz w:val="22"/>
        </w:rPr>
        <w:t>tumor</w:t>
      </w:r>
      <w:r w:rsidR="0068311C">
        <w:rPr>
          <w:rFonts w:cs="Times New Roman"/>
          <w:sz w:val="22"/>
        </w:rPr>
        <w:t xml:space="preserve"> tissue w</w:t>
      </w:r>
      <w:r w:rsidR="002C5F04">
        <w:rPr>
          <w:rFonts w:cs="Times New Roman"/>
          <w:sz w:val="22"/>
        </w:rPr>
        <w:t>h</w:t>
      </w:r>
      <w:r w:rsidR="0068311C">
        <w:rPr>
          <w:rFonts w:cs="Times New Roman"/>
          <w:sz w:val="22"/>
        </w:rPr>
        <w:t xml:space="preserve">ich means higher expression of PTX3 in </w:t>
      </w:r>
      <w:r w:rsidR="008433D3">
        <w:rPr>
          <w:rFonts w:cs="Times New Roman"/>
          <w:sz w:val="22"/>
        </w:rPr>
        <w:t>cancer</w:t>
      </w:r>
      <w:r w:rsidR="0068311C">
        <w:rPr>
          <w:rFonts w:cs="Times New Roman"/>
          <w:sz w:val="22"/>
        </w:rPr>
        <w:t>, but there was no difference in mRNA level</w:t>
      </w:r>
      <w:r w:rsidR="002C5F04">
        <w:rPr>
          <w:rFonts w:cs="Times New Roman"/>
          <w:sz w:val="22"/>
        </w:rPr>
        <w:t>s</w:t>
      </w:r>
      <w:r w:rsidR="0068311C">
        <w:rPr>
          <w:rFonts w:cs="Times New Roman"/>
          <w:sz w:val="22"/>
        </w:rPr>
        <w:t xml:space="preserve"> between two groups. </w:t>
      </w:r>
      <w:r w:rsidR="009E472B">
        <w:rPr>
          <w:rFonts w:cs="Times New Roman"/>
          <w:sz w:val="22"/>
        </w:rPr>
        <w:t>Namely</w:t>
      </w:r>
      <w:r w:rsidR="0031511F">
        <w:rPr>
          <w:rFonts w:cs="Times New Roman"/>
          <w:sz w:val="22"/>
        </w:rPr>
        <w:t xml:space="preserve">, </w:t>
      </w:r>
      <w:r w:rsidR="001D071A">
        <w:rPr>
          <w:rFonts w:cs="Times New Roman"/>
          <w:sz w:val="22"/>
        </w:rPr>
        <w:t xml:space="preserve">weak </w:t>
      </w:r>
      <w:r w:rsidR="00166627">
        <w:rPr>
          <w:rFonts w:cs="Times New Roman"/>
          <w:sz w:val="22"/>
        </w:rPr>
        <w:t>and</w:t>
      </w:r>
      <w:r w:rsidR="001D071A">
        <w:rPr>
          <w:rFonts w:cs="Times New Roman"/>
          <w:sz w:val="22"/>
        </w:rPr>
        <w:t xml:space="preserve"> moderate staining intensity </w:t>
      </w:r>
      <w:r w:rsidR="00166627">
        <w:rPr>
          <w:rFonts w:cs="Times New Roman"/>
          <w:sz w:val="22"/>
        </w:rPr>
        <w:t>and</w:t>
      </w:r>
      <w:r w:rsidR="0047059F">
        <w:rPr>
          <w:rFonts w:cs="Times New Roman"/>
          <w:sz w:val="22"/>
        </w:rPr>
        <w:t xml:space="preserve"> areas with 0 – 1</w:t>
      </w:r>
      <w:r w:rsidR="001D071A">
        <w:rPr>
          <w:rFonts w:cs="Times New Roman"/>
          <w:sz w:val="22"/>
        </w:rPr>
        <w:t>0%, 11</w:t>
      </w:r>
      <w:r w:rsidR="0047059F">
        <w:rPr>
          <w:rFonts w:cs="Times New Roman"/>
          <w:sz w:val="22"/>
        </w:rPr>
        <w:t xml:space="preserve"> – 5</w:t>
      </w:r>
      <w:r w:rsidR="001D071A">
        <w:rPr>
          <w:rFonts w:cs="Times New Roman"/>
          <w:sz w:val="22"/>
        </w:rPr>
        <w:t xml:space="preserve">0% </w:t>
      </w:r>
      <w:r w:rsidR="00703583">
        <w:rPr>
          <w:rFonts w:cs="Times New Roman"/>
          <w:sz w:val="22"/>
        </w:rPr>
        <w:t>i</w:t>
      </w:r>
      <w:r w:rsidR="0047059F">
        <w:rPr>
          <w:rFonts w:cs="Times New Roman"/>
          <w:sz w:val="22"/>
        </w:rPr>
        <w:t xml:space="preserve"> 51 – 8</w:t>
      </w:r>
      <w:r w:rsidR="001D071A">
        <w:rPr>
          <w:rFonts w:cs="Times New Roman"/>
          <w:sz w:val="22"/>
        </w:rPr>
        <w:t xml:space="preserve">0% </w:t>
      </w:r>
      <w:r w:rsidR="008433D3">
        <w:rPr>
          <w:rFonts w:cs="Times New Roman"/>
          <w:sz w:val="22"/>
        </w:rPr>
        <w:t xml:space="preserve">of the </w:t>
      </w:r>
      <w:r w:rsidR="002C5F04">
        <w:rPr>
          <w:rFonts w:cs="Times New Roman"/>
          <w:sz w:val="22"/>
        </w:rPr>
        <w:t>positive cells were</w:t>
      </w:r>
      <w:r w:rsidR="001D071A">
        <w:rPr>
          <w:rFonts w:cs="Times New Roman"/>
          <w:sz w:val="22"/>
        </w:rPr>
        <w:t xml:space="preserve"> more present in control</w:t>
      </w:r>
      <w:r w:rsidR="009E472B">
        <w:rPr>
          <w:rFonts w:cs="Times New Roman"/>
          <w:sz w:val="22"/>
        </w:rPr>
        <w:t xml:space="preserve"> than tumor </w:t>
      </w:r>
      <w:r w:rsidR="001D071A">
        <w:rPr>
          <w:rFonts w:cs="Times New Roman"/>
          <w:sz w:val="22"/>
        </w:rPr>
        <w:t xml:space="preserve">group. </w:t>
      </w:r>
      <w:r w:rsidR="00DE06A1">
        <w:rPr>
          <w:rFonts w:cs="Times New Roman"/>
          <w:sz w:val="22"/>
        </w:rPr>
        <w:t>On the other h</w:t>
      </w:r>
      <w:r w:rsidR="00166627">
        <w:rPr>
          <w:rFonts w:cs="Times New Roman"/>
          <w:sz w:val="22"/>
        </w:rPr>
        <w:t>and</w:t>
      </w:r>
      <w:r w:rsidR="001D071A">
        <w:rPr>
          <w:rFonts w:cs="Times New Roman"/>
          <w:sz w:val="22"/>
        </w:rPr>
        <w:t xml:space="preserve">, </w:t>
      </w:r>
      <w:r w:rsidR="009E472B">
        <w:rPr>
          <w:rFonts w:cs="Times New Roman"/>
          <w:sz w:val="22"/>
        </w:rPr>
        <w:t>strong</w:t>
      </w:r>
      <w:r w:rsidR="0047059F">
        <w:rPr>
          <w:rFonts w:cs="Times New Roman"/>
          <w:sz w:val="22"/>
        </w:rPr>
        <w:t xml:space="preserve"> staining</w:t>
      </w:r>
      <w:r w:rsidR="009E472B">
        <w:rPr>
          <w:rFonts w:cs="Times New Roman"/>
          <w:sz w:val="22"/>
        </w:rPr>
        <w:t xml:space="preserve"> intensity </w:t>
      </w:r>
      <w:r w:rsidR="00166627">
        <w:rPr>
          <w:rFonts w:cs="Times New Roman"/>
          <w:sz w:val="22"/>
        </w:rPr>
        <w:t xml:space="preserve">and </w:t>
      </w:r>
      <w:r w:rsidR="009E472B">
        <w:rPr>
          <w:rFonts w:cs="Times New Roman"/>
          <w:sz w:val="22"/>
        </w:rPr>
        <w:t xml:space="preserve">areas with more than 80% of </w:t>
      </w:r>
      <w:r w:rsidR="008433D3">
        <w:rPr>
          <w:rFonts w:cs="Times New Roman"/>
          <w:sz w:val="22"/>
        </w:rPr>
        <w:t xml:space="preserve">the </w:t>
      </w:r>
      <w:r w:rsidR="002C5F04">
        <w:rPr>
          <w:rFonts w:cs="Times New Roman"/>
          <w:sz w:val="22"/>
        </w:rPr>
        <w:t>positive cells were</w:t>
      </w:r>
      <w:r w:rsidR="009E472B">
        <w:rPr>
          <w:rFonts w:cs="Times New Roman"/>
          <w:sz w:val="22"/>
        </w:rPr>
        <w:t xml:space="preserve"> more present in tumor tissue wich results </w:t>
      </w:r>
      <w:r w:rsidR="002C5F04">
        <w:rPr>
          <w:rFonts w:cs="Times New Roman"/>
          <w:sz w:val="22"/>
        </w:rPr>
        <w:t xml:space="preserve">in </w:t>
      </w:r>
      <w:r w:rsidR="009E472B">
        <w:rPr>
          <w:rFonts w:cs="Times New Roman"/>
          <w:sz w:val="22"/>
        </w:rPr>
        <w:t>stronger intensity of im</w:t>
      </w:r>
      <w:r w:rsidR="002C5F04">
        <w:rPr>
          <w:rFonts w:cs="Times New Roman"/>
          <w:sz w:val="22"/>
        </w:rPr>
        <w:t>m</w:t>
      </w:r>
      <w:r w:rsidR="009E472B">
        <w:rPr>
          <w:rFonts w:cs="Times New Roman"/>
          <w:sz w:val="22"/>
        </w:rPr>
        <w:t xml:space="preserve">unohistochemical reaction in tumor tissue. Further investigations are needed to elucidate the role of PTX3 in diffuse gastric cancer. </w:t>
      </w:r>
    </w:p>
    <w:p w:rsidR="00E0017C" w:rsidRDefault="00E0017C" w:rsidP="0050747D">
      <w:pPr>
        <w:spacing w:line="360" w:lineRule="auto"/>
        <w:jc w:val="both"/>
        <w:rPr>
          <w:rFonts w:cs="Times New Roman"/>
          <w:sz w:val="22"/>
        </w:rPr>
      </w:pPr>
      <w:r>
        <w:rPr>
          <w:rFonts w:cs="Times New Roman"/>
          <w:sz w:val="22"/>
        </w:rPr>
        <w:t>Keywords:</w:t>
      </w:r>
      <w:r w:rsidR="00166627">
        <w:rPr>
          <w:rFonts w:cs="Times New Roman"/>
          <w:sz w:val="22"/>
        </w:rPr>
        <w:t xml:space="preserve"> diffuse gastric cancer, PTX3, </w:t>
      </w:r>
      <w:r w:rsidR="00333574">
        <w:rPr>
          <w:rFonts w:cs="Times New Roman"/>
          <w:sz w:val="22"/>
        </w:rPr>
        <w:t>immunohistochemistry</w:t>
      </w:r>
    </w:p>
    <w:p w:rsidR="001F2EE8" w:rsidRPr="001F2EE8" w:rsidRDefault="001F2EE8" w:rsidP="0050747D">
      <w:pPr>
        <w:spacing w:line="360" w:lineRule="auto"/>
        <w:jc w:val="both"/>
      </w:pPr>
    </w:p>
    <w:sectPr w:rsidR="001F2EE8" w:rsidRPr="001F2EE8" w:rsidSect="00C57D02">
      <w:footerReference w:type="default" r:id="rId1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9A4" w:rsidRDefault="005669A4" w:rsidP="00361110">
      <w:pPr>
        <w:spacing w:after="0" w:line="240" w:lineRule="auto"/>
      </w:pPr>
      <w:r>
        <w:separator/>
      </w:r>
    </w:p>
  </w:endnote>
  <w:endnote w:type="continuationSeparator" w:id="0">
    <w:p w:rsidR="005669A4" w:rsidRDefault="005669A4" w:rsidP="00361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8F" w:rsidRDefault="00061C8F">
    <w:pPr>
      <w:pStyle w:val="Footer"/>
      <w:jc w:val="center"/>
    </w:pPr>
  </w:p>
  <w:p w:rsidR="00061C8F" w:rsidRDefault="00061C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379753"/>
      <w:docPartObj>
        <w:docPartGallery w:val="Page Numbers (Bottom of Page)"/>
        <w:docPartUnique/>
      </w:docPartObj>
    </w:sdtPr>
    <w:sdtEndPr>
      <w:rPr>
        <w:noProof/>
      </w:rPr>
    </w:sdtEndPr>
    <w:sdtContent>
      <w:p w:rsidR="00061C8F" w:rsidRDefault="00061C8F">
        <w:pPr>
          <w:pStyle w:val="Footer"/>
          <w:jc w:val="center"/>
        </w:pPr>
        <w:r>
          <w:fldChar w:fldCharType="begin"/>
        </w:r>
        <w:r>
          <w:instrText xml:space="preserve"> PAGE   \* MERGEFORMAT </w:instrText>
        </w:r>
        <w:r>
          <w:fldChar w:fldCharType="separate"/>
        </w:r>
        <w:r w:rsidR="00B23F9B">
          <w:rPr>
            <w:noProof/>
          </w:rPr>
          <w:t>25</w:t>
        </w:r>
        <w:r>
          <w:rPr>
            <w:noProof/>
          </w:rPr>
          <w:fldChar w:fldCharType="end"/>
        </w:r>
      </w:p>
    </w:sdtContent>
  </w:sdt>
  <w:p w:rsidR="00061C8F" w:rsidRDefault="00061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9A4" w:rsidRDefault="005669A4" w:rsidP="00361110">
      <w:pPr>
        <w:spacing w:after="0" w:line="240" w:lineRule="auto"/>
      </w:pPr>
      <w:r>
        <w:separator/>
      </w:r>
    </w:p>
  </w:footnote>
  <w:footnote w:type="continuationSeparator" w:id="0">
    <w:p w:rsidR="005669A4" w:rsidRDefault="005669A4" w:rsidP="003611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125"/>
    <w:multiLevelType w:val="hybridMultilevel"/>
    <w:tmpl w:val="C916F2A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0A86722"/>
    <w:multiLevelType w:val="hybridMultilevel"/>
    <w:tmpl w:val="F4C823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65F1E9D"/>
    <w:multiLevelType w:val="multilevel"/>
    <w:tmpl w:val="8E1AFE98"/>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AE667E"/>
    <w:multiLevelType w:val="hybridMultilevel"/>
    <w:tmpl w:val="1A105B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E2B1920"/>
    <w:multiLevelType w:val="hybridMultilevel"/>
    <w:tmpl w:val="958214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E8618D4"/>
    <w:multiLevelType w:val="multilevel"/>
    <w:tmpl w:val="8E1AFE98"/>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A714B54"/>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C635F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484154"/>
    <w:multiLevelType w:val="hybridMultilevel"/>
    <w:tmpl w:val="55E0C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46683C37"/>
    <w:multiLevelType w:val="multilevel"/>
    <w:tmpl w:val="54465216"/>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rPr>
        <w:rFonts w:ascii="Times New Roman" w:hAnsi="Times New Roman"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ECC3624"/>
    <w:multiLevelType w:val="multilevel"/>
    <w:tmpl w:val="8E1AFE98"/>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BD15B0"/>
    <w:multiLevelType w:val="multilevel"/>
    <w:tmpl w:val="D226A71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533A16B3"/>
    <w:multiLevelType w:val="multilevel"/>
    <w:tmpl w:val="8E1AFE98"/>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1D14ED2"/>
    <w:multiLevelType w:val="multilevel"/>
    <w:tmpl w:val="8E1AFE98"/>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6940404"/>
    <w:multiLevelType w:val="hybridMultilevel"/>
    <w:tmpl w:val="C292FE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68C21648"/>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30E2D0B"/>
    <w:multiLevelType w:val="multilevel"/>
    <w:tmpl w:val="8E1AFE98"/>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rPr>
        <w:rFonts w:ascii="Times New Roman" w:hAnsi="Times New Roman" w:hint="default"/>
        <w:b w:val="0"/>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542334F"/>
    <w:multiLevelType w:val="multilevel"/>
    <w:tmpl w:val="7C6489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1"/>
  </w:num>
  <w:num w:numId="3">
    <w:abstractNumId w:val="15"/>
  </w:num>
  <w:num w:numId="4">
    <w:abstractNumId w:val="7"/>
  </w:num>
  <w:num w:numId="5">
    <w:abstractNumId w:val="13"/>
  </w:num>
  <w:num w:numId="6">
    <w:abstractNumId w:val="5"/>
  </w:num>
  <w:num w:numId="7">
    <w:abstractNumId w:val="2"/>
  </w:num>
  <w:num w:numId="8">
    <w:abstractNumId w:val="10"/>
  </w:num>
  <w:num w:numId="9">
    <w:abstractNumId w:val="12"/>
  </w:num>
  <w:num w:numId="10">
    <w:abstractNumId w:val="9"/>
  </w:num>
  <w:num w:numId="11">
    <w:abstractNumId w:val="16"/>
  </w:num>
  <w:num w:numId="12">
    <w:abstractNumId w:val="6"/>
  </w:num>
  <w:num w:numId="13">
    <w:abstractNumId w:val="4"/>
  </w:num>
  <w:num w:numId="14">
    <w:abstractNumId w:val="3"/>
  </w:num>
  <w:num w:numId="15">
    <w:abstractNumId w:val="8"/>
  </w:num>
  <w:num w:numId="16">
    <w:abstractNumId w:val="14"/>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726"/>
    <w:rsid w:val="00004D0E"/>
    <w:rsid w:val="00005586"/>
    <w:rsid w:val="00006CB3"/>
    <w:rsid w:val="00013FCA"/>
    <w:rsid w:val="00023D2C"/>
    <w:rsid w:val="00037DC8"/>
    <w:rsid w:val="000570A7"/>
    <w:rsid w:val="00061C8F"/>
    <w:rsid w:val="00067308"/>
    <w:rsid w:val="000708B8"/>
    <w:rsid w:val="000A0AEB"/>
    <w:rsid w:val="000B43BE"/>
    <w:rsid w:val="000B610E"/>
    <w:rsid w:val="000C7131"/>
    <w:rsid w:val="000D0779"/>
    <w:rsid w:val="000D253A"/>
    <w:rsid w:val="000F0C55"/>
    <w:rsid w:val="00100BA1"/>
    <w:rsid w:val="001226BB"/>
    <w:rsid w:val="00142FD1"/>
    <w:rsid w:val="0014407F"/>
    <w:rsid w:val="00162375"/>
    <w:rsid w:val="00166627"/>
    <w:rsid w:val="00166C07"/>
    <w:rsid w:val="0018202A"/>
    <w:rsid w:val="00182654"/>
    <w:rsid w:val="001A09B8"/>
    <w:rsid w:val="001A0F25"/>
    <w:rsid w:val="001B1454"/>
    <w:rsid w:val="001C24C7"/>
    <w:rsid w:val="001C5792"/>
    <w:rsid w:val="001D071A"/>
    <w:rsid w:val="001D1E5E"/>
    <w:rsid w:val="001E5DFA"/>
    <w:rsid w:val="001F2EE8"/>
    <w:rsid w:val="001F402F"/>
    <w:rsid w:val="00206632"/>
    <w:rsid w:val="0021331D"/>
    <w:rsid w:val="002215A4"/>
    <w:rsid w:val="00224F74"/>
    <w:rsid w:val="00226229"/>
    <w:rsid w:val="002346A6"/>
    <w:rsid w:val="0026135A"/>
    <w:rsid w:val="00280302"/>
    <w:rsid w:val="00283A25"/>
    <w:rsid w:val="002B008E"/>
    <w:rsid w:val="002C5F04"/>
    <w:rsid w:val="002D159D"/>
    <w:rsid w:val="00300061"/>
    <w:rsid w:val="0031511F"/>
    <w:rsid w:val="0032090A"/>
    <w:rsid w:val="003229C0"/>
    <w:rsid w:val="00333574"/>
    <w:rsid w:val="0033631E"/>
    <w:rsid w:val="00344731"/>
    <w:rsid w:val="00347F94"/>
    <w:rsid w:val="00361110"/>
    <w:rsid w:val="003616DD"/>
    <w:rsid w:val="003733A4"/>
    <w:rsid w:val="00374642"/>
    <w:rsid w:val="00382CC4"/>
    <w:rsid w:val="00397FAD"/>
    <w:rsid w:val="003A3A94"/>
    <w:rsid w:val="003A469F"/>
    <w:rsid w:val="003B32C4"/>
    <w:rsid w:val="003C662F"/>
    <w:rsid w:val="003E3942"/>
    <w:rsid w:val="003F4A87"/>
    <w:rsid w:val="003F4DDB"/>
    <w:rsid w:val="00407967"/>
    <w:rsid w:val="004307E6"/>
    <w:rsid w:val="0046118F"/>
    <w:rsid w:val="00467CE8"/>
    <w:rsid w:val="0047059F"/>
    <w:rsid w:val="004745F3"/>
    <w:rsid w:val="0049487E"/>
    <w:rsid w:val="004A2740"/>
    <w:rsid w:val="004B614A"/>
    <w:rsid w:val="004D4E23"/>
    <w:rsid w:val="004E43D4"/>
    <w:rsid w:val="004F24E8"/>
    <w:rsid w:val="0050747D"/>
    <w:rsid w:val="00512726"/>
    <w:rsid w:val="00517381"/>
    <w:rsid w:val="00530B96"/>
    <w:rsid w:val="00542AB2"/>
    <w:rsid w:val="00544C06"/>
    <w:rsid w:val="00547319"/>
    <w:rsid w:val="005538F7"/>
    <w:rsid w:val="005634B1"/>
    <w:rsid w:val="005669A4"/>
    <w:rsid w:val="00575DA7"/>
    <w:rsid w:val="00587317"/>
    <w:rsid w:val="005B3244"/>
    <w:rsid w:val="005B61A4"/>
    <w:rsid w:val="005E0B93"/>
    <w:rsid w:val="005E29E2"/>
    <w:rsid w:val="005F33B7"/>
    <w:rsid w:val="00604EDE"/>
    <w:rsid w:val="00624F0E"/>
    <w:rsid w:val="006363F8"/>
    <w:rsid w:val="006479C6"/>
    <w:rsid w:val="00651E5E"/>
    <w:rsid w:val="00675412"/>
    <w:rsid w:val="0068311C"/>
    <w:rsid w:val="006921C1"/>
    <w:rsid w:val="00692926"/>
    <w:rsid w:val="00693B6B"/>
    <w:rsid w:val="006962F7"/>
    <w:rsid w:val="006B2562"/>
    <w:rsid w:val="006C03E8"/>
    <w:rsid w:val="006C1D07"/>
    <w:rsid w:val="006C24C0"/>
    <w:rsid w:val="00700306"/>
    <w:rsid w:val="007023EC"/>
    <w:rsid w:val="00703583"/>
    <w:rsid w:val="00710ED4"/>
    <w:rsid w:val="00712F55"/>
    <w:rsid w:val="00714985"/>
    <w:rsid w:val="00717EEC"/>
    <w:rsid w:val="00727BAF"/>
    <w:rsid w:val="0073138B"/>
    <w:rsid w:val="00732B41"/>
    <w:rsid w:val="0073726B"/>
    <w:rsid w:val="00753810"/>
    <w:rsid w:val="007550C4"/>
    <w:rsid w:val="00755A73"/>
    <w:rsid w:val="007625CE"/>
    <w:rsid w:val="007751CF"/>
    <w:rsid w:val="00790784"/>
    <w:rsid w:val="00793D01"/>
    <w:rsid w:val="007A0D32"/>
    <w:rsid w:val="007C601E"/>
    <w:rsid w:val="007D27E3"/>
    <w:rsid w:val="008006B0"/>
    <w:rsid w:val="00821EE3"/>
    <w:rsid w:val="00824773"/>
    <w:rsid w:val="008328CA"/>
    <w:rsid w:val="008423C1"/>
    <w:rsid w:val="008433D3"/>
    <w:rsid w:val="008535A0"/>
    <w:rsid w:val="008627BC"/>
    <w:rsid w:val="0088624C"/>
    <w:rsid w:val="0089329E"/>
    <w:rsid w:val="008A1CBA"/>
    <w:rsid w:val="008E1740"/>
    <w:rsid w:val="008E2F42"/>
    <w:rsid w:val="008E5889"/>
    <w:rsid w:val="008F28A5"/>
    <w:rsid w:val="009047ED"/>
    <w:rsid w:val="0090703A"/>
    <w:rsid w:val="00915A71"/>
    <w:rsid w:val="00921A27"/>
    <w:rsid w:val="00925F62"/>
    <w:rsid w:val="009454A4"/>
    <w:rsid w:val="009538C5"/>
    <w:rsid w:val="00954BDF"/>
    <w:rsid w:val="009652A5"/>
    <w:rsid w:val="0096585E"/>
    <w:rsid w:val="009710DE"/>
    <w:rsid w:val="00974AC4"/>
    <w:rsid w:val="009750D6"/>
    <w:rsid w:val="00980235"/>
    <w:rsid w:val="00981A18"/>
    <w:rsid w:val="009928DE"/>
    <w:rsid w:val="009B2E53"/>
    <w:rsid w:val="009C103F"/>
    <w:rsid w:val="009C742C"/>
    <w:rsid w:val="009C7568"/>
    <w:rsid w:val="009D121F"/>
    <w:rsid w:val="009E1963"/>
    <w:rsid w:val="009E472B"/>
    <w:rsid w:val="009F49E7"/>
    <w:rsid w:val="00A00800"/>
    <w:rsid w:val="00A34888"/>
    <w:rsid w:val="00A34E21"/>
    <w:rsid w:val="00A37DE1"/>
    <w:rsid w:val="00A47B27"/>
    <w:rsid w:val="00A60287"/>
    <w:rsid w:val="00A6347C"/>
    <w:rsid w:val="00A663C8"/>
    <w:rsid w:val="00A70FC4"/>
    <w:rsid w:val="00A76D45"/>
    <w:rsid w:val="00A822FF"/>
    <w:rsid w:val="00A97400"/>
    <w:rsid w:val="00AB5706"/>
    <w:rsid w:val="00AD6D8A"/>
    <w:rsid w:val="00AE18A0"/>
    <w:rsid w:val="00B14DF9"/>
    <w:rsid w:val="00B23F9B"/>
    <w:rsid w:val="00B279DD"/>
    <w:rsid w:val="00B3186F"/>
    <w:rsid w:val="00B32FC7"/>
    <w:rsid w:val="00B479A8"/>
    <w:rsid w:val="00B5315D"/>
    <w:rsid w:val="00B74D12"/>
    <w:rsid w:val="00B75A47"/>
    <w:rsid w:val="00B8442B"/>
    <w:rsid w:val="00BD01D3"/>
    <w:rsid w:val="00BD0B18"/>
    <w:rsid w:val="00BD25A9"/>
    <w:rsid w:val="00BD6497"/>
    <w:rsid w:val="00BE76AC"/>
    <w:rsid w:val="00BF6175"/>
    <w:rsid w:val="00C04571"/>
    <w:rsid w:val="00C342F3"/>
    <w:rsid w:val="00C43A89"/>
    <w:rsid w:val="00C44310"/>
    <w:rsid w:val="00C45449"/>
    <w:rsid w:val="00C47C5C"/>
    <w:rsid w:val="00C47D9F"/>
    <w:rsid w:val="00C57D02"/>
    <w:rsid w:val="00C83BC2"/>
    <w:rsid w:val="00C86AE8"/>
    <w:rsid w:val="00C92C5B"/>
    <w:rsid w:val="00C96EF9"/>
    <w:rsid w:val="00CA252C"/>
    <w:rsid w:val="00CA2E1E"/>
    <w:rsid w:val="00CB14D3"/>
    <w:rsid w:val="00CC23EB"/>
    <w:rsid w:val="00CC392F"/>
    <w:rsid w:val="00CD3E6E"/>
    <w:rsid w:val="00CD48FB"/>
    <w:rsid w:val="00CF1F0F"/>
    <w:rsid w:val="00D06917"/>
    <w:rsid w:val="00D16B79"/>
    <w:rsid w:val="00D20E4D"/>
    <w:rsid w:val="00D23C0A"/>
    <w:rsid w:val="00D37832"/>
    <w:rsid w:val="00D45472"/>
    <w:rsid w:val="00D621B6"/>
    <w:rsid w:val="00D7203F"/>
    <w:rsid w:val="00D93F85"/>
    <w:rsid w:val="00DB17EF"/>
    <w:rsid w:val="00DC211A"/>
    <w:rsid w:val="00DD1BC1"/>
    <w:rsid w:val="00DE06A1"/>
    <w:rsid w:val="00DF1336"/>
    <w:rsid w:val="00DF1E8F"/>
    <w:rsid w:val="00DF726A"/>
    <w:rsid w:val="00E0017C"/>
    <w:rsid w:val="00E12B98"/>
    <w:rsid w:val="00E152B3"/>
    <w:rsid w:val="00E32580"/>
    <w:rsid w:val="00E42841"/>
    <w:rsid w:val="00E454B0"/>
    <w:rsid w:val="00E623F1"/>
    <w:rsid w:val="00E65C37"/>
    <w:rsid w:val="00E67E82"/>
    <w:rsid w:val="00E732FF"/>
    <w:rsid w:val="00E95B72"/>
    <w:rsid w:val="00EA0B70"/>
    <w:rsid w:val="00EB02A7"/>
    <w:rsid w:val="00EB6F9D"/>
    <w:rsid w:val="00EC13FD"/>
    <w:rsid w:val="00EE2A5A"/>
    <w:rsid w:val="00F00649"/>
    <w:rsid w:val="00F0483A"/>
    <w:rsid w:val="00F22148"/>
    <w:rsid w:val="00F41B60"/>
    <w:rsid w:val="00F46EEB"/>
    <w:rsid w:val="00F529BC"/>
    <w:rsid w:val="00F952BF"/>
    <w:rsid w:val="00F9641F"/>
    <w:rsid w:val="00FC5A3E"/>
    <w:rsid w:val="00FE0ADE"/>
    <w:rsid w:val="00FE565C"/>
    <w:rsid w:val="00FF0299"/>
    <w:rsid w:val="00FF5F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E8"/>
    <w:rPr>
      <w:rFonts w:ascii="Times New Roman" w:hAnsi="Times New Roman"/>
      <w:sz w:val="24"/>
    </w:rPr>
  </w:style>
  <w:style w:type="paragraph" w:styleId="Heading1">
    <w:name w:val="heading 1"/>
    <w:basedOn w:val="Normal"/>
    <w:next w:val="Normal"/>
    <w:link w:val="Heading1Char"/>
    <w:uiPriority w:val="9"/>
    <w:qFormat/>
    <w:rsid w:val="00013FCA"/>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9E1963"/>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9E1963"/>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4611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652A5"/>
    <w:rPr>
      <w:b/>
      <w:bCs/>
    </w:rPr>
  </w:style>
  <w:style w:type="paragraph" w:styleId="ListParagraph">
    <w:name w:val="List Paragraph"/>
    <w:basedOn w:val="Normal"/>
    <w:uiPriority w:val="34"/>
    <w:qFormat/>
    <w:rsid w:val="009652A5"/>
    <w:pPr>
      <w:ind w:left="720"/>
      <w:contextualSpacing/>
    </w:pPr>
  </w:style>
  <w:style w:type="paragraph" w:styleId="Subtitle">
    <w:name w:val="Subtitle"/>
    <w:basedOn w:val="Normal"/>
    <w:next w:val="Normal"/>
    <w:link w:val="SubtitleChar"/>
    <w:uiPriority w:val="11"/>
    <w:qFormat/>
    <w:rsid w:val="009652A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652A5"/>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13FCA"/>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9E1963"/>
    <w:rPr>
      <w:rFonts w:ascii="Times New Roman" w:eastAsiaTheme="majorEastAsia" w:hAnsi="Times New Roman" w:cstheme="majorBidi"/>
      <w:b/>
      <w:bCs/>
      <w:color w:val="000000" w:themeColor="text1"/>
      <w:sz w:val="24"/>
      <w:szCs w:val="26"/>
    </w:rPr>
  </w:style>
  <w:style w:type="paragraph" w:styleId="TOCHeading">
    <w:name w:val="TOC Heading"/>
    <w:basedOn w:val="Heading1"/>
    <w:next w:val="Normal"/>
    <w:uiPriority w:val="39"/>
    <w:unhideWhenUsed/>
    <w:qFormat/>
    <w:rsid w:val="0073138B"/>
    <w:pPr>
      <w:outlineLvl w:val="9"/>
    </w:pPr>
    <w:rPr>
      <w:lang w:val="en-US" w:eastAsia="ja-JP"/>
    </w:rPr>
  </w:style>
  <w:style w:type="paragraph" w:styleId="BalloonText">
    <w:name w:val="Balloon Text"/>
    <w:basedOn w:val="Normal"/>
    <w:link w:val="BalloonTextChar"/>
    <w:uiPriority w:val="99"/>
    <w:semiHidden/>
    <w:unhideWhenUsed/>
    <w:rsid w:val="00731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8B"/>
    <w:rPr>
      <w:rFonts w:ascii="Tahoma" w:hAnsi="Tahoma" w:cs="Tahoma"/>
      <w:sz w:val="16"/>
      <w:szCs w:val="16"/>
    </w:rPr>
  </w:style>
  <w:style w:type="paragraph" w:styleId="TOC2">
    <w:name w:val="toc 2"/>
    <w:basedOn w:val="Normal"/>
    <w:next w:val="Normal"/>
    <w:autoRedefine/>
    <w:uiPriority w:val="39"/>
    <w:unhideWhenUsed/>
    <w:qFormat/>
    <w:rsid w:val="0073138B"/>
    <w:pPr>
      <w:spacing w:after="100"/>
      <w:ind w:left="220"/>
    </w:pPr>
  </w:style>
  <w:style w:type="character" w:styleId="Hyperlink">
    <w:name w:val="Hyperlink"/>
    <w:basedOn w:val="DefaultParagraphFont"/>
    <w:uiPriority w:val="99"/>
    <w:unhideWhenUsed/>
    <w:rsid w:val="0073138B"/>
    <w:rPr>
      <w:color w:val="0000FF" w:themeColor="hyperlink"/>
      <w:u w:val="single"/>
    </w:rPr>
  </w:style>
  <w:style w:type="paragraph" w:styleId="TOC1">
    <w:name w:val="toc 1"/>
    <w:basedOn w:val="Normal"/>
    <w:next w:val="Normal"/>
    <w:autoRedefine/>
    <w:uiPriority w:val="39"/>
    <w:unhideWhenUsed/>
    <w:qFormat/>
    <w:rsid w:val="0073138B"/>
    <w:pPr>
      <w:spacing w:after="100"/>
    </w:pPr>
    <w:rPr>
      <w:rFonts w:eastAsiaTheme="minorEastAsia"/>
      <w:lang w:val="en-US" w:eastAsia="ja-JP"/>
    </w:rPr>
  </w:style>
  <w:style w:type="paragraph" w:styleId="TOC3">
    <w:name w:val="toc 3"/>
    <w:basedOn w:val="Normal"/>
    <w:next w:val="Normal"/>
    <w:autoRedefine/>
    <w:uiPriority w:val="39"/>
    <w:unhideWhenUsed/>
    <w:qFormat/>
    <w:rsid w:val="0073138B"/>
    <w:pPr>
      <w:spacing w:after="100"/>
      <w:ind w:left="440"/>
    </w:pPr>
    <w:rPr>
      <w:rFonts w:eastAsiaTheme="minorEastAsia"/>
      <w:lang w:val="en-US" w:eastAsia="ja-JP"/>
    </w:rPr>
  </w:style>
  <w:style w:type="paragraph" w:styleId="Header">
    <w:name w:val="header"/>
    <w:basedOn w:val="Normal"/>
    <w:link w:val="HeaderChar"/>
    <w:uiPriority w:val="99"/>
    <w:unhideWhenUsed/>
    <w:rsid w:val="003611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1110"/>
  </w:style>
  <w:style w:type="paragraph" w:styleId="Footer">
    <w:name w:val="footer"/>
    <w:basedOn w:val="Normal"/>
    <w:link w:val="FooterChar"/>
    <w:uiPriority w:val="99"/>
    <w:unhideWhenUsed/>
    <w:rsid w:val="003611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1110"/>
  </w:style>
  <w:style w:type="character" w:customStyle="1" w:styleId="Heading3Char">
    <w:name w:val="Heading 3 Char"/>
    <w:basedOn w:val="DefaultParagraphFont"/>
    <w:link w:val="Heading3"/>
    <w:uiPriority w:val="9"/>
    <w:rsid w:val="009E196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46118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7D2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58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85E"/>
    <w:rPr>
      <w:rFonts w:ascii="Times New Roman" w:hAnsi="Times New Roman"/>
      <w:sz w:val="20"/>
      <w:szCs w:val="20"/>
    </w:rPr>
  </w:style>
  <w:style w:type="character" w:styleId="FootnoteReference">
    <w:name w:val="footnote reference"/>
    <w:basedOn w:val="DefaultParagraphFont"/>
    <w:uiPriority w:val="99"/>
    <w:semiHidden/>
    <w:unhideWhenUsed/>
    <w:rsid w:val="0096585E"/>
    <w:rPr>
      <w:vertAlign w:val="superscript"/>
    </w:rPr>
  </w:style>
  <w:style w:type="paragraph" w:styleId="Caption">
    <w:name w:val="caption"/>
    <w:basedOn w:val="Normal"/>
    <w:next w:val="Normal"/>
    <w:uiPriority w:val="35"/>
    <w:unhideWhenUsed/>
    <w:qFormat/>
    <w:rsid w:val="006962F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E8"/>
    <w:rPr>
      <w:rFonts w:ascii="Times New Roman" w:hAnsi="Times New Roman"/>
      <w:sz w:val="24"/>
    </w:rPr>
  </w:style>
  <w:style w:type="paragraph" w:styleId="Heading1">
    <w:name w:val="heading 1"/>
    <w:basedOn w:val="Normal"/>
    <w:next w:val="Normal"/>
    <w:link w:val="Heading1Char"/>
    <w:uiPriority w:val="9"/>
    <w:qFormat/>
    <w:rsid w:val="00013FCA"/>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9E1963"/>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9E1963"/>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4611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652A5"/>
    <w:rPr>
      <w:b/>
      <w:bCs/>
    </w:rPr>
  </w:style>
  <w:style w:type="paragraph" w:styleId="ListParagraph">
    <w:name w:val="List Paragraph"/>
    <w:basedOn w:val="Normal"/>
    <w:uiPriority w:val="34"/>
    <w:qFormat/>
    <w:rsid w:val="009652A5"/>
    <w:pPr>
      <w:ind w:left="720"/>
      <w:contextualSpacing/>
    </w:pPr>
  </w:style>
  <w:style w:type="paragraph" w:styleId="Subtitle">
    <w:name w:val="Subtitle"/>
    <w:basedOn w:val="Normal"/>
    <w:next w:val="Normal"/>
    <w:link w:val="SubtitleChar"/>
    <w:uiPriority w:val="11"/>
    <w:qFormat/>
    <w:rsid w:val="009652A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652A5"/>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013FCA"/>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9E1963"/>
    <w:rPr>
      <w:rFonts w:ascii="Times New Roman" w:eastAsiaTheme="majorEastAsia" w:hAnsi="Times New Roman" w:cstheme="majorBidi"/>
      <w:b/>
      <w:bCs/>
      <w:color w:val="000000" w:themeColor="text1"/>
      <w:sz w:val="24"/>
      <w:szCs w:val="26"/>
    </w:rPr>
  </w:style>
  <w:style w:type="paragraph" w:styleId="TOCHeading">
    <w:name w:val="TOC Heading"/>
    <w:basedOn w:val="Heading1"/>
    <w:next w:val="Normal"/>
    <w:uiPriority w:val="39"/>
    <w:unhideWhenUsed/>
    <w:qFormat/>
    <w:rsid w:val="0073138B"/>
    <w:pPr>
      <w:outlineLvl w:val="9"/>
    </w:pPr>
    <w:rPr>
      <w:lang w:val="en-US" w:eastAsia="ja-JP"/>
    </w:rPr>
  </w:style>
  <w:style w:type="paragraph" w:styleId="BalloonText">
    <w:name w:val="Balloon Text"/>
    <w:basedOn w:val="Normal"/>
    <w:link w:val="BalloonTextChar"/>
    <w:uiPriority w:val="99"/>
    <w:semiHidden/>
    <w:unhideWhenUsed/>
    <w:rsid w:val="00731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8B"/>
    <w:rPr>
      <w:rFonts w:ascii="Tahoma" w:hAnsi="Tahoma" w:cs="Tahoma"/>
      <w:sz w:val="16"/>
      <w:szCs w:val="16"/>
    </w:rPr>
  </w:style>
  <w:style w:type="paragraph" w:styleId="TOC2">
    <w:name w:val="toc 2"/>
    <w:basedOn w:val="Normal"/>
    <w:next w:val="Normal"/>
    <w:autoRedefine/>
    <w:uiPriority w:val="39"/>
    <w:unhideWhenUsed/>
    <w:qFormat/>
    <w:rsid w:val="0073138B"/>
    <w:pPr>
      <w:spacing w:after="100"/>
      <w:ind w:left="220"/>
    </w:pPr>
  </w:style>
  <w:style w:type="character" w:styleId="Hyperlink">
    <w:name w:val="Hyperlink"/>
    <w:basedOn w:val="DefaultParagraphFont"/>
    <w:uiPriority w:val="99"/>
    <w:unhideWhenUsed/>
    <w:rsid w:val="0073138B"/>
    <w:rPr>
      <w:color w:val="0000FF" w:themeColor="hyperlink"/>
      <w:u w:val="single"/>
    </w:rPr>
  </w:style>
  <w:style w:type="paragraph" w:styleId="TOC1">
    <w:name w:val="toc 1"/>
    <w:basedOn w:val="Normal"/>
    <w:next w:val="Normal"/>
    <w:autoRedefine/>
    <w:uiPriority w:val="39"/>
    <w:unhideWhenUsed/>
    <w:qFormat/>
    <w:rsid w:val="0073138B"/>
    <w:pPr>
      <w:spacing w:after="100"/>
    </w:pPr>
    <w:rPr>
      <w:rFonts w:eastAsiaTheme="minorEastAsia"/>
      <w:lang w:val="en-US" w:eastAsia="ja-JP"/>
    </w:rPr>
  </w:style>
  <w:style w:type="paragraph" w:styleId="TOC3">
    <w:name w:val="toc 3"/>
    <w:basedOn w:val="Normal"/>
    <w:next w:val="Normal"/>
    <w:autoRedefine/>
    <w:uiPriority w:val="39"/>
    <w:unhideWhenUsed/>
    <w:qFormat/>
    <w:rsid w:val="0073138B"/>
    <w:pPr>
      <w:spacing w:after="100"/>
      <w:ind w:left="440"/>
    </w:pPr>
    <w:rPr>
      <w:rFonts w:eastAsiaTheme="minorEastAsia"/>
      <w:lang w:val="en-US" w:eastAsia="ja-JP"/>
    </w:rPr>
  </w:style>
  <w:style w:type="paragraph" w:styleId="Header">
    <w:name w:val="header"/>
    <w:basedOn w:val="Normal"/>
    <w:link w:val="HeaderChar"/>
    <w:uiPriority w:val="99"/>
    <w:unhideWhenUsed/>
    <w:rsid w:val="0036111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1110"/>
  </w:style>
  <w:style w:type="paragraph" w:styleId="Footer">
    <w:name w:val="footer"/>
    <w:basedOn w:val="Normal"/>
    <w:link w:val="FooterChar"/>
    <w:uiPriority w:val="99"/>
    <w:unhideWhenUsed/>
    <w:rsid w:val="0036111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1110"/>
  </w:style>
  <w:style w:type="character" w:customStyle="1" w:styleId="Heading3Char">
    <w:name w:val="Heading 3 Char"/>
    <w:basedOn w:val="DefaultParagraphFont"/>
    <w:link w:val="Heading3"/>
    <w:uiPriority w:val="9"/>
    <w:rsid w:val="009E196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46118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7D2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658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85E"/>
    <w:rPr>
      <w:rFonts w:ascii="Times New Roman" w:hAnsi="Times New Roman"/>
      <w:sz w:val="20"/>
      <w:szCs w:val="20"/>
    </w:rPr>
  </w:style>
  <w:style w:type="character" w:styleId="FootnoteReference">
    <w:name w:val="footnote reference"/>
    <w:basedOn w:val="DefaultParagraphFont"/>
    <w:uiPriority w:val="99"/>
    <w:semiHidden/>
    <w:unhideWhenUsed/>
    <w:rsid w:val="0096585E"/>
    <w:rPr>
      <w:vertAlign w:val="superscript"/>
    </w:rPr>
  </w:style>
  <w:style w:type="paragraph" w:styleId="Caption">
    <w:name w:val="caption"/>
    <w:basedOn w:val="Normal"/>
    <w:next w:val="Normal"/>
    <w:uiPriority w:val="35"/>
    <w:unhideWhenUsed/>
    <w:qFormat/>
    <w:rsid w:val="006962F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0416">
      <w:bodyDiv w:val="1"/>
      <w:marLeft w:val="0"/>
      <w:marRight w:val="0"/>
      <w:marTop w:val="0"/>
      <w:marBottom w:val="0"/>
      <w:divBdr>
        <w:top w:val="none" w:sz="0" w:space="0" w:color="auto"/>
        <w:left w:val="none" w:sz="0" w:space="0" w:color="auto"/>
        <w:bottom w:val="none" w:sz="0" w:space="0" w:color="auto"/>
        <w:right w:val="none" w:sz="0" w:space="0" w:color="auto"/>
      </w:divBdr>
    </w:div>
    <w:div w:id="93284055">
      <w:bodyDiv w:val="1"/>
      <w:marLeft w:val="0"/>
      <w:marRight w:val="0"/>
      <w:marTop w:val="0"/>
      <w:marBottom w:val="0"/>
      <w:divBdr>
        <w:top w:val="none" w:sz="0" w:space="0" w:color="auto"/>
        <w:left w:val="none" w:sz="0" w:space="0" w:color="auto"/>
        <w:bottom w:val="none" w:sz="0" w:space="0" w:color="auto"/>
        <w:right w:val="none" w:sz="0" w:space="0" w:color="auto"/>
      </w:divBdr>
    </w:div>
    <w:div w:id="964889263">
      <w:bodyDiv w:val="1"/>
      <w:marLeft w:val="0"/>
      <w:marRight w:val="0"/>
      <w:marTop w:val="0"/>
      <w:marBottom w:val="0"/>
      <w:divBdr>
        <w:top w:val="none" w:sz="0" w:space="0" w:color="auto"/>
        <w:left w:val="none" w:sz="0" w:space="0" w:color="auto"/>
        <w:bottom w:val="none" w:sz="0" w:space="0" w:color="auto"/>
        <w:right w:val="none" w:sz="0" w:space="0" w:color="auto"/>
      </w:divBdr>
    </w:div>
    <w:div w:id="1347168649">
      <w:bodyDiv w:val="1"/>
      <w:marLeft w:val="0"/>
      <w:marRight w:val="0"/>
      <w:marTop w:val="0"/>
      <w:marBottom w:val="0"/>
      <w:divBdr>
        <w:top w:val="none" w:sz="0" w:space="0" w:color="auto"/>
        <w:left w:val="none" w:sz="0" w:space="0" w:color="auto"/>
        <w:bottom w:val="none" w:sz="0" w:space="0" w:color="auto"/>
        <w:right w:val="none" w:sz="0" w:space="0" w:color="auto"/>
      </w:divBdr>
    </w:div>
    <w:div w:id="194183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39F2-12F0-4168-B1CA-CDCC5ADE2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41882</Words>
  <Characters>238733</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
    </vt:vector>
  </TitlesOfParts>
  <Company>MEF</Company>
  <LinksUpToDate>false</LinksUpToDate>
  <CharactersWithSpaces>280055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Tamara Nikuševa-Martić</cp:lastModifiedBy>
  <cp:revision>2</cp:revision>
  <cp:lastPrinted>2019-05-02T12:04:00Z</cp:lastPrinted>
  <dcterms:created xsi:type="dcterms:W3CDTF">2019-05-02T12:11:00Z</dcterms:created>
  <dcterms:modified xsi:type="dcterms:W3CDTF">2019-05-02T12:11:00Z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ade64cb0-edee-3935-8118-d3578902a69f</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