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0B9" w:rsidRPr="006C395F" w:rsidRDefault="007520B9" w:rsidP="0015549A">
      <w:pPr>
        <w:spacing w:line="360" w:lineRule="auto"/>
        <w:jc w:val="center"/>
        <w:rPr>
          <w:rFonts w:asciiTheme="minorHAnsi" w:hAnsiTheme="minorHAnsi" w:cstheme="minorHAnsi"/>
          <w:szCs w:val="22"/>
          <w:lang w:val="hr-HR"/>
        </w:rPr>
      </w:pPr>
      <w:r w:rsidRPr="006C395F">
        <w:rPr>
          <w:rFonts w:asciiTheme="minorHAnsi" w:hAnsiTheme="minorHAnsi" w:cstheme="minorHAnsi"/>
          <w:szCs w:val="22"/>
          <w:lang w:val="hr-HR"/>
        </w:rPr>
        <w:t>Sveučilište u Zagrebu</w:t>
      </w:r>
    </w:p>
    <w:p w:rsidR="007520B9" w:rsidRPr="006C395F" w:rsidRDefault="007520B9" w:rsidP="0015549A">
      <w:pPr>
        <w:spacing w:line="360" w:lineRule="auto"/>
        <w:jc w:val="center"/>
        <w:rPr>
          <w:rFonts w:asciiTheme="minorHAnsi" w:hAnsiTheme="minorHAnsi" w:cstheme="minorHAnsi"/>
          <w:szCs w:val="22"/>
          <w:lang w:val="hr-HR"/>
        </w:rPr>
      </w:pPr>
    </w:p>
    <w:p w:rsidR="007520B9" w:rsidRPr="006C395F" w:rsidRDefault="007520B9" w:rsidP="0015549A">
      <w:pPr>
        <w:spacing w:line="360" w:lineRule="auto"/>
        <w:jc w:val="center"/>
        <w:rPr>
          <w:rFonts w:asciiTheme="minorHAnsi" w:hAnsiTheme="minorHAnsi" w:cstheme="minorHAnsi"/>
          <w:szCs w:val="22"/>
          <w:lang w:val="hr-HR"/>
        </w:rPr>
      </w:pPr>
      <w:r w:rsidRPr="006C395F">
        <w:rPr>
          <w:rFonts w:asciiTheme="minorHAnsi" w:hAnsiTheme="minorHAnsi" w:cstheme="minorHAnsi"/>
          <w:szCs w:val="22"/>
          <w:lang w:val="hr-HR"/>
        </w:rPr>
        <w:t>Pravni fakultet</w:t>
      </w:r>
    </w:p>
    <w:p w:rsidR="007520B9" w:rsidRPr="006C395F" w:rsidRDefault="007520B9" w:rsidP="0015549A">
      <w:pPr>
        <w:spacing w:line="360" w:lineRule="auto"/>
        <w:jc w:val="center"/>
        <w:rPr>
          <w:rFonts w:asciiTheme="minorHAnsi" w:hAnsiTheme="minorHAnsi" w:cstheme="minorHAnsi"/>
          <w:szCs w:val="22"/>
          <w:lang w:val="hr-HR"/>
        </w:rPr>
      </w:pPr>
    </w:p>
    <w:p w:rsidR="007520B9" w:rsidRPr="006C395F" w:rsidRDefault="007520B9" w:rsidP="0015549A">
      <w:pPr>
        <w:spacing w:line="360" w:lineRule="auto"/>
        <w:jc w:val="center"/>
        <w:rPr>
          <w:rFonts w:asciiTheme="minorHAnsi" w:hAnsiTheme="minorHAnsi" w:cstheme="minorHAnsi"/>
          <w:szCs w:val="22"/>
          <w:lang w:val="hr-HR"/>
        </w:rPr>
      </w:pPr>
    </w:p>
    <w:p w:rsidR="007520B9" w:rsidRPr="006C395F" w:rsidRDefault="007520B9" w:rsidP="0015549A">
      <w:pPr>
        <w:spacing w:line="360" w:lineRule="auto"/>
        <w:jc w:val="center"/>
        <w:rPr>
          <w:rFonts w:asciiTheme="minorHAnsi" w:hAnsiTheme="minorHAnsi" w:cstheme="minorHAnsi"/>
          <w:szCs w:val="22"/>
          <w:lang w:val="hr-HR"/>
        </w:rPr>
      </w:pPr>
    </w:p>
    <w:p w:rsidR="007520B9" w:rsidRPr="006C395F" w:rsidRDefault="007520B9" w:rsidP="0015549A">
      <w:pPr>
        <w:spacing w:line="360" w:lineRule="auto"/>
        <w:jc w:val="center"/>
        <w:rPr>
          <w:rFonts w:asciiTheme="minorHAnsi" w:hAnsiTheme="minorHAnsi" w:cstheme="minorHAnsi"/>
          <w:szCs w:val="22"/>
          <w:lang w:val="hr-HR"/>
        </w:rPr>
      </w:pPr>
    </w:p>
    <w:p w:rsidR="007520B9" w:rsidRPr="006C395F" w:rsidRDefault="007520B9" w:rsidP="0015549A">
      <w:pPr>
        <w:spacing w:line="360" w:lineRule="auto"/>
        <w:jc w:val="center"/>
        <w:rPr>
          <w:rFonts w:asciiTheme="minorHAnsi" w:hAnsiTheme="minorHAnsi" w:cstheme="minorHAnsi"/>
          <w:szCs w:val="22"/>
          <w:lang w:val="hr-HR"/>
        </w:rPr>
      </w:pPr>
    </w:p>
    <w:p w:rsidR="007520B9" w:rsidRPr="006C395F" w:rsidRDefault="007520B9" w:rsidP="0015549A">
      <w:pPr>
        <w:spacing w:line="360" w:lineRule="auto"/>
        <w:jc w:val="center"/>
        <w:rPr>
          <w:rFonts w:asciiTheme="minorHAnsi" w:hAnsiTheme="minorHAnsi" w:cstheme="minorHAnsi"/>
          <w:szCs w:val="22"/>
          <w:lang w:val="hr-HR"/>
        </w:rPr>
      </w:pPr>
    </w:p>
    <w:p w:rsidR="007520B9" w:rsidRPr="006C395F" w:rsidRDefault="007520B9" w:rsidP="0015549A">
      <w:pPr>
        <w:spacing w:line="360" w:lineRule="auto"/>
        <w:jc w:val="center"/>
        <w:rPr>
          <w:rFonts w:asciiTheme="minorHAnsi" w:hAnsiTheme="minorHAnsi" w:cstheme="minorHAnsi"/>
          <w:szCs w:val="22"/>
          <w:lang w:val="hr-HR"/>
        </w:rPr>
      </w:pPr>
    </w:p>
    <w:p w:rsidR="007520B9" w:rsidRPr="006C395F" w:rsidRDefault="007520B9" w:rsidP="0015549A">
      <w:pPr>
        <w:spacing w:line="360" w:lineRule="auto"/>
        <w:jc w:val="center"/>
        <w:rPr>
          <w:rFonts w:asciiTheme="minorHAnsi" w:hAnsiTheme="minorHAnsi" w:cstheme="minorHAnsi"/>
          <w:szCs w:val="22"/>
          <w:lang w:val="hr-HR"/>
        </w:rPr>
      </w:pPr>
    </w:p>
    <w:p w:rsidR="007520B9" w:rsidRPr="006C395F" w:rsidRDefault="00666166" w:rsidP="0015549A">
      <w:pPr>
        <w:spacing w:line="360" w:lineRule="auto"/>
        <w:jc w:val="center"/>
        <w:rPr>
          <w:rFonts w:asciiTheme="minorHAnsi" w:hAnsiTheme="minorHAnsi" w:cstheme="minorHAnsi"/>
          <w:szCs w:val="22"/>
          <w:lang w:val="hr-HR"/>
        </w:rPr>
      </w:pPr>
      <w:r w:rsidRPr="006C395F">
        <w:rPr>
          <w:rFonts w:asciiTheme="minorHAnsi" w:hAnsiTheme="minorHAnsi" w:cstheme="minorHAnsi"/>
          <w:szCs w:val="22"/>
          <w:lang w:val="hr-HR"/>
        </w:rPr>
        <w:t xml:space="preserve">Rajka Lozo, </w:t>
      </w:r>
      <w:r w:rsidR="007520B9" w:rsidRPr="006C395F">
        <w:rPr>
          <w:rFonts w:asciiTheme="minorHAnsi" w:hAnsiTheme="minorHAnsi" w:cstheme="minorHAnsi"/>
          <w:szCs w:val="22"/>
          <w:lang w:val="hr-HR"/>
        </w:rPr>
        <w:t>Ida Dojčinović</w:t>
      </w:r>
    </w:p>
    <w:p w:rsidR="007520B9" w:rsidRPr="006C395F" w:rsidRDefault="007520B9" w:rsidP="0015549A">
      <w:pPr>
        <w:spacing w:line="360" w:lineRule="auto"/>
        <w:jc w:val="center"/>
        <w:rPr>
          <w:rFonts w:asciiTheme="minorHAnsi" w:hAnsiTheme="minorHAnsi" w:cstheme="minorHAnsi"/>
          <w:szCs w:val="22"/>
          <w:lang w:val="hr-HR"/>
        </w:rPr>
      </w:pPr>
    </w:p>
    <w:p w:rsidR="007520B9" w:rsidRPr="006C395F" w:rsidRDefault="00666166" w:rsidP="0015549A">
      <w:pPr>
        <w:spacing w:line="360" w:lineRule="auto"/>
        <w:jc w:val="center"/>
        <w:rPr>
          <w:rStyle w:val="apple-style-span"/>
          <w:rFonts w:asciiTheme="minorHAnsi" w:hAnsiTheme="minorHAnsi" w:cstheme="minorHAnsi"/>
          <w:caps/>
          <w:szCs w:val="22"/>
          <w:lang w:val="hr-HR"/>
        </w:rPr>
      </w:pPr>
      <w:r w:rsidRPr="006C395F">
        <w:rPr>
          <w:rStyle w:val="apple-style-span"/>
          <w:rFonts w:asciiTheme="minorHAnsi" w:hAnsiTheme="minorHAnsi" w:cstheme="minorHAnsi"/>
          <w:caps/>
          <w:szCs w:val="22"/>
          <w:lang w:val="hr-HR"/>
        </w:rPr>
        <w:t>GOVOR MR</w:t>
      </w:r>
      <w:r w:rsidR="006C395F" w:rsidRPr="006C395F">
        <w:rPr>
          <w:rStyle w:val="apple-style-span"/>
          <w:rFonts w:asciiTheme="minorHAnsi" w:hAnsiTheme="minorHAnsi" w:cstheme="minorHAnsi"/>
          <w:caps/>
          <w:szCs w:val="22"/>
          <w:lang w:val="hr-HR"/>
        </w:rPr>
        <w:t>Ž</w:t>
      </w:r>
      <w:r w:rsidRPr="006C395F">
        <w:rPr>
          <w:rStyle w:val="apple-style-span"/>
          <w:rFonts w:asciiTheme="minorHAnsi" w:hAnsiTheme="minorHAnsi" w:cstheme="minorHAnsi"/>
          <w:caps/>
          <w:szCs w:val="22"/>
          <w:lang w:val="hr-HR"/>
        </w:rPr>
        <w:t>NJE NA INTERNETU</w:t>
      </w:r>
      <w:r w:rsidR="00CE0F7E" w:rsidRPr="006C395F">
        <w:rPr>
          <w:rStyle w:val="apple-style-span"/>
          <w:rFonts w:asciiTheme="minorHAnsi" w:hAnsiTheme="minorHAnsi" w:cstheme="minorHAnsi"/>
          <w:caps/>
          <w:szCs w:val="22"/>
          <w:lang w:val="hr-HR"/>
        </w:rPr>
        <w:t xml:space="preserve"> </w:t>
      </w:r>
    </w:p>
    <w:p w:rsidR="00CE0F7E" w:rsidRPr="006C395F" w:rsidRDefault="00CE0F7E" w:rsidP="0015549A">
      <w:pPr>
        <w:spacing w:line="360" w:lineRule="auto"/>
        <w:jc w:val="center"/>
        <w:rPr>
          <w:rStyle w:val="apple-style-span"/>
          <w:rFonts w:asciiTheme="minorHAnsi" w:hAnsiTheme="minorHAnsi" w:cstheme="minorHAnsi"/>
          <w:caps/>
          <w:szCs w:val="22"/>
          <w:lang w:val="hr-HR"/>
        </w:rPr>
      </w:pPr>
      <w:r w:rsidRPr="006C395F">
        <w:rPr>
          <w:rStyle w:val="apple-style-span"/>
          <w:rFonts w:asciiTheme="minorHAnsi" w:hAnsiTheme="minorHAnsi" w:cstheme="minorHAnsi"/>
          <w:caps/>
          <w:szCs w:val="22"/>
          <w:lang w:val="hr-HR"/>
        </w:rPr>
        <w:t>kroz prizmu zaštite ljudskih prava</w:t>
      </w:r>
      <w:r w:rsidR="00031831" w:rsidRPr="006C395F">
        <w:rPr>
          <w:rStyle w:val="apple-style-span"/>
          <w:rFonts w:asciiTheme="minorHAnsi" w:hAnsiTheme="minorHAnsi" w:cstheme="minorHAnsi"/>
          <w:caps/>
          <w:szCs w:val="22"/>
          <w:lang w:val="hr-HR"/>
        </w:rPr>
        <w:t xml:space="preserve"> I TEMELJNIH SLOBODA</w:t>
      </w:r>
    </w:p>
    <w:p w:rsidR="00F03FAA" w:rsidRPr="006C395F" w:rsidRDefault="00F03FAA" w:rsidP="0015549A">
      <w:pPr>
        <w:spacing w:line="360" w:lineRule="auto"/>
        <w:jc w:val="center"/>
        <w:rPr>
          <w:rStyle w:val="apple-style-span"/>
          <w:rFonts w:asciiTheme="minorHAnsi" w:hAnsiTheme="minorHAnsi" w:cstheme="minorHAnsi"/>
          <w:caps/>
          <w:szCs w:val="22"/>
          <w:lang w:val="hr-HR"/>
        </w:rPr>
      </w:pPr>
    </w:p>
    <w:p w:rsidR="00F03FAA" w:rsidRPr="006C395F" w:rsidRDefault="00F03FAA" w:rsidP="0015549A">
      <w:pPr>
        <w:spacing w:line="360" w:lineRule="auto"/>
        <w:jc w:val="center"/>
        <w:rPr>
          <w:rStyle w:val="apple-style-span"/>
          <w:rFonts w:asciiTheme="minorHAnsi" w:hAnsiTheme="minorHAnsi" w:cstheme="minorHAnsi"/>
          <w:caps/>
          <w:szCs w:val="22"/>
          <w:lang w:val="hr-HR"/>
        </w:rPr>
      </w:pPr>
    </w:p>
    <w:p w:rsidR="00F03FAA" w:rsidRPr="006C395F" w:rsidRDefault="00F03FAA" w:rsidP="0015549A">
      <w:pPr>
        <w:spacing w:line="360" w:lineRule="auto"/>
        <w:jc w:val="center"/>
        <w:rPr>
          <w:rFonts w:asciiTheme="minorHAnsi" w:hAnsiTheme="minorHAnsi" w:cstheme="minorHAnsi"/>
          <w:caps/>
          <w:szCs w:val="22"/>
          <w:lang w:val="hr-HR"/>
        </w:rPr>
      </w:pPr>
    </w:p>
    <w:p w:rsidR="007520B9" w:rsidRPr="006C395F" w:rsidRDefault="007520B9" w:rsidP="0015549A">
      <w:pPr>
        <w:spacing w:line="360" w:lineRule="auto"/>
        <w:rPr>
          <w:rFonts w:asciiTheme="minorHAnsi" w:hAnsiTheme="minorHAnsi" w:cstheme="minorHAnsi"/>
          <w:szCs w:val="22"/>
          <w:lang w:val="hr-HR"/>
        </w:rPr>
      </w:pPr>
    </w:p>
    <w:p w:rsidR="007520B9" w:rsidRPr="006C395F" w:rsidRDefault="007520B9" w:rsidP="0015549A">
      <w:pPr>
        <w:spacing w:line="360" w:lineRule="auto"/>
        <w:rPr>
          <w:rFonts w:asciiTheme="minorHAnsi" w:hAnsiTheme="minorHAnsi" w:cstheme="minorHAnsi"/>
          <w:szCs w:val="22"/>
          <w:lang w:val="hr-HR"/>
        </w:rPr>
      </w:pPr>
    </w:p>
    <w:p w:rsidR="007520B9" w:rsidRPr="006C395F" w:rsidRDefault="007520B9" w:rsidP="0015549A">
      <w:pPr>
        <w:spacing w:line="360" w:lineRule="auto"/>
        <w:rPr>
          <w:rFonts w:asciiTheme="minorHAnsi" w:hAnsiTheme="minorHAnsi" w:cstheme="minorHAnsi"/>
          <w:szCs w:val="22"/>
          <w:lang w:val="hr-HR"/>
        </w:rPr>
      </w:pPr>
    </w:p>
    <w:p w:rsidR="007520B9" w:rsidRPr="006C395F" w:rsidRDefault="007520B9" w:rsidP="0015549A">
      <w:pPr>
        <w:spacing w:line="360" w:lineRule="auto"/>
        <w:jc w:val="center"/>
        <w:rPr>
          <w:rFonts w:asciiTheme="minorHAnsi" w:hAnsiTheme="minorHAnsi" w:cstheme="minorHAnsi"/>
          <w:szCs w:val="22"/>
          <w:lang w:val="hr-HR"/>
        </w:rPr>
      </w:pPr>
    </w:p>
    <w:p w:rsidR="007520B9" w:rsidRPr="006C395F" w:rsidRDefault="007520B9" w:rsidP="0015549A">
      <w:pPr>
        <w:spacing w:line="360" w:lineRule="auto"/>
        <w:jc w:val="center"/>
        <w:rPr>
          <w:rFonts w:asciiTheme="minorHAnsi" w:hAnsiTheme="minorHAnsi" w:cstheme="minorHAnsi"/>
          <w:szCs w:val="22"/>
          <w:lang w:val="hr-HR"/>
        </w:rPr>
      </w:pPr>
    </w:p>
    <w:p w:rsidR="007520B9" w:rsidRPr="006C395F" w:rsidRDefault="007520B9" w:rsidP="0015549A">
      <w:pPr>
        <w:spacing w:line="360" w:lineRule="auto"/>
        <w:jc w:val="center"/>
        <w:rPr>
          <w:rFonts w:asciiTheme="minorHAnsi" w:hAnsiTheme="minorHAnsi" w:cstheme="minorHAnsi"/>
          <w:szCs w:val="22"/>
          <w:lang w:val="hr-HR"/>
        </w:rPr>
      </w:pPr>
    </w:p>
    <w:p w:rsidR="007520B9" w:rsidRPr="006C395F" w:rsidRDefault="007520B9" w:rsidP="0015549A">
      <w:pPr>
        <w:spacing w:line="360" w:lineRule="auto"/>
        <w:jc w:val="center"/>
        <w:rPr>
          <w:rFonts w:asciiTheme="minorHAnsi" w:hAnsiTheme="minorHAnsi" w:cstheme="minorHAnsi"/>
          <w:szCs w:val="22"/>
          <w:lang w:val="hr-HR"/>
        </w:rPr>
      </w:pPr>
    </w:p>
    <w:p w:rsidR="007520B9" w:rsidRPr="006C395F" w:rsidRDefault="007520B9" w:rsidP="0015549A">
      <w:pPr>
        <w:spacing w:line="360" w:lineRule="auto"/>
        <w:jc w:val="center"/>
        <w:rPr>
          <w:rFonts w:asciiTheme="minorHAnsi" w:hAnsiTheme="minorHAnsi" w:cstheme="minorHAnsi"/>
          <w:szCs w:val="22"/>
          <w:lang w:val="hr-HR"/>
        </w:rPr>
      </w:pPr>
    </w:p>
    <w:p w:rsidR="007520B9" w:rsidRPr="006C395F" w:rsidRDefault="007520B9" w:rsidP="0015549A">
      <w:pPr>
        <w:spacing w:line="360" w:lineRule="auto"/>
        <w:jc w:val="center"/>
        <w:rPr>
          <w:rFonts w:asciiTheme="minorHAnsi" w:hAnsiTheme="minorHAnsi" w:cstheme="minorHAnsi"/>
          <w:szCs w:val="22"/>
          <w:lang w:val="hr-HR"/>
        </w:rPr>
      </w:pPr>
    </w:p>
    <w:p w:rsidR="007520B9" w:rsidRPr="006C395F" w:rsidRDefault="007520B9" w:rsidP="0015549A">
      <w:pPr>
        <w:spacing w:line="360" w:lineRule="auto"/>
        <w:jc w:val="center"/>
        <w:rPr>
          <w:rFonts w:asciiTheme="minorHAnsi" w:hAnsiTheme="minorHAnsi" w:cstheme="minorHAnsi"/>
          <w:szCs w:val="22"/>
          <w:lang w:val="hr-HR"/>
        </w:rPr>
      </w:pPr>
    </w:p>
    <w:p w:rsidR="007520B9" w:rsidRPr="006C395F" w:rsidRDefault="007520B9" w:rsidP="0015549A">
      <w:pPr>
        <w:spacing w:line="360" w:lineRule="auto"/>
        <w:jc w:val="center"/>
        <w:rPr>
          <w:rFonts w:asciiTheme="minorHAnsi" w:hAnsiTheme="minorHAnsi" w:cstheme="minorHAnsi"/>
          <w:szCs w:val="22"/>
          <w:lang w:val="hr-HR"/>
        </w:rPr>
      </w:pPr>
    </w:p>
    <w:p w:rsidR="007520B9" w:rsidRPr="006C395F" w:rsidRDefault="007520B9" w:rsidP="0015549A">
      <w:pPr>
        <w:spacing w:line="360" w:lineRule="auto"/>
        <w:jc w:val="center"/>
        <w:rPr>
          <w:rFonts w:asciiTheme="minorHAnsi" w:hAnsiTheme="minorHAnsi" w:cstheme="minorHAnsi"/>
          <w:szCs w:val="22"/>
          <w:lang w:val="hr-HR"/>
        </w:rPr>
      </w:pPr>
    </w:p>
    <w:p w:rsidR="007520B9" w:rsidRPr="006C395F" w:rsidRDefault="007520B9" w:rsidP="0015549A">
      <w:pPr>
        <w:spacing w:line="360" w:lineRule="auto"/>
        <w:jc w:val="center"/>
        <w:rPr>
          <w:rFonts w:asciiTheme="minorHAnsi" w:hAnsiTheme="minorHAnsi" w:cstheme="minorHAnsi"/>
          <w:szCs w:val="22"/>
          <w:lang w:val="hr-HR"/>
        </w:rPr>
      </w:pPr>
    </w:p>
    <w:p w:rsidR="007520B9" w:rsidRPr="006C395F" w:rsidRDefault="007520B9" w:rsidP="0015549A">
      <w:pPr>
        <w:spacing w:line="360" w:lineRule="auto"/>
        <w:jc w:val="center"/>
        <w:rPr>
          <w:rFonts w:asciiTheme="minorHAnsi" w:hAnsiTheme="minorHAnsi" w:cstheme="minorHAnsi"/>
          <w:szCs w:val="22"/>
          <w:lang w:val="hr-HR"/>
        </w:rPr>
      </w:pPr>
    </w:p>
    <w:p w:rsidR="007520B9" w:rsidRPr="006C395F" w:rsidRDefault="007520B9" w:rsidP="0015549A">
      <w:pPr>
        <w:spacing w:line="360" w:lineRule="auto"/>
        <w:jc w:val="center"/>
        <w:rPr>
          <w:rFonts w:asciiTheme="minorHAnsi" w:hAnsiTheme="minorHAnsi" w:cstheme="minorHAnsi"/>
          <w:szCs w:val="22"/>
          <w:lang w:val="hr-HR"/>
        </w:rPr>
      </w:pPr>
    </w:p>
    <w:p w:rsidR="007520B9" w:rsidRPr="006C395F" w:rsidRDefault="007520B9" w:rsidP="0015549A">
      <w:pPr>
        <w:spacing w:line="360" w:lineRule="auto"/>
        <w:jc w:val="center"/>
        <w:rPr>
          <w:rFonts w:asciiTheme="minorHAnsi" w:hAnsiTheme="minorHAnsi" w:cstheme="minorHAnsi"/>
          <w:szCs w:val="22"/>
          <w:lang w:val="hr-HR"/>
        </w:rPr>
      </w:pPr>
      <w:r w:rsidRPr="006C395F">
        <w:rPr>
          <w:rFonts w:asciiTheme="minorHAnsi" w:hAnsiTheme="minorHAnsi" w:cstheme="minorHAnsi"/>
          <w:szCs w:val="22"/>
          <w:lang w:val="hr-HR"/>
        </w:rPr>
        <w:t>Zagreb, 201</w:t>
      </w:r>
      <w:r w:rsidR="00666166" w:rsidRPr="006C395F">
        <w:rPr>
          <w:rFonts w:asciiTheme="minorHAnsi" w:hAnsiTheme="minorHAnsi" w:cstheme="minorHAnsi"/>
          <w:szCs w:val="22"/>
          <w:lang w:val="hr-HR"/>
        </w:rPr>
        <w:t>4</w:t>
      </w:r>
      <w:r w:rsidRPr="006C395F">
        <w:rPr>
          <w:rFonts w:asciiTheme="minorHAnsi" w:hAnsiTheme="minorHAnsi" w:cstheme="minorHAnsi"/>
          <w:szCs w:val="22"/>
          <w:lang w:val="hr-HR"/>
        </w:rPr>
        <w:t>.</w:t>
      </w:r>
    </w:p>
    <w:p w:rsidR="00F82DC5" w:rsidRPr="00B830BB" w:rsidRDefault="00F82DC5" w:rsidP="0015549A">
      <w:pPr>
        <w:spacing w:line="360" w:lineRule="auto"/>
        <w:jc w:val="center"/>
        <w:rPr>
          <w:rFonts w:cs="Arial"/>
          <w:szCs w:val="22"/>
          <w:lang w:val="hr-HR"/>
        </w:rPr>
      </w:pPr>
    </w:p>
    <w:p w:rsidR="00F03FAA" w:rsidRPr="00B830BB" w:rsidRDefault="00F03FAA" w:rsidP="0015549A">
      <w:pPr>
        <w:spacing w:line="360" w:lineRule="auto"/>
        <w:rPr>
          <w:rFonts w:cs="Arial"/>
          <w:szCs w:val="22"/>
          <w:lang w:val="hr-HR"/>
        </w:rPr>
      </w:pPr>
      <w:r w:rsidRPr="00B830BB">
        <w:rPr>
          <w:rFonts w:cs="Arial"/>
          <w:szCs w:val="22"/>
          <w:lang w:val="hr-HR"/>
        </w:rPr>
        <w:lastRenderedPageBreak/>
        <w:t xml:space="preserve">Ovaj rad izrađen je na Katedri za </w:t>
      </w:r>
      <w:r w:rsidR="00666166" w:rsidRPr="00B830BB">
        <w:rPr>
          <w:rFonts w:cs="Arial"/>
          <w:szCs w:val="22"/>
          <w:lang w:val="hr-HR"/>
        </w:rPr>
        <w:t>Kazneno procesno pravo</w:t>
      </w:r>
      <w:r w:rsidRPr="00B830BB">
        <w:rPr>
          <w:rFonts w:cs="Arial"/>
          <w:szCs w:val="22"/>
          <w:lang w:val="hr-HR"/>
        </w:rPr>
        <w:t xml:space="preserve"> Pravnog fakulteta u Zagrebu, pod mentorstvom </w:t>
      </w:r>
      <w:r w:rsidR="00EB1395">
        <w:rPr>
          <w:rFonts w:cs="Arial"/>
          <w:szCs w:val="22"/>
          <w:lang w:val="hr-HR"/>
        </w:rPr>
        <w:t xml:space="preserve">izv. </w:t>
      </w:r>
      <w:r w:rsidRPr="00B830BB">
        <w:rPr>
          <w:rFonts w:cs="Arial"/>
          <w:szCs w:val="22"/>
          <w:lang w:val="hr-HR"/>
        </w:rPr>
        <w:t xml:space="preserve">prof. dr. sc. </w:t>
      </w:r>
      <w:r w:rsidR="00666166" w:rsidRPr="00B830BB">
        <w:rPr>
          <w:rFonts w:cs="Arial"/>
          <w:szCs w:val="22"/>
          <w:lang w:val="hr-HR"/>
        </w:rPr>
        <w:t>Elizabete Ivičević Karas</w:t>
      </w:r>
      <w:r w:rsidRPr="00B830BB">
        <w:rPr>
          <w:rFonts w:cs="Arial"/>
          <w:szCs w:val="22"/>
          <w:lang w:val="hr-HR"/>
        </w:rPr>
        <w:t xml:space="preserve"> i predan je na natječaj za dodjelu Rektorove nagrade u akademskoj godini 201</w:t>
      </w:r>
      <w:r w:rsidR="00666166" w:rsidRPr="00B830BB">
        <w:rPr>
          <w:rFonts w:cs="Arial"/>
          <w:szCs w:val="22"/>
          <w:lang w:val="hr-HR"/>
        </w:rPr>
        <w:t>3</w:t>
      </w:r>
      <w:r w:rsidRPr="00B830BB">
        <w:rPr>
          <w:rFonts w:cs="Arial"/>
          <w:szCs w:val="22"/>
          <w:lang w:val="hr-HR"/>
        </w:rPr>
        <w:t>/201</w:t>
      </w:r>
      <w:r w:rsidR="00666166" w:rsidRPr="00B830BB">
        <w:rPr>
          <w:rFonts w:cs="Arial"/>
          <w:szCs w:val="22"/>
          <w:lang w:val="hr-HR"/>
        </w:rPr>
        <w:t>4</w:t>
      </w:r>
      <w:r w:rsidRPr="00B830BB">
        <w:rPr>
          <w:rFonts w:cs="Arial"/>
          <w:szCs w:val="22"/>
          <w:lang w:val="hr-HR"/>
        </w:rPr>
        <w:t>.</w:t>
      </w:r>
    </w:p>
    <w:p w:rsidR="001B6128" w:rsidRDefault="001B6128">
      <w:pPr>
        <w:spacing w:after="200" w:line="276" w:lineRule="auto"/>
        <w:rPr>
          <w:rFonts w:cs="Arial"/>
          <w:szCs w:val="22"/>
          <w:lang w:val="hr-HR"/>
        </w:rPr>
      </w:pPr>
      <w:r>
        <w:rPr>
          <w:rFonts w:cs="Arial"/>
          <w:szCs w:val="22"/>
          <w:lang w:val="hr-HR"/>
        </w:rPr>
        <w:br w:type="page"/>
      </w:r>
    </w:p>
    <w:p w:rsidR="001B6128" w:rsidRDefault="001B6128" w:rsidP="0015549A">
      <w:pPr>
        <w:spacing w:line="360" w:lineRule="auto"/>
        <w:rPr>
          <w:rFonts w:cs="Arial"/>
          <w:szCs w:val="22"/>
          <w:lang w:val="hr-HR"/>
        </w:rPr>
        <w:sectPr w:rsidR="001B6128" w:rsidSect="00DA7F30">
          <w:headerReference w:type="default" r:id="rId31"/>
          <w:footerReference w:type="default" r:id="rId32"/>
          <w:pgSz w:w="11906" w:h="16838" w:code="9"/>
          <w:pgMar w:top="1418" w:right="1418" w:bottom="1418" w:left="1418" w:header="709" w:footer="709" w:gutter="0"/>
          <w:pgNumType w:start="1"/>
          <w:cols w:space="708"/>
          <w:docGrid w:linePitch="360"/>
        </w:sectPr>
      </w:pPr>
    </w:p>
    <w:p w:rsidR="00F03FAA" w:rsidRPr="00741C57" w:rsidRDefault="00C14A1A" w:rsidP="0015549A">
      <w:pPr>
        <w:spacing w:line="360" w:lineRule="auto"/>
        <w:rPr>
          <w:rFonts w:cs="Arial"/>
          <w:b/>
          <w:sz w:val="28"/>
          <w:szCs w:val="28"/>
          <w:lang w:val="hr-HR"/>
        </w:rPr>
      </w:pPr>
      <w:r w:rsidRPr="00741C57">
        <w:rPr>
          <w:rFonts w:cs="Arial"/>
          <w:b/>
          <w:sz w:val="28"/>
          <w:szCs w:val="28"/>
          <w:lang w:val="hr-HR"/>
        </w:rPr>
        <w:lastRenderedPageBreak/>
        <w:t xml:space="preserve">Tumač </w:t>
      </w:r>
      <w:r w:rsidR="00F03FAA" w:rsidRPr="00741C57">
        <w:rPr>
          <w:rFonts w:cs="Arial"/>
          <w:b/>
          <w:sz w:val="28"/>
          <w:szCs w:val="28"/>
          <w:lang w:val="hr-HR"/>
        </w:rPr>
        <w:t xml:space="preserve"> kratica </w:t>
      </w:r>
    </w:p>
    <w:p w:rsidR="00F03FAA" w:rsidRPr="00B830BB" w:rsidRDefault="00F03FAA" w:rsidP="0015549A">
      <w:pPr>
        <w:spacing w:line="360" w:lineRule="auto"/>
        <w:rPr>
          <w:rFonts w:cs="Arial"/>
          <w:szCs w:val="22"/>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12"/>
        <w:gridCol w:w="6813"/>
      </w:tblGrid>
      <w:tr w:rsidR="003B23E2" w:rsidRPr="0066355E" w:rsidTr="00512EE7">
        <w:trPr>
          <w:trHeight w:val="379"/>
        </w:trPr>
        <w:tc>
          <w:tcPr>
            <w:tcW w:w="1812" w:type="dxa"/>
            <w:vAlign w:val="center"/>
          </w:tcPr>
          <w:p w:rsidR="003B23E2" w:rsidRPr="00B830BB" w:rsidRDefault="003B23E2" w:rsidP="00FD218D">
            <w:pPr>
              <w:spacing w:line="360" w:lineRule="auto"/>
              <w:rPr>
                <w:rFonts w:cs="Arial"/>
                <w:lang w:val="hr-HR"/>
              </w:rPr>
            </w:pPr>
            <w:r w:rsidRPr="00B830BB">
              <w:rPr>
                <w:rFonts w:cs="Arial"/>
                <w:lang w:val="hr-HR"/>
              </w:rPr>
              <w:t>EKLJP</w:t>
            </w:r>
          </w:p>
        </w:tc>
        <w:tc>
          <w:tcPr>
            <w:tcW w:w="6813" w:type="dxa"/>
            <w:vAlign w:val="center"/>
          </w:tcPr>
          <w:p w:rsidR="003B23E2" w:rsidRPr="00B830BB" w:rsidRDefault="003B23E2" w:rsidP="00FD218D">
            <w:pPr>
              <w:spacing w:line="360" w:lineRule="auto"/>
              <w:rPr>
                <w:rFonts w:cs="Arial"/>
                <w:lang w:val="hr-HR"/>
              </w:rPr>
            </w:pPr>
            <w:r w:rsidRPr="00B830BB">
              <w:rPr>
                <w:rFonts w:cs="Arial"/>
                <w:lang w:val="hr-HR"/>
              </w:rPr>
              <w:t xml:space="preserve">Europska konvencija za zaštitu ljudskih Prava i temeljnih </w:t>
            </w:r>
            <w:r w:rsidR="00AB7AC5" w:rsidRPr="00B830BB">
              <w:rPr>
                <w:rFonts w:cs="Arial"/>
                <w:lang w:val="hr-HR"/>
              </w:rPr>
              <w:t>sloboda</w:t>
            </w:r>
          </w:p>
        </w:tc>
      </w:tr>
      <w:tr w:rsidR="00236CDE" w:rsidRPr="00B830BB" w:rsidTr="00512EE7">
        <w:trPr>
          <w:trHeight w:val="379"/>
        </w:trPr>
        <w:tc>
          <w:tcPr>
            <w:tcW w:w="1812" w:type="dxa"/>
            <w:vAlign w:val="center"/>
          </w:tcPr>
          <w:p w:rsidR="00236CDE" w:rsidRPr="00B830BB" w:rsidRDefault="00F64B7D" w:rsidP="00FD218D">
            <w:pPr>
              <w:spacing w:line="360" w:lineRule="auto"/>
              <w:rPr>
                <w:rFonts w:cs="Arial"/>
                <w:lang w:val="hr-HR"/>
              </w:rPr>
            </w:pPr>
            <w:r w:rsidRPr="00B830BB">
              <w:rPr>
                <w:rFonts w:cs="Arial"/>
                <w:lang w:val="hr-HR"/>
              </w:rPr>
              <w:t>EU</w:t>
            </w:r>
          </w:p>
        </w:tc>
        <w:tc>
          <w:tcPr>
            <w:tcW w:w="6813" w:type="dxa"/>
            <w:vAlign w:val="center"/>
          </w:tcPr>
          <w:p w:rsidR="00236CDE" w:rsidRPr="00B830BB" w:rsidRDefault="00F64B7D" w:rsidP="00FD218D">
            <w:pPr>
              <w:spacing w:line="360" w:lineRule="auto"/>
              <w:rPr>
                <w:rFonts w:cs="Arial"/>
                <w:lang w:val="hr-HR"/>
              </w:rPr>
            </w:pPr>
            <w:r w:rsidRPr="00B830BB">
              <w:rPr>
                <w:rFonts w:cs="Arial"/>
                <w:lang w:val="hr-HR"/>
              </w:rPr>
              <w:t>Europska unija</w:t>
            </w:r>
          </w:p>
        </w:tc>
      </w:tr>
      <w:tr w:rsidR="00811B3A" w:rsidRPr="00B830BB" w:rsidTr="00512EE7">
        <w:trPr>
          <w:trHeight w:val="379"/>
        </w:trPr>
        <w:tc>
          <w:tcPr>
            <w:tcW w:w="1812" w:type="dxa"/>
            <w:vAlign w:val="center"/>
          </w:tcPr>
          <w:p w:rsidR="00811B3A" w:rsidRPr="00B830BB" w:rsidRDefault="00811B3A" w:rsidP="002B2C3D">
            <w:pPr>
              <w:spacing w:line="360" w:lineRule="auto"/>
              <w:rPr>
                <w:rFonts w:cs="Arial"/>
                <w:lang w:val="hr-HR"/>
              </w:rPr>
            </w:pPr>
            <w:r w:rsidRPr="00B830BB">
              <w:rPr>
                <w:rFonts w:cs="Arial"/>
                <w:lang w:val="hr-HR"/>
              </w:rPr>
              <w:t>KZ</w:t>
            </w:r>
          </w:p>
        </w:tc>
        <w:tc>
          <w:tcPr>
            <w:tcW w:w="6813" w:type="dxa"/>
            <w:vAlign w:val="center"/>
          </w:tcPr>
          <w:p w:rsidR="00811B3A" w:rsidRPr="00B830BB" w:rsidRDefault="00811B3A" w:rsidP="002B2C3D">
            <w:pPr>
              <w:spacing w:line="360" w:lineRule="auto"/>
              <w:rPr>
                <w:rFonts w:cs="Arial"/>
                <w:lang w:val="hr-HR"/>
              </w:rPr>
            </w:pPr>
            <w:r w:rsidRPr="00B830BB">
              <w:rPr>
                <w:rFonts w:cs="Arial"/>
                <w:lang w:val="hr-HR"/>
              </w:rPr>
              <w:t>Kazneni zakon</w:t>
            </w:r>
          </w:p>
        </w:tc>
      </w:tr>
      <w:tr w:rsidR="00811B3A" w:rsidRPr="00B830BB" w:rsidTr="00512EE7">
        <w:trPr>
          <w:trHeight w:val="379"/>
        </w:trPr>
        <w:tc>
          <w:tcPr>
            <w:tcW w:w="1812" w:type="dxa"/>
            <w:vAlign w:val="center"/>
          </w:tcPr>
          <w:p w:rsidR="00811B3A" w:rsidRPr="00B830BB" w:rsidRDefault="00811B3A" w:rsidP="002B2C3D">
            <w:pPr>
              <w:spacing w:line="360" w:lineRule="auto"/>
              <w:rPr>
                <w:rFonts w:cs="Arial"/>
                <w:lang w:val="hr-HR"/>
              </w:rPr>
            </w:pPr>
            <w:r w:rsidRPr="00B830BB">
              <w:rPr>
                <w:rFonts w:cs="Arial"/>
                <w:lang w:val="hr-HR"/>
              </w:rPr>
              <w:t>KZ/97</w:t>
            </w:r>
          </w:p>
        </w:tc>
        <w:tc>
          <w:tcPr>
            <w:tcW w:w="6813" w:type="dxa"/>
            <w:vAlign w:val="center"/>
          </w:tcPr>
          <w:p w:rsidR="00811B3A" w:rsidRPr="00B830BB" w:rsidRDefault="00811B3A" w:rsidP="002B2C3D">
            <w:pPr>
              <w:spacing w:line="360" w:lineRule="auto"/>
              <w:rPr>
                <w:rFonts w:cs="Arial"/>
                <w:lang w:val="hr-HR"/>
              </w:rPr>
            </w:pPr>
            <w:r w:rsidRPr="00B830BB">
              <w:rPr>
                <w:rFonts w:cs="Arial"/>
                <w:lang w:val="hr-HR"/>
              </w:rPr>
              <w:t xml:space="preserve">Raniji Kazneni zakon </w:t>
            </w:r>
          </w:p>
        </w:tc>
      </w:tr>
      <w:tr w:rsidR="00811B3A" w:rsidRPr="00B830BB" w:rsidTr="00512EE7">
        <w:trPr>
          <w:trHeight w:val="379"/>
        </w:trPr>
        <w:tc>
          <w:tcPr>
            <w:tcW w:w="1812" w:type="dxa"/>
            <w:vAlign w:val="center"/>
          </w:tcPr>
          <w:p w:rsidR="00811B3A" w:rsidRPr="00B830BB" w:rsidRDefault="00811B3A" w:rsidP="002B2C3D">
            <w:pPr>
              <w:spacing w:line="360" w:lineRule="auto"/>
              <w:rPr>
                <w:rFonts w:cs="Arial"/>
                <w:lang w:val="hr-HR"/>
              </w:rPr>
            </w:pPr>
            <w:r>
              <w:rPr>
                <w:rFonts w:cs="Arial"/>
                <w:lang w:val="hr-HR"/>
              </w:rPr>
              <w:t>SAD</w:t>
            </w:r>
          </w:p>
        </w:tc>
        <w:tc>
          <w:tcPr>
            <w:tcW w:w="6813" w:type="dxa"/>
            <w:vAlign w:val="center"/>
          </w:tcPr>
          <w:p w:rsidR="00811B3A" w:rsidRPr="00B830BB" w:rsidRDefault="00811B3A" w:rsidP="002B2C3D">
            <w:pPr>
              <w:spacing w:line="360" w:lineRule="auto"/>
              <w:rPr>
                <w:rFonts w:cs="Arial"/>
                <w:lang w:val="hr-HR"/>
              </w:rPr>
            </w:pPr>
            <w:r>
              <w:rPr>
                <w:rFonts w:cs="Arial"/>
                <w:lang w:val="hr-HR"/>
              </w:rPr>
              <w:t>Sjedinjene Američke Države</w:t>
            </w:r>
          </w:p>
        </w:tc>
      </w:tr>
      <w:tr w:rsidR="00811B3A" w:rsidRPr="00B830BB" w:rsidTr="00512EE7">
        <w:trPr>
          <w:trHeight w:val="394"/>
        </w:trPr>
        <w:tc>
          <w:tcPr>
            <w:tcW w:w="1812" w:type="dxa"/>
            <w:vAlign w:val="center"/>
          </w:tcPr>
          <w:p w:rsidR="00811B3A" w:rsidRPr="00B830BB" w:rsidRDefault="00811B3A" w:rsidP="002B2C3D">
            <w:pPr>
              <w:spacing w:line="360" w:lineRule="auto"/>
              <w:rPr>
                <w:rFonts w:cs="Arial"/>
                <w:lang w:val="hr-HR"/>
              </w:rPr>
            </w:pPr>
            <w:r w:rsidRPr="00B830BB">
              <w:rPr>
                <w:rFonts w:cs="Arial"/>
                <w:lang w:val="hr-HR"/>
              </w:rPr>
              <w:t>UN</w:t>
            </w:r>
          </w:p>
        </w:tc>
        <w:tc>
          <w:tcPr>
            <w:tcW w:w="6813" w:type="dxa"/>
            <w:vAlign w:val="center"/>
          </w:tcPr>
          <w:p w:rsidR="00811B3A" w:rsidRPr="00B830BB" w:rsidRDefault="00811B3A" w:rsidP="002B2C3D">
            <w:pPr>
              <w:spacing w:line="360" w:lineRule="auto"/>
              <w:rPr>
                <w:rFonts w:cs="Arial"/>
                <w:lang w:val="hr-HR"/>
              </w:rPr>
            </w:pPr>
            <w:r w:rsidRPr="00B830BB">
              <w:rPr>
                <w:rFonts w:cs="Arial"/>
                <w:lang w:val="hr-HR"/>
              </w:rPr>
              <w:t>Ujedinjeni narodi</w:t>
            </w:r>
          </w:p>
        </w:tc>
      </w:tr>
      <w:tr w:rsidR="00E677FD" w:rsidRPr="00B830BB" w:rsidTr="00512EE7">
        <w:trPr>
          <w:trHeight w:val="394"/>
        </w:trPr>
        <w:tc>
          <w:tcPr>
            <w:tcW w:w="1812" w:type="dxa"/>
            <w:vAlign w:val="center"/>
          </w:tcPr>
          <w:p w:rsidR="00E677FD" w:rsidRPr="00B830BB" w:rsidRDefault="00E677FD" w:rsidP="002B2C3D">
            <w:pPr>
              <w:spacing w:line="360" w:lineRule="auto"/>
              <w:rPr>
                <w:rFonts w:cs="Arial"/>
                <w:lang w:val="hr-HR"/>
              </w:rPr>
            </w:pPr>
            <w:r>
              <w:rPr>
                <w:rFonts w:cs="Arial"/>
                <w:lang w:val="hr-HR"/>
              </w:rPr>
              <w:t>RH</w:t>
            </w:r>
          </w:p>
        </w:tc>
        <w:tc>
          <w:tcPr>
            <w:tcW w:w="6813" w:type="dxa"/>
            <w:vAlign w:val="center"/>
          </w:tcPr>
          <w:p w:rsidR="00E677FD" w:rsidRPr="00B830BB" w:rsidRDefault="00E677FD" w:rsidP="002B2C3D">
            <w:pPr>
              <w:spacing w:line="360" w:lineRule="auto"/>
              <w:rPr>
                <w:rFonts w:cs="Arial"/>
                <w:lang w:val="hr-HR"/>
              </w:rPr>
            </w:pPr>
            <w:r>
              <w:rPr>
                <w:rFonts w:cs="Arial"/>
                <w:lang w:val="hr-HR"/>
              </w:rPr>
              <w:t>Republika Hrvatska</w:t>
            </w:r>
          </w:p>
        </w:tc>
      </w:tr>
      <w:tr w:rsidR="00811B3A" w:rsidRPr="00B830BB" w:rsidTr="00512EE7">
        <w:trPr>
          <w:trHeight w:val="394"/>
        </w:trPr>
        <w:tc>
          <w:tcPr>
            <w:tcW w:w="1812" w:type="dxa"/>
            <w:vAlign w:val="center"/>
          </w:tcPr>
          <w:p w:rsidR="00811B3A" w:rsidRPr="00B830BB" w:rsidRDefault="00811B3A" w:rsidP="002B2C3D">
            <w:pPr>
              <w:spacing w:line="360" w:lineRule="auto"/>
              <w:rPr>
                <w:rFonts w:cs="Arial"/>
                <w:lang w:val="hr-HR"/>
              </w:rPr>
            </w:pPr>
            <w:r w:rsidRPr="00B830BB">
              <w:rPr>
                <w:rFonts w:cs="Arial"/>
                <w:lang w:val="hr-HR"/>
              </w:rPr>
              <w:t>ZET</w:t>
            </w:r>
          </w:p>
        </w:tc>
        <w:tc>
          <w:tcPr>
            <w:tcW w:w="6813" w:type="dxa"/>
            <w:vAlign w:val="center"/>
          </w:tcPr>
          <w:p w:rsidR="00811B3A" w:rsidRPr="00B830BB" w:rsidRDefault="00811B3A" w:rsidP="002B2C3D">
            <w:pPr>
              <w:spacing w:line="360" w:lineRule="auto"/>
              <w:rPr>
                <w:rFonts w:cs="Arial"/>
                <w:lang w:val="hr-HR"/>
              </w:rPr>
            </w:pPr>
            <w:r w:rsidRPr="00B830BB">
              <w:rPr>
                <w:rFonts w:cs="Arial"/>
                <w:lang w:val="hr-HR"/>
              </w:rPr>
              <w:t>Zakon o elektroničkoj trgovini</w:t>
            </w:r>
          </w:p>
        </w:tc>
      </w:tr>
      <w:tr w:rsidR="00811B3A" w:rsidRPr="00B830BB" w:rsidTr="00512EE7">
        <w:trPr>
          <w:trHeight w:val="394"/>
        </w:trPr>
        <w:tc>
          <w:tcPr>
            <w:tcW w:w="1812" w:type="dxa"/>
            <w:vAlign w:val="center"/>
          </w:tcPr>
          <w:p w:rsidR="00811B3A" w:rsidRPr="00B830BB" w:rsidRDefault="00811B3A" w:rsidP="002B2C3D">
            <w:pPr>
              <w:spacing w:line="360" w:lineRule="auto"/>
              <w:rPr>
                <w:rFonts w:cs="Arial"/>
                <w:lang w:val="hr-HR"/>
              </w:rPr>
            </w:pPr>
            <w:r w:rsidRPr="00B830BB">
              <w:rPr>
                <w:rFonts w:cs="Arial"/>
                <w:lang w:val="hr-HR"/>
              </w:rPr>
              <w:t>ZKP</w:t>
            </w:r>
          </w:p>
        </w:tc>
        <w:tc>
          <w:tcPr>
            <w:tcW w:w="6813" w:type="dxa"/>
            <w:vAlign w:val="center"/>
          </w:tcPr>
          <w:p w:rsidR="00811B3A" w:rsidRPr="00B830BB" w:rsidRDefault="00811B3A" w:rsidP="002B2C3D">
            <w:pPr>
              <w:spacing w:line="360" w:lineRule="auto"/>
              <w:rPr>
                <w:rFonts w:cs="Arial"/>
                <w:lang w:val="hr-HR"/>
              </w:rPr>
            </w:pPr>
            <w:r w:rsidRPr="00B830BB">
              <w:rPr>
                <w:rFonts w:cs="Arial"/>
                <w:lang w:val="hr-HR"/>
              </w:rPr>
              <w:t>Zakon o kaznenom postupku</w:t>
            </w:r>
          </w:p>
        </w:tc>
      </w:tr>
      <w:tr w:rsidR="00F15AAF" w:rsidRPr="00B830BB" w:rsidTr="00512EE7">
        <w:trPr>
          <w:trHeight w:val="394"/>
        </w:trPr>
        <w:tc>
          <w:tcPr>
            <w:tcW w:w="1812" w:type="dxa"/>
            <w:vAlign w:val="center"/>
          </w:tcPr>
          <w:p w:rsidR="00F15AAF" w:rsidRPr="00B830BB" w:rsidRDefault="00F15AAF" w:rsidP="002B2C3D">
            <w:pPr>
              <w:spacing w:line="360" w:lineRule="auto"/>
              <w:rPr>
                <w:rFonts w:cs="Arial"/>
                <w:lang w:val="hr-HR"/>
              </w:rPr>
            </w:pPr>
            <w:r>
              <w:rPr>
                <w:rFonts w:cs="Arial"/>
                <w:lang w:val="hr-HR"/>
              </w:rPr>
              <w:t>ZOMPO</w:t>
            </w:r>
          </w:p>
        </w:tc>
        <w:tc>
          <w:tcPr>
            <w:tcW w:w="6813" w:type="dxa"/>
            <w:vAlign w:val="center"/>
          </w:tcPr>
          <w:p w:rsidR="00F15AAF" w:rsidRPr="00B830BB" w:rsidRDefault="00031831" w:rsidP="002B2C3D">
            <w:pPr>
              <w:spacing w:line="360" w:lineRule="auto"/>
              <w:rPr>
                <w:rFonts w:cs="Arial"/>
                <w:lang w:val="hr-HR"/>
              </w:rPr>
            </w:pPr>
            <w:r w:rsidRPr="00F3693E">
              <w:rPr>
                <w:rFonts w:cs="Arial"/>
                <w:lang w:val="hr-HR"/>
              </w:rPr>
              <w:t>Zakon o međunarodn</w:t>
            </w:r>
            <w:r>
              <w:rPr>
                <w:rFonts w:cs="Arial"/>
                <w:lang w:val="hr-HR"/>
              </w:rPr>
              <w:t>oj</w:t>
            </w:r>
            <w:r w:rsidRPr="00F3693E">
              <w:rPr>
                <w:rFonts w:cs="Arial"/>
                <w:lang w:val="hr-HR"/>
              </w:rPr>
              <w:t xml:space="preserve"> pravn</w:t>
            </w:r>
            <w:r>
              <w:rPr>
                <w:rFonts w:cs="Arial"/>
                <w:lang w:val="hr-HR"/>
              </w:rPr>
              <w:t>oj</w:t>
            </w:r>
            <w:r w:rsidRPr="00F3693E">
              <w:rPr>
                <w:rFonts w:cs="Arial"/>
                <w:lang w:val="hr-HR"/>
              </w:rPr>
              <w:t xml:space="preserve"> pomoći u kaznenim stvarima</w:t>
            </w:r>
          </w:p>
        </w:tc>
      </w:tr>
      <w:tr w:rsidR="00811B3A" w:rsidRPr="00B830BB" w:rsidTr="00512EE7">
        <w:trPr>
          <w:trHeight w:val="394"/>
        </w:trPr>
        <w:tc>
          <w:tcPr>
            <w:tcW w:w="1812" w:type="dxa"/>
            <w:vAlign w:val="center"/>
          </w:tcPr>
          <w:p w:rsidR="00811B3A" w:rsidRPr="00B830BB" w:rsidRDefault="00811B3A" w:rsidP="002B2C3D">
            <w:pPr>
              <w:spacing w:line="360" w:lineRule="auto"/>
              <w:rPr>
                <w:rFonts w:cs="Arial"/>
                <w:lang w:val="hr-HR"/>
              </w:rPr>
            </w:pPr>
            <w:r w:rsidRPr="00B830BB">
              <w:rPr>
                <w:rFonts w:cs="Arial"/>
                <w:lang w:val="hr-HR"/>
              </w:rPr>
              <w:t>ZRS</w:t>
            </w:r>
          </w:p>
        </w:tc>
        <w:tc>
          <w:tcPr>
            <w:tcW w:w="6813" w:type="dxa"/>
            <w:vAlign w:val="center"/>
          </w:tcPr>
          <w:p w:rsidR="00811B3A" w:rsidRPr="00B830BB" w:rsidRDefault="00811B3A" w:rsidP="002B2C3D">
            <w:pPr>
              <w:spacing w:line="360" w:lineRule="auto"/>
              <w:rPr>
                <w:rFonts w:cs="Arial"/>
                <w:lang w:val="hr-HR"/>
              </w:rPr>
            </w:pPr>
            <w:r w:rsidRPr="00B830BB">
              <w:rPr>
                <w:rFonts w:cs="Arial"/>
                <w:lang w:val="hr-HR"/>
              </w:rPr>
              <w:t>Zakon o ravnopravnosti spolova</w:t>
            </w:r>
          </w:p>
        </w:tc>
      </w:tr>
      <w:tr w:rsidR="00512EE7" w:rsidRPr="00B830BB" w:rsidTr="00512EE7">
        <w:trPr>
          <w:trHeight w:val="394"/>
        </w:trPr>
        <w:tc>
          <w:tcPr>
            <w:tcW w:w="1812" w:type="dxa"/>
            <w:vAlign w:val="center"/>
          </w:tcPr>
          <w:p w:rsidR="00512EE7" w:rsidRPr="00B830BB" w:rsidRDefault="00512EE7" w:rsidP="002B2C3D">
            <w:pPr>
              <w:spacing w:line="360" w:lineRule="auto"/>
              <w:rPr>
                <w:rFonts w:cs="Arial"/>
                <w:lang w:val="hr-HR"/>
              </w:rPr>
            </w:pPr>
            <w:r>
              <w:rPr>
                <w:rFonts w:cs="Arial"/>
                <w:lang w:val="hr-HR"/>
              </w:rPr>
              <w:t>ZSD</w:t>
            </w:r>
          </w:p>
        </w:tc>
        <w:tc>
          <w:tcPr>
            <w:tcW w:w="6813" w:type="dxa"/>
            <w:vAlign w:val="center"/>
          </w:tcPr>
          <w:p w:rsidR="00512EE7" w:rsidRPr="00B830BB" w:rsidRDefault="00512EE7" w:rsidP="002B2C3D">
            <w:pPr>
              <w:spacing w:line="360" w:lineRule="auto"/>
              <w:rPr>
                <w:rFonts w:cs="Arial"/>
                <w:lang w:val="hr-HR"/>
              </w:rPr>
            </w:pPr>
            <w:r>
              <w:rPr>
                <w:rFonts w:cs="Arial"/>
                <w:lang w:val="hr-HR"/>
              </w:rPr>
              <w:t>Zakon o suzbijanju diskriminacije</w:t>
            </w:r>
          </w:p>
        </w:tc>
      </w:tr>
    </w:tbl>
    <w:p w:rsidR="00F03FAA" w:rsidRPr="00B830BB" w:rsidRDefault="00F03FAA" w:rsidP="0015549A">
      <w:pPr>
        <w:spacing w:line="360" w:lineRule="auto"/>
        <w:rPr>
          <w:rFonts w:cs="Arial"/>
          <w:szCs w:val="22"/>
          <w:lang w:val="hr-HR"/>
        </w:rPr>
      </w:pPr>
    </w:p>
    <w:p w:rsidR="00F03FAA" w:rsidRPr="00B830BB" w:rsidRDefault="00F03FAA" w:rsidP="0015549A">
      <w:pPr>
        <w:spacing w:line="360" w:lineRule="auto"/>
        <w:rPr>
          <w:rFonts w:cs="Arial"/>
          <w:szCs w:val="22"/>
          <w:lang w:val="hr-HR"/>
        </w:rPr>
      </w:pPr>
    </w:p>
    <w:p w:rsidR="00F03FAA" w:rsidRPr="00B830BB" w:rsidRDefault="00F03FAA" w:rsidP="0015549A">
      <w:pPr>
        <w:spacing w:line="360" w:lineRule="auto"/>
        <w:rPr>
          <w:rFonts w:cs="Arial"/>
          <w:szCs w:val="22"/>
          <w:lang w:val="hr-HR"/>
        </w:rPr>
      </w:pPr>
    </w:p>
    <w:p w:rsidR="00F03FAA" w:rsidRPr="00B830BB" w:rsidRDefault="00F03FAA" w:rsidP="0015549A">
      <w:pPr>
        <w:spacing w:line="360" w:lineRule="auto"/>
        <w:rPr>
          <w:rFonts w:cs="Arial"/>
          <w:szCs w:val="22"/>
          <w:lang w:val="hr-HR"/>
        </w:rPr>
      </w:pPr>
    </w:p>
    <w:p w:rsidR="00F03FAA" w:rsidRPr="00B830BB" w:rsidRDefault="00F03FAA" w:rsidP="0015549A">
      <w:pPr>
        <w:spacing w:line="360" w:lineRule="auto"/>
        <w:rPr>
          <w:rFonts w:cs="Arial"/>
          <w:szCs w:val="22"/>
          <w:lang w:val="hr-HR"/>
        </w:rPr>
      </w:pPr>
    </w:p>
    <w:p w:rsidR="00F03FAA" w:rsidRPr="00B830BB" w:rsidRDefault="00F03FAA" w:rsidP="002C797B">
      <w:pPr>
        <w:spacing w:line="360" w:lineRule="auto"/>
        <w:jc w:val="right"/>
        <w:rPr>
          <w:rFonts w:cs="Arial"/>
          <w:szCs w:val="22"/>
          <w:lang w:val="hr-HR"/>
        </w:rPr>
      </w:pPr>
    </w:p>
    <w:p w:rsidR="00F03FAA" w:rsidRPr="00B830BB" w:rsidRDefault="00F03FAA" w:rsidP="0015549A">
      <w:pPr>
        <w:spacing w:line="360" w:lineRule="auto"/>
        <w:rPr>
          <w:rFonts w:cs="Arial"/>
          <w:szCs w:val="22"/>
          <w:lang w:val="hr-HR"/>
        </w:rPr>
      </w:pPr>
    </w:p>
    <w:p w:rsidR="00F03FAA" w:rsidRPr="00B830BB" w:rsidRDefault="00F03FAA" w:rsidP="0015549A">
      <w:pPr>
        <w:spacing w:line="360" w:lineRule="auto"/>
        <w:rPr>
          <w:rFonts w:cs="Arial"/>
          <w:szCs w:val="22"/>
          <w:lang w:val="hr-HR"/>
        </w:rPr>
      </w:pPr>
    </w:p>
    <w:p w:rsidR="00F03FAA" w:rsidRPr="00B830BB" w:rsidRDefault="00F03FAA" w:rsidP="0015549A">
      <w:pPr>
        <w:spacing w:line="360" w:lineRule="auto"/>
        <w:rPr>
          <w:rFonts w:cs="Arial"/>
          <w:szCs w:val="22"/>
          <w:lang w:val="hr-HR"/>
        </w:rPr>
      </w:pPr>
    </w:p>
    <w:p w:rsidR="00F03FAA" w:rsidRPr="00B830BB" w:rsidRDefault="00F03FAA" w:rsidP="0015549A">
      <w:pPr>
        <w:spacing w:line="360" w:lineRule="auto"/>
        <w:rPr>
          <w:rFonts w:cs="Arial"/>
          <w:szCs w:val="22"/>
          <w:lang w:val="hr-HR"/>
        </w:rPr>
      </w:pPr>
    </w:p>
    <w:p w:rsidR="00F03FAA" w:rsidRPr="00B830BB" w:rsidRDefault="00F03FAA" w:rsidP="0015549A">
      <w:pPr>
        <w:spacing w:line="360" w:lineRule="auto"/>
        <w:rPr>
          <w:rFonts w:cs="Arial"/>
          <w:szCs w:val="22"/>
          <w:lang w:val="hr-HR"/>
        </w:rPr>
      </w:pPr>
    </w:p>
    <w:p w:rsidR="00F03FAA" w:rsidRPr="00B830BB" w:rsidRDefault="00F03FAA" w:rsidP="0015549A">
      <w:pPr>
        <w:spacing w:line="360" w:lineRule="auto"/>
        <w:rPr>
          <w:rFonts w:cs="Arial"/>
          <w:szCs w:val="22"/>
          <w:lang w:val="hr-HR"/>
        </w:rPr>
      </w:pPr>
    </w:p>
    <w:p w:rsidR="00F03FAA" w:rsidRPr="00B830BB" w:rsidRDefault="00F03FAA" w:rsidP="0015549A">
      <w:pPr>
        <w:spacing w:line="360" w:lineRule="auto"/>
        <w:rPr>
          <w:rFonts w:cs="Arial"/>
          <w:szCs w:val="22"/>
          <w:lang w:val="hr-HR"/>
        </w:rPr>
      </w:pPr>
    </w:p>
    <w:p w:rsidR="00F03FAA" w:rsidRPr="00B830BB" w:rsidRDefault="00F03FAA" w:rsidP="0015549A">
      <w:pPr>
        <w:spacing w:line="360" w:lineRule="auto"/>
        <w:rPr>
          <w:rFonts w:cs="Arial"/>
          <w:szCs w:val="22"/>
          <w:lang w:val="hr-HR"/>
        </w:rPr>
      </w:pPr>
    </w:p>
    <w:p w:rsidR="00F03FAA" w:rsidRPr="00B830BB" w:rsidRDefault="00F03FAA" w:rsidP="0015549A">
      <w:pPr>
        <w:spacing w:line="360" w:lineRule="auto"/>
        <w:rPr>
          <w:rFonts w:cs="Arial"/>
          <w:szCs w:val="22"/>
          <w:lang w:val="hr-HR"/>
        </w:rPr>
      </w:pPr>
    </w:p>
    <w:p w:rsidR="00F03FAA" w:rsidRPr="00B830BB" w:rsidRDefault="00F03FAA" w:rsidP="0015549A">
      <w:pPr>
        <w:spacing w:line="360" w:lineRule="auto"/>
        <w:rPr>
          <w:rFonts w:cs="Arial"/>
          <w:szCs w:val="22"/>
          <w:lang w:val="hr-HR"/>
        </w:rPr>
      </w:pPr>
    </w:p>
    <w:p w:rsidR="00F03FAA" w:rsidRPr="00B830BB" w:rsidRDefault="00F03FAA" w:rsidP="0015549A">
      <w:pPr>
        <w:spacing w:line="360" w:lineRule="auto"/>
        <w:rPr>
          <w:rFonts w:cs="Arial"/>
          <w:szCs w:val="22"/>
          <w:lang w:val="hr-HR"/>
        </w:rPr>
      </w:pPr>
    </w:p>
    <w:p w:rsidR="00F03FAA" w:rsidRPr="00B830BB" w:rsidRDefault="00F03FAA" w:rsidP="0015549A">
      <w:pPr>
        <w:spacing w:line="360" w:lineRule="auto"/>
        <w:rPr>
          <w:rFonts w:cs="Arial"/>
          <w:szCs w:val="22"/>
          <w:lang w:val="hr-HR"/>
        </w:rPr>
      </w:pPr>
    </w:p>
    <w:p w:rsidR="00F03FAA" w:rsidRPr="00B830BB" w:rsidRDefault="00F03FAA" w:rsidP="0015549A">
      <w:pPr>
        <w:spacing w:line="360" w:lineRule="auto"/>
        <w:rPr>
          <w:rFonts w:cs="Arial"/>
          <w:szCs w:val="22"/>
          <w:lang w:val="hr-HR"/>
        </w:rPr>
      </w:pPr>
    </w:p>
    <w:p w:rsidR="00F03FAA" w:rsidRPr="00B830BB" w:rsidRDefault="00F03FAA" w:rsidP="0015549A">
      <w:pPr>
        <w:spacing w:line="360" w:lineRule="auto"/>
        <w:rPr>
          <w:rFonts w:cs="Arial"/>
          <w:szCs w:val="22"/>
          <w:lang w:val="hr-HR"/>
        </w:rPr>
      </w:pPr>
    </w:p>
    <w:p w:rsidR="00F03FAA" w:rsidRPr="00B830BB" w:rsidRDefault="00F03FAA" w:rsidP="0015549A">
      <w:pPr>
        <w:spacing w:line="360" w:lineRule="auto"/>
        <w:rPr>
          <w:rFonts w:cs="Arial"/>
          <w:szCs w:val="22"/>
          <w:lang w:val="hr-HR"/>
        </w:rPr>
      </w:pPr>
    </w:p>
    <w:p w:rsidR="00FF299B" w:rsidRPr="00B830BB" w:rsidRDefault="00FF299B" w:rsidP="0015549A">
      <w:pPr>
        <w:spacing w:line="360" w:lineRule="auto"/>
        <w:rPr>
          <w:rFonts w:cs="Arial"/>
          <w:szCs w:val="22"/>
          <w:lang w:val="hr-HR"/>
        </w:rPr>
      </w:pPr>
    </w:p>
    <w:p w:rsidR="00BB6C66" w:rsidRPr="00741C57" w:rsidRDefault="00741C57" w:rsidP="00BB6C66">
      <w:pPr>
        <w:rPr>
          <w:rFonts w:cs="Arial"/>
          <w:b/>
          <w:sz w:val="28"/>
          <w:szCs w:val="28"/>
          <w:lang w:val="hr-HR"/>
        </w:rPr>
      </w:pPr>
      <w:r w:rsidRPr="00741C57">
        <w:rPr>
          <w:rFonts w:cs="Arial"/>
          <w:b/>
          <w:sz w:val="28"/>
          <w:szCs w:val="28"/>
          <w:lang w:val="hr-HR"/>
        </w:rPr>
        <w:lastRenderedPageBreak/>
        <w:t>Sadržaj</w:t>
      </w:r>
    </w:p>
    <w:p w:rsidR="00741C57" w:rsidRPr="00B830BB" w:rsidRDefault="00741C57" w:rsidP="00BB6C66">
      <w:pPr>
        <w:rPr>
          <w:rFonts w:cs="Arial"/>
          <w:szCs w:val="22"/>
          <w:lang w:val="hr-HR"/>
        </w:rPr>
      </w:pPr>
    </w:p>
    <w:p w:rsidR="00864715" w:rsidRDefault="00B079FB">
      <w:pPr>
        <w:pStyle w:val="TOC1"/>
        <w:tabs>
          <w:tab w:val="left" w:pos="480"/>
          <w:tab w:val="right" w:leader="dot" w:pos="9060"/>
        </w:tabs>
        <w:rPr>
          <w:rFonts w:asciiTheme="minorHAnsi" w:eastAsiaTheme="minorEastAsia" w:hAnsiTheme="minorHAnsi" w:cstheme="minorBidi"/>
          <w:noProof/>
          <w:szCs w:val="22"/>
          <w:lang w:val="hr-HR" w:eastAsia="hr-HR"/>
        </w:rPr>
      </w:pPr>
      <w:r>
        <w:rPr>
          <w:rFonts w:cs="Arial"/>
          <w:szCs w:val="22"/>
          <w:lang w:val="hr-HR"/>
        </w:rPr>
        <w:fldChar w:fldCharType="begin"/>
      </w:r>
      <w:r w:rsidR="00741C57">
        <w:rPr>
          <w:rFonts w:cs="Arial"/>
          <w:szCs w:val="22"/>
          <w:lang w:val="hr-HR"/>
        </w:rPr>
        <w:instrText xml:space="preserve"> TOC \o "1-5" \h \z \u </w:instrText>
      </w:r>
      <w:r>
        <w:rPr>
          <w:rFonts w:cs="Arial"/>
          <w:szCs w:val="22"/>
          <w:lang w:val="hr-HR"/>
        </w:rPr>
        <w:fldChar w:fldCharType="separate"/>
      </w:r>
      <w:hyperlink w:anchor="_Toc386619597" w:history="1">
        <w:r w:rsidR="00864715" w:rsidRPr="006220C5">
          <w:rPr>
            <w:rStyle w:val="Hyperlink"/>
            <w:rFonts w:cs="Arial"/>
            <w:noProof/>
            <w:lang w:val="hr-HR"/>
          </w:rPr>
          <w:t>1</w:t>
        </w:r>
        <w:r w:rsidR="00864715">
          <w:rPr>
            <w:rFonts w:asciiTheme="minorHAnsi" w:eastAsiaTheme="minorEastAsia" w:hAnsiTheme="minorHAnsi" w:cstheme="minorBidi"/>
            <w:noProof/>
            <w:szCs w:val="22"/>
            <w:lang w:val="hr-HR" w:eastAsia="hr-HR"/>
          </w:rPr>
          <w:tab/>
        </w:r>
        <w:r w:rsidR="00864715" w:rsidRPr="006220C5">
          <w:rPr>
            <w:rStyle w:val="Hyperlink"/>
            <w:rFonts w:cs="Arial"/>
            <w:noProof/>
            <w:lang w:val="hr-HR"/>
          </w:rPr>
          <w:t>Uvod</w:t>
        </w:r>
        <w:r w:rsidR="00864715">
          <w:rPr>
            <w:noProof/>
            <w:webHidden/>
          </w:rPr>
          <w:tab/>
        </w:r>
        <w:r>
          <w:rPr>
            <w:noProof/>
            <w:webHidden/>
          </w:rPr>
          <w:fldChar w:fldCharType="begin"/>
        </w:r>
        <w:r w:rsidR="00864715">
          <w:rPr>
            <w:noProof/>
            <w:webHidden/>
          </w:rPr>
          <w:instrText xml:space="preserve"> PAGEREF _Toc386619597 \h </w:instrText>
        </w:r>
        <w:r>
          <w:rPr>
            <w:noProof/>
            <w:webHidden/>
          </w:rPr>
        </w:r>
        <w:r>
          <w:rPr>
            <w:noProof/>
            <w:webHidden/>
          </w:rPr>
          <w:fldChar w:fldCharType="separate"/>
        </w:r>
        <w:r w:rsidR="00864715">
          <w:rPr>
            <w:noProof/>
            <w:webHidden/>
          </w:rPr>
          <w:t>1</w:t>
        </w:r>
        <w:r>
          <w:rPr>
            <w:noProof/>
            <w:webHidden/>
          </w:rPr>
          <w:fldChar w:fldCharType="end"/>
        </w:r>
      </w:hyperlink>
    </w:p>
    <w:p w:rsidR="00864715" w:rsidRDefault="00B079FB">
      <w:pPr>
        <w:pStyle w:val="TOC1"/>
        <w:tabs>
          <w:tab w:val="left" w:pos="480"/>
          <w:tab w:val="right" w:leader="dot" w:pos="9060"/>
        </w:tabs>
        <w:rPr>
          <w:rFonts w:asciiTheme="minorHAnsi" w:eastAsiaTheme="minorEastAsia" w:hAnsiTheme="minorHAnsi" w:cstheme="minorBidi"/>
          <w:noProof/>
          <w:szCs w:val="22"/>
          <w:lang w:val="hr-HR" w:eastAsia="hr-HR"/>
        </w:rPr>
      </w:pPr>
      <w:hyperlink w:anchor="_Toc386619598" w:history="1">
        <w:r w:rsidR="00864715" w:rsidRPr="006220C5">
          <w:rPr>
            <w:rStyle w:val="Hyperlink"/>
            <w:rFonts w:cs="Arial"/>
            <w:noProof/>
            <w:lang w:val="hr-HR"/>
          </w:rPr>
          <w:t>2</w:t>
        </w:r>
        <w:r w:rsidR="00864715">
          <w:rPr>
            <w:rFonts w:asciiTheme="minorHAnsi" w:eastAsiaTheme="minorEastAsia" w:hAnsiTheme="minorHAnsi" w:cstheme="minorBidi"/>
            <w:noProof/>
            <w:szCs w:val="22"/>
            <w:lang w:val="hr-HR" w:eastAsia="hr-HR"/>
          </w:rPr>
          <w:tab/>
        </w:r>
        <w:r w:rsidR="00864715" w:rsidRPr="006220C5">
          <w:rPr>
            <w:rStyle w:val="Hyperlink"/>
            <w:rFonts w:cs="Arial"/>
            <w:noProof/>
            <w:lang w:val="hr-HR"/>
          </w:rPr>
          <w:t>Pojam govora mržnje na internetu</w:t>
        </w:r>
        <w:r w:rsidR="00864715">
          <w:rPr>
            <w:noProof/>
            <w:webHidden/>
          </w:rPr>
          <w:tab/>
        </w:r>
        <w:r>
          <w:rPr>
            <w:noProof/>
            <w:webHidden/>
          </w:rPr>
          <w:fldChar w:fldCharType="begin"/>
        </w:r>
        <w:r w:rsidR="00864715">
          <w:rPr>
            <w:noProof/>
            <w:webHidden/>
          </w:rPr>
          <w:instrText xml:space="preserve"> PAGEREF _Toc386619598 \h </w:instrText>
        </w:r>
        <w:r>
          <w:rPr>
            <w:noProof/>
            <w:webHidden/>
          </w:rPr>
        </w:r>
        <w:r>
          <w:rPr>
            <w:noProof/>
            <w:webHidden/>
          </w:rPr>
          <w:fldChar w:fldCharType="separate"/>
        </w:r>
        <w:r w:rsidR="00864715">
          <w:rPr>
            <w:noProof/>
            <w:webHidden/>
          </w:rPr>
          <w:t>2</w:t>
        </w:r>
        <w:r>
          <w:rPr>
            <w:noProof/>
            <w:webHidden/>
          </w:rPr>
          <w:fldChar w:fldCharType="end"/>
        </w:r>
      </w:hyperlink>
    </w:p>
    <w:p w:rsidR="00864715" w:rsidRDefault="00B079FB">
      <w:pPr>
        <w:pStyle w:val="TOC2"/>
        <w:tabs>
          <w:tab w:val="left" w:pos="880"/>
          <w:tab w:val="right" w:leader="dot" w:pos="9060"/>
        </w:tabs>
        <w:rPr>
          <w:rFonts w:asciiTheme="minorHAnsi" w:eastAsiaTheme="minorEastAsia" w:hAnsiTheme="minorHAnsi" w:cstheme="minorBidi"/>
          <w:noProof/>
          <w:szCs w:val="22"/>
          <w:lang w:val="hr-HR" w:eastAsia="hr-HR"/>
        </w:rPr>
      </w:pPr>
      <w:hyperlink w:anchor="_Toc386619599" w:history="1">
        <w:r w:rsidR="00864715" w:rsidRPr="006220C5">
          <w:rPr>
            <w:rStyle w:val="Hyperlink"/>
            <w:rFonts w:cs="Arial"/>
            <w:noProof/>
          </w:rPr>
          <w:t>2.1</w:t>
        </w:r>
        <w:r w:rsidR="00864715">
          <w:rPr>
            <w:rFonts w:asciiTheme="minorHAnsi" w:eastAsiaTheme="minorEastAsia" w:hAnsiTheme="minorHAnsi" w:cstheme="minorBidi"/>
            <w:noProof/>
            <w:szCs w:val="22"/>
            <w:lang w:val="hr-HR" w:eastAsia="hr-HR"/>
          </w:rPr>
          <w:tab/>
        </w:r>
        <w:r w:rsidR="00864715" w:rsidRPr="006220C5">
          <w:rPr>
            <w:rStyle w:val="Hyperlink"/>
            <w:rFonts w:cs="Arial"/>
            <w:noProof/>
          </w:rPr>
          <w:t>Zabrana diskriminacije</w:t>
        </w:r>
        <w:r w:rsidR="00864715">
          <w:rPr>
            <w:noProof/>
            <w:webHidden/>
          </w:rPr>
          <w:tab/>
        </w:r>
        <w:r>
          <w:rPr>
            <w:noProof/>
            <w:webHidden/>
          </w:rPr>
          <w:fldChar w:fldCharType="begin"/>
        </w:r>
        <w:r w:rsidR="00864715">
          <w:rPr>
            <w:noProof/>
            <w:webHidden/>
          </w:rPr>
          <w:instrText xml:space="preserve"> PAGEREF _Toc386619599 \h </w:instrText>
        </w:r>
        <w:r>
          <w:rPr>
            <w:noProof/>
            <w:webHidden/>
          </w:rPr>
        </w:r>
        <w:r>
          <w:rPr>
            <w:noProof/>
            <w:webHidden/>
          </w:rPr>
          <w:fldChar w:fldCharType="separate"/>
        </w:r>
        <w:r w:rsidR="00864715">
          <w:rPr>
            <w:noProof/>
            <w:webHidden/>
          </w:rPr>
          <w:t>2</w:t>
        </w:r>
        <w:r>
          <w:rPr>
            <w:noProof/>
            <w:webHidden/>
          </w:rPr>
          <w:fldChar w:fldCharType="end"/>
        </w:r>
      </w:hyperlink>
    </w:p>
    <w:p w:rsidR="00864715" w:rsidRDefault="00B079FB">
      <w:pPr>
        <w:pStyle w:val="TOC2"/>
        <w:tabs>
          <w:tab w:val="left" w:pos="880"/>
          <w:tab w:val="right" w:leader="dot" w:pos="9060"/>
        </w:tabs>
        <w:rPr>
          <w:rFonts w:asciiTheme="minorHAnsi" w:eastAsiaTheme="minorEastAsia" w:hAnsiTheme="minorHAnsi" w:cstheme="minorBidi"/>
          <w:noProof/>
          <w:szCs w:val="22"/>
          <w:lang w:val="hr-HR" w:eastAsia="hr-HR"/>
        </w:rPr>
      </w:pPr>
      <w:hyperlink w:anchor="_Toc386619600" w:history="1">
        <w:r w:rsidR="00864715" w:rsidRPr="006220C5">
          <w:rPr>
            <w:rStyle w:val="Hyperlink"/>
            <w:rFonts w:cs="Arial"/>
            <w:noProof/>
          </w:rPr>
          <w:t>2.2</w:t>
        </w:r>
        <w:r w:rsidR="00864715">
          <w:rPr>
            <w:rFonts w:asciiTheme="minorHAnsi" w:eastAsiaTheme="minorEastAsia" w:hAnsiTheme="minorHAnsi" w:cstheme="minorBidi"/>
            <w:noProof/>
            <w:szCs w:val="22"/>
            <w:lang w:val="hr-HR" w:eastAsia="hr-HR"/>
          </w:rPr>
          <w:tab/>
        </w:r>
        <w:r w:rsidR="00864715" w:rsidRPr="006220C5">
          <w:rPr>
            <w:rStyle w:val="Hyperlink"/>
            <w:rFonts w:cs="Arial"/>
            <w:noProof/>
          </w:rPr>
          <w:t>Pravo na slobodu izražavanja</w:t>
        </w:r>
        <w:r w:rsidR="00864715">
          <w:rPr>
            <w:noProof/>
            <w:webHidden/>
          </w:rPr>
          <w:tab/>
        </w:r>
        <w:r>
          <w:rPr>
            <w:noProof/>
            <w:webHidden/>
          </w:rPr>
          <w:fldChar w:fldCharType="begin"/>
        </w:r>
        <w:r w:rsidR="00864715">
          <w:rPr>
            <w:noProof/>
            <w:webHidden/>
          </w:rPr>
          <w:instrText xml:space="preserve"> PAGEREF _Toc386619600 \h </w:instrText>
        </w:r>
        <w:r>
          <w:rPr>
            <w:noProof/>
            <w:webHidden/>
          </w:rPr>
        </w:r>
        <w:r>
          <w:rPr>
            <w:noProof/>
            <w:webHidden/>
          </w:rPr>
          <w:fldChar w:fldCharType="separate"/>
        </w:r>
        <w:r w:rsidR="00864715">
          <w:rPr>
            <w:noProof/>
            <w:webHidden/>
          </w:rPr>
          <w:t>3</w:t>
        </w:r>
        <w:r>
          <w:rPr>
            <w:noProof/>
            <w:webHidden/>
          </w:rPr>
          <w:fldChar w:fldCharType="end"/>
        </w:r>
      </w:hyperlink>
    </w:p>
    <w:p w:rsidR="00864715" w:rsidRDefault="00B079FB">
      <w:pPr>
        <w:pStyle w:val="TOC3"/>
        <w:tabs>
          <w:tab w:val="left" w:pos="1320"/>
          <w:tab w:val="right" w:leader="dot" w:pos="9060"/>
        </w:tabs>
        <w:rPr>
          <w:rFonts w:asciiTheme="minorHAnsi" w:eastAsiaTheme="minorEastAsia" w:hAnsiTheme="minorHAnsi" w:cstheme="minorBidi"/>
          <w:noProof/>
          <w:szCs w:val="22"/>
          <w:lang w:val="hr-HR" w:eastAsia="hr-HR"/>
        </w:rPr>
      </w:pPr>
      <w:hyperlink w:anchor="_Toc386619601" w:history="1">
        <w:r w:rsidR="00864715" w:rsidRPr="006220C5">
          <w:rPr>
            <w:rStyle w:val="Hyperlink"/>
            <w:noProof/>
          </w:rPr>
          <w:t>2.2.1</w:t>
        </w:r>
        <w:r w:rsidR="00864715">
          <w:rPr>
            <w:rFonts w:asciiTheme="minorHAnsi" w:eastAsiaTheme="minorEastAsia" w:hAnsiTheme="minorHAnsi" w:cstheme="minorBidi"/>
            <w:noProof/>
            <w:szCs w:val="22"/>
            <w:lang w:val="hr-HR" w:eastAsia="hr-HR"/>
          </w:rPr>
          <w:tab/>
        </w:r>
        <w:r w:rsidR="00864715" w:rsidRPr="006220C5">
          <w:rPr>
            <w:rStyle w:val="Hyperlink"/>
            <w:noProof/>
          </w:rPr>
          <w:t>Polemika – treba li kriminalizirati govor mržnje</w:t>
        </w:r>
        <w:r w:rsidR="00864715">
          <w:rPr>
            <w:noProof/>
            <w:webHidden/>
          </w:rPr>
          <w:tab/>
        </w:r>
        <w:r>
          <w:rPr>
            <w:noProof/>
            <w:webHidden/>
          </w:rPr>
          <w:fldChar w:fldCharType="begin"/>
        </w:r>
        <w:r w:rsidR="00864715">
          <w:rPr>
            <w:noProof/>
            <w:webHidden/>
          </w:rPr>
          <w:instrText xml:space="preserve"> PAGEREF _Toc386619601 \h </w:instrText>
        </w:r>
        <w:r>
          <w:rPr>
            <w:noProof/>
            <w:webHidden/>
          </w:rPr>
        </w:r>
        <w:r>
          <w:rPr>
            <w:noProof/>
            <w:webHidden/>
          </w:rPr>
          <w:fldChar w:fldCharType="separate"/>
        </w:r>
        <w:r w:rsidR="00864715">
          <w:rPr>
            <w:noProof/>
            <w:webHidden/>
          </w:rPr>
          <w:t>4</w:t>
        </w:r>
        <w:r>
          <w:rPr>
            <w:noProof/>
            <w:webHidden/>
          </w:rPr>
          <w:fldChar w:fldCharType="end"/>
        </w:r>
      </w:hyperlink>
    </w:p>
    <w:p w:rsidR="00864715" w:rsidRDefault="00B079FB">
      <w:pPr>
        <w:pStyle w:val="TOC2"/>
        <w:tabs>
          <w:tab w:val="left" w:pos="880"/>
          <w:tab w:val="right" w:leader="dot" w:pos="9060"/>
        </w:tabs>
        <w:rPr>
          <w:rFonts w:asciiTheme="minorHAnsi" w:eastAsiaTheme="minorEastAsia" w:hAnsiTheme="minorHAnsi" w:cstheme="minorBidi"/>
          <w:noProof/>
          <w:szCs w:val="22"/>
          <w:lang w:val="hr-HR" w:eastAsia="hr-HR"/>
        </w:rPr>
      </w:pPr>
      <w:hyperlink w:anchor="_Toc386619602" w:history="1">
        <w:r w:rsidR="00864715" w:rsidRPr="006220C5">
          <w:rPr>
            <w:rStyle w:val="Hyperlink"/>
            <w:rFonts w:cs="Arial"/>
            <w:noProof/>
          </w:rPr>
          <w:t>2.3</w:t>
        </w:r>
        <w:r w:rsidR="00864715">
          <w:rPr>
            <w:rFonts w:asciiTheme="minorHAnsi" w:eastAsiaTheme="minorEastAsia" w:hAnsiTheme="minorHAnsi" w:cstheme="minorBidi"/>
            <w:noProof/>
            <w:szCs w:val="22"/>
            <w:lang w:val="hr-HR" w:eastAsia="hr-HR"/>
          </w:rPr>
          <w:tab/>
        </w:r>
        <w:r w:rsidR="00864715" w:rsidRPr="006220C5">
          <w:rPr>
            <w:rStyle w:val="Hyperlink"/>
            <w:rFonts w:cs="Arial"/>
            <w:noProof/>
          </w:rPr>
          <w:t>Definicija govora mržnje</w:t>
        </w:r>
        <w:r w:rsidR="00864715">
          <w:rPr>
            <w:noProof/>
            <w:webHidden/>
          </w:rPr>
          <w:tab/>
        </w:r>
        <w:r>
          <w:rPr>
            <w:noProof/>
            <w:webHidden/>
          </w:rPr>
          <w:fldChar w:fldCharType="begin"/>
        </w:r>
        <w:r w:rsidR="00864715">
          <w:rPr>
            <w:noProof/>
            <w:webHidden/>
          </w:rPr>
          <w:instrText xml:space="preserve"> PAGEREF _Toc386619602 \h </w:instrText>
        </w:r>
        <w:r>
          <w:rPr>
            <w:noProof/>
            <w:webHidden/>
          </w:rPr>
        </w:r>
        <w:r>
          <w:rPr>
            <w:noProof/>
            <w:webHidden/>
          </w:rPr>
          <w:fldChar w:fldCharType="separate"/>
        </w:r>
        <w:r w:rsidR="00864715">
          <w:rPr>
            <w:noProof/>
            <w:webHidden/>
          </w:rPr>
          <w:t>6</w:t>
        </w:r>
        <w:r>
          <w:rPr>
            <w:noProof/>
            <w:webHidden/>
          </w:rPr>
          <w:fldChar w:fldCharType="end"/>
        </w:r>
      </w:hyperlink>
    </w:p>
    <w:p w:rsidR="00864715" w:rsidRDefault="00B079FB">
      <w:pPr>
        <w:pStyle w:val="TOC1"/>
        <w:tabs>
          <w:tab w:val="left" w:pos="480"/>
          <w:tab w:val="right" w:leader="dot" w:pos="9060"/>
        </w:tabs>
        <w:rPr>
          <w:rFonts w:asciiTheme="minorHAnsi" w:eastAsiaTheme="minorEastAsia" w:hAnsiTheme="minorHAnsi" w:cstheme="minorBidi"/>
          <w:noProof/>
          <w:szCs w:val="22"/>
          <w:lang w:val="hr-HR" w:eastAsia="hr-HR"/>
        </w:rPr>
      </w:pPr>
      <w:hyperlink w:anchor="_Toc386619603" w:history="1">
        <w:r w:rsidR="00864715" w:rsidRPr="006220C5">
          <w:rPr>
            <w:rStyle w:val="Hyperlink"/>
            <w:rFonts w:cs="Arial"/>
            <w:noProof/>
            <w:lang w:val="hr-HR"/>
          </w:rPr>
          <w:t>3</w:t>
        </w:r>
        <w:r w:rsidR="00864715">
          <w:rPr>
            <w:rFonts w:asciiTheme="minorHAnsi" w:eastAsiaTheme="minorEastAsia" w:hAnsiTheme="minorHAnsi" w:cstheme="minorBidi"/>
            <w:noProof/>
            <w:szCs w:val="22"/>
            <w:lang w:val="hr-HR" w:eastAsia="hr-HR"/>
          </w:rPr>
          <w:tab/>
        </w:r>
        <w:r w:rsidR="00864715" w:rsidRPr="006220C5">
          <w:rPr>
            <w:rStyle w:val="Hyperlink"/>
            <w:rFonts w:cs="Arial"/>
            <w:noProof/>
            <w:lang w:val="hr-HR"/>
          </w:rPr>
          <w:t>Međunarodni pravni okvir</w:t>
        </w:r>
        <w:r w:rsidR="00864715">
          <w:rPr>
            <w:noProof/>
            <w:webHidden/>
          </w:rPr>
          <w:tab/>
        </w:r>
        <w:r>
          <w:rPr>
            <w:noProof/>
            <w:webHidden/>
          </w:rPr>
          <w:fldChar w:fldCharType="begin"/>
        </w:r>
        <w:r w:rsidR="00864715">
          <w:rPr>
            <w:noProof/>
            <w:webHidden/>
          </w:rPr>
          <w:instrText xml:space="preserve"> PAGEREF _Toc386619603 \h </w:instrText>
        </w:r>
        <w:r>
          <w:rPr>
            <w:noProof/>
            <w:webHidden/>
          </w:rPr>
        </w:r>
        <w:r>
          <w:rPr>
            <w:noProof/>
            <w:webHidden/>
          </w:rPr>
          <w:fldChar w:fldCharType="separate"/>
        </w:r>
        <w:r w:rsidR="00864715">
          <w:rPr>
            <w:noProof/>
            <w:webHidden/>
          </w:rPr>
          <w:t>7</w:t>
        </w:r>
        <w:r>
          <w:rPr>
            <w:noProof/>
            <w:webHidden/>
          </w:rPr>
          <w:fldChar w:fldCharType="end"/>
        </w:r>
      </w:hyperlink>
    </w:p>
    <w:p w:rsidR="00864715" w:rsidRDefault="00B079FB">
      <w:pPr>
        <w:pStyle w:val="TOC2"/>
        <w:tabs>
          <w:tab w:val="left" w:pos="880"/>
          <w:tab w:val="right" w:leader="dot" w:pos="9060"/>
        </w:tabs>
        <w:rPr>
          <w:rFonts w:asciiTheme="minorHAnsi" w:eastAsiaTheme="minorEastAsia" w:hAnsiTheme="minorHAnsi" w:cstheme="minorBidi"/>
          <w:noProof/>
          <w:szCs w:val="22"/>
          <w:lang w:val="hr-HR" w:eastAsia="hr-HR"/>
        </w:rPr>
      </w:pPr>
      <w:hyperlink w:anchor="_Toc386619604" w:history="1">
        <w:r w:rsidR="00864715" w:rsidRPr="006220C5">
          <w:rPr>
            <w:rStyle w:val="Hyperlink"/>
            <w:rFonts w:cs="Arial"/>
            <w:noProof/>
          </w:rPr>
          <w:t>3.1</w:t>
        </w:r>
        <w:r w:rsidR="00864715">
          <w:rPr>
            <w:rFonts w:asciiTheme="minorHAnsi" w:eastAsiaTheme="minorEastAsia" w:hAnsiTheme="minorHAnsi" w:cstheme="minorBidi"/>
            <w:noProof/>
            <w:szCs w:val="22"/>
            <w:lang w:val="hr-HR" w:eastAsia="hr-HR"/>
          </w:rPr>
          <w:tab/>
        </w:r>
        <w:r w:rsidR="00864715" w:rsidRPr="006220C5">
          <w:rPr>
            <w:rStyle w:val="Hyperlink"/>
            <w:rFonts w:cs="Arial"/>
            <w:noProof/>
          </w:rPr>
          <w:t>Ujedinjeni narodi</w:t>
        </w:r>
        <w:r w:rsidR="00864715">
          <w:rPr>
            <w:noProof/>
            <w:webHidden/>
          </w:rPr>
          <w:tab/>
        </w:r>
        <w:r>
          <w:rPr>
            <w:noProof/>
            <w:webHidden/>
          </w:rPr>
          <w:fldChar w:fldCharType="begin"/>
        </w:r>
        <w:r w:rsidR="00864715">
          <w:rPr>
            <w:noProof/>
            <w:webHidden/>
          </w:rPr>
          <w:instrText xml:space="preserve"> PAGEREF _Toc386619604 \h </w:instrText>
        </w:r>
        <w:r>
          <w:rPr>
            <w:noProof/>
            <w:webHidden/>
          </w:rPr>
        </w:r>
        <w:r>
          <w:rPr>
            <w:noProof/>
            <w:webHidden/>
          </w:rPr>
          <w:fldChar w:fldCharType="separate"/>
        </w:r>
        <w:r w:rsidR="00864715">
          <w:rPr>
            <w:noProof/>
            <w:webHidden/>
          </w:rPr>
          <w:t>7</w:t>
        </w:r>
        <w:r>
          <w:rPr>
            <w:noProof/>
            <w:webHidden/>
          </w:rPr>
          <w:fldChar w:fldCharType="end"/>
        </w:r>
      </w:hyperlink>
    </w:p>
    <w:p w:rsidR="00864715" w:rsidRDefault="00B079FB">
      <w:pPr>
        <w:pStyle w:val="TOC3"/>
        <w:tabs>
          <w:tab w:val="left" w:pos="1320"/>
          <w:tab w:val="right" w:leader="dot" w:pos="9060"/>
        </w:tabs>
        <w:rPr>
          <w:rFonts w:asciiTheme="minorHAnsi" w:eastAsiaTheme="minorEastAsia" w:hAnsiTheme="minorHAnsi" w:cstheme="minorBidi"/>
          <w:noProof/>
          <w:szCs w:val="22"/>
          <w:lang w:val="hr-HR" w:eastAsia="hr-HR"/>
        </w:rPr>
      </w:pPr>
      <w:hyperlink w:anchor="_Toc386619605" w:history="1">
        <w:r w:rsidR="00864715" w:rsidRPr="006220C5">
          <w:rPr>
            <w:rStyle w:val="Hyperlink"/>
            <w:noProof/>
          </w:rPr>
          <w:t>3.1.1</w:t>
        </w:r>
        <w:r w:rsidR="00864715">
          <w:rPr>
            <w:rFonts w:asciiTheme="minorHAnsi" w:eastAsiaTheme="minorEastAsia" w:hAnsiTheme="minorHAnsi" w:cstheme="minorBidi"/>
            <w:noProof/>
            <w:szCs w:val="22"/>
            <w:lang w:val="hr-HR" w:eastAsia="hr-HR"/>
          </w:rPr>
          <w:tab/>
        </w:r>
        <w:r w:rsidR="00864715" w:rsidRPr="006220C5">
          <w:rPr>
            <w:rStyle w:val="Hyperlink"/>
            <w:noProof/>
          </w:rPr>
          <w:t>Opća deklaracija o ljudskim pravima</w:t>
        </w:r>
        <w:r w:rsidR="00864715">
          <w:rPr>
            <w:noProof/>
            <w:webHidden/>
          </w:rPr>
          <w:tab/>
        </w:r>
        <w:r>
          <w:rPr>
            <w:noProof/>
            <w:webHidden/>
          </w:rPr>
          <w:fldChar w:fldCharType="begin"/>
        </w:r>
        <w:r w:rsidR="00864715">
          <w:rPr>
            <w:noProof/>
            <w:webHidden/>
          </w:rPr>
          <w:instrText xml:space="preserve"> PAGEREF _Toc386619605 \h </w:instrText>
        </w:r>
        <w:r>
          <w:rPr>
            <w:noProof/>
            <w:webHidden/>
          </w:rPr>
        </w:r>
        <w:r>
          <w:rPr>
            <w:noProof/>
            <w:webHidden/>
          </w:rPr>
          <w:fldChar w:fldCharType="separate"/>
        </w:r>
        <w:r w:rsidR="00864715">
          <w:rPr>
            <w:noProof/>
            <w:webHidden/>
          </w:rPr>
          <w:t>7</w:t>
        </w:r>
        <w:r>
          <w:rPr>
            <w:noProof/>
            <w:webHidden/>
          </w:rPr>
          <w:fldChar w:fldCharType="end"/>
        </w:r>
      </w:hyperlink>
    </w:p>
    <w:p w:rsidR="00864715" w:rsidRDefault="00B079FB">
      <w:pPr>
        <w:pStyle w:val="TOC3"/>
        <w:tabs>
          <w:tab w:val="left" w:pos="1320"/>
          <w:tab w:val="right" w:leader="dot" w:pos="9060"/>
        </w:tabs>
        <w:rPr>
          <w:rFonts w:asciiTheme="minorHAnsi" w:eastAsiaTheme="minorEastAsia" w:hAnsiTheme="minorHAnsi" w:cstheme="minorBidi"/>
          <w:noProof/>
          <w:szCs w:val="22"/>
          <w:lang w:val="hr-HR" w:eastAsia="hr-HR"/>
        </w:rPr>
      </w:pPr>
      <w:hyperlink w:anchor="_Toc386619606" w:history="1">
        <w:r w:rsidR="00864715" w:rsidRPr="006220C5">
          <w:rPr>
            <w:rStyle w:val="Hyperlink"/>
            <w:noProof/>
          </w:rPr>
          <w:t>3.1.2</w:t>
        </w:r>
        <w:r w:rsidR="00864715">
          <w:rPr>
            <w:rFonts w:asciiTheme="minorHAnsi" w:eastAsiaTheme="minorEastAsia" w:hAnsiTheme="minorHAnsi" w:cstheme="minorBidi"/>
            <w:noProof/>
            <w:szCs w:val="22"/>
            <w:lang w:val="hr-HR" w:eastAsia="hr-HR"/>
          </w:rPr>
          <w:tab/>
        </w:r>
        <w:r w:rsidR="00864715" w:rsidRPr="006220C5">
          <w:rPr>
            <w:rStyle w:val="Hyperlink"/>
            <w:noProof/>
          </w:rPr>
          <w:t>Međunarodni pakt o građanskim i političkim pravima</w:t>
        </w:r>
        <w:r w:rsidR="00864715">
          <w:rPr>
            <w:noProof/>
            <w:webHidden/>
          </w:rPr>
          <w:tab/>
        </w:r>
        <w:r>
          <w:rPr>
            <w:noProof/>
            <w:webHidden/>
          </w:rPr>
          <w:fldChar w:fldCharType="begin"/>
        </w:r>
        <w:r w:rsidR="00864715">
          <w:rPr>
            <w:noProof/>
            <w:webHidden/>
          </w:rPr>
          <w:instrText xml:space="preserve"> PAGEREF _Toc386619606 \h </w:instrText>
        </w:r>
        <w:r>
          <w:rPr>
            <w:noProof/>
            <w:webHidden/>
          </w:rPr>
        </w:r>
        <w:r>
          <w:rPr>
            <w:noProof/>
            <w:webHidden/>
          </w:rPr>
          <w:fldChar w:fldCharType="separate"/>
        </w:r>
        <w:r w:rsidR="00864715">
          <w:rPr>
            <w:noProof/>
            <w:webHidden/>
          </w:rPr>
          <w:t>7</w:t>
        </w:r>
        <w:r>
          <w:rPr>
            <w:noProof/>
            <w:webHidden/>
          </w:rPr>
          <w:fldChar w:fldCharType="end"/>
        </w:r>
      </w:hyperlink>
    </w:p>
    <w:p w:rsidR="00864715" w:rsidRDefault="00B079FB">
      <w:pPr>
        <w:pStyle w:val="TOC3"/>
        <w:tabs>
          <w:tab w:val="left" w:pos="1320"/>
          <w:tab w:val="right" w:leader="dot" w:pos="9060"/>
        </w:tabs>
        <w:rPr>
          <w:rFonts w:asciiTheme="minorHAnsi" w:eastAsiaTheme="minorEastAsia" w:hAnsiTheme="minorHAnsi" w:cstheme="minorBidi"/>
          <w:noProof/>
          <w:szCs w:val="22"/>
          <w:lang w:val="hr-HR" w:eastAsia="hr-HR"/>
        </w:rPr>
      </w:pPr>
      <w:hyperlink w:anchor="_Toc386619607" w:history="1">
        <w:r w:rsidR="00864715" w:rsidRPr="006220C5">
          <w:rPr>
            <w:rStyle w:val="Hyperlink"/>
            <w:noProof/>
          </w:rPr>
          <w:t>3.1.3</w:t>
        </w:r>
        <w:r w:rsidR="00864715">
          <w:rPr>
            <w:rFonts w:asciiTheme="minorHAnsi" w:eastAsiaTheme="minorEastAsia" w:hAnsiTheme="minorHAnsi" w:cstheme="minorBidi"/>
            <w:noProof/>
            <w:szCs w:val="22"/>
            <w:lang w:val="hr-HR" w:eastAsia="hr-HR"/>
          </w:rPr>
          <w:tab/>
        </w:r>
        <w:r w:rsidR="00864715" w:rsidRPr="006220C5">
          <w:rPr>
            <w:rStyle w:val="Hyperlink"/>
            <w:noProof/>
          </w:rPr>
          <w:t>Međunarodna konvencija o ukidanju svih oblika rasne diskriminacije</w:t>
        </w:r>
        <w:r w:rsidR="00864715">
          <w:rPr>
            <w:noProof/>
            <w:webHidden/>
          </w:rPr>
          <w:tab/>
        </w:r>
        <w:r>
          <w:rPr>
            <w:noProof/>
            <w:webHidden/>
          </w:rPr>
          <w:fldChar w:fldCharType="begin"/>
        </w:r>
        <w:r w:rsidR="00864715">
          <w:rPr>
            <w:noProof/>
            <w:webHidden/>
          </w:rPr>
          <w:instrText xml:space="preserve"> PAGEREF _Toc386619607 \h </w:instrText>
        </w:r>
        <w:r>
          <w:rPr>
            <w:noProof/>
            <w:webHidden/>
          </w:rPr>
        </w:r>
        <w:r>
          <w:rPr>
            <w:noProof/>
            <w:webHidden/>
          </w:rPr>
          <w:fldChar w:fldCharType="separate"/>
        </w:r>
        <w:r w:rsidR="00864715">
          <w:rPr>
            <w:noProof/>
            <w:webHidden/>
          </w:rPr>
          <w:t>8</w:t>
        </w:r>
        <w:r>
          <w:rPr>
            <w:noProof/>
            <w:webHidden/>
          </w:rPr>
          <w:fldChar w:fldCharType="end"/>
        </w:r>
      </w:hyperlink>
    </w:p>
    <w:p w:rsidR="00864715" w:rsidRDefault="00B079FB">
      <w:pPr>
        <w:pStyle w:val="TOC3"/>
        <w:tabs>
          <w:tab w:val="left" w:pos="1320"/>
          <w:tab w:val="right" w:leader="dot" w:pos="9060"/>
        </w:tabs>
        <w:rPr>
          <w:rFonts w:asciiTheme="minorHAnsi" w:eastAsiaTheme="minorEastAsia" w:hAnsiTheme="minorHAnsi" w:cstheme="minorBidi"/>
          <w:noProof/>
          <w:szCs w:val="22"/>
          <w:lang w:val="hr-HR" w:eastAsia="hr-HR"/>
        </w:rPr>
      </w:pPr>
      <w:hyperlink w:anchor="_Toc386619608" w:history="1">
        <w:r w:rsidR="00864715" w:rsidRPr="006220C5">
          <w:rPr>
            <w:rStyle w:val="Hyperlink"/>
            <w:noProof/>
          </w:rPr>
          <w:t>3.1.4</w:t>
        </w:r>
        <w:r w:rsidR="00864715">
          <w:rPr>
            <w:rFonts w:asciiTheme="minorHAnsi" w:eastAsiaTheme="minorEastAsia" w:hAnsiTheme="minorHAnsi" w:cstheme="minorBidi"/>
            <w:noProof/>
            <w:szCs w:val="22"/>
            <w:lang w:val="hr-HR" w:eastAsia="hr-HR"/>
          </w:rPr>
          <w:tab/>
        </w:r>
        <w:r w:rsidR="00864715" w:rsidRPr="006220C5">
          <w:rPr>
            <w:rStyle w:val="Hyperlink"/>
            <w:noProof/>
          </w:rPr>
          <w:t>Prva rezolucija Vijeća ljudskih prava UN-a o promociji, zaštiti i uživanju ljudskih prava na internetu</w:t>
        </w:r>
        <w:r w:rsidR="00864715">
          <w:rPr>
            <w:noProof/>
            <w:webHidden/>
          </w:rPr>
          <w:tab/>
        </w:r>
        <w:r>
          <w:rPr>
            <w:noProof/>
            <w:webHidden/>
          </w:rPr>
          <w:fldChar w:fldCharType="begin"/>
        </w:r>
        <w:r w:rsidR="00864715">
          <w:rPr>
            <w:noProof/>
            <w:webHidden/>
          </w:rPr>
          <w:instrText xml:space="preserve"> PAGEREF _Toc386619608 \h </w:instrText>
        </w:r>
        <w:r>
          <w:rPr>
            <w:noProof/>
            <w:webHidden/>
          </w:rPr>
        </w:r>
        <w:r>
          <w:rPr>
            <w:noProof/>
            <w:webHidden/>
          </w:rPr>
          <w:fldChar w:fldCharType="separate"/>
        </w:r>
        <w:r w:rsidR="00864715">
          <w:rPr>
            <w:noProof/>
            <w:webHidden/>
          </w:rPr>
          <w:t>8</w:t>
        </w:r>
        <w:r>
          <w:rPr>
            <w:noProof/>
            <w:webHidden/>
          </w:rPr>
          <w:fldChar w:fldCharType="end"/>
        </w:r>
      </w:hyperlink>
    </w:p>
    <w:p w:rsidR="00864715" w:rsidRDefault="00B079FB">
      <w:pPr>
        <w:pStyle w:val="TOC2"/>
        <w:tabs>
          <w:tab w:val="left" w:pos="880"/>
          <w:tab w:val="right" w:leader="dot" w:pos="9060"/>
        </w:tabs>
        <w:rPr>
          <w:rFonts w:asciiTheme="minorHAnsi" w:eastAsiaTheme="minorEastAsia" w:hAnsiTheme="minorHAnsi" w:cstheme="minorBidi"/>
          <w:noProof/>
          <w:szCs w:val="22"/>
          <w:lang w:val="hr-HR" w:eastAsia="hr-HR"/>
        </w:rPr>
      </w:pPr>
      <w:hyperlink w:anchor="_Toc386619609" w:history="1">
        <w:r w:rsidR="00864715" w:rsidRPr="006220C5">
          <w:rPr>
            <w:rStyle w:val="Hyperlink"/>
            <w:rFonts w:cs="Arial"/>
            <w:noProof/>
          </w:rPr>
          <w:t>3.2</w:t>
        </w:r>
        <w:r w:rsidR="00864715">
          <w:rPr>
            <w:rFonts w:asciiTheme="minorHAnsi" w:eastAsiaTheme="minorEastAsia" w:hAnsiTheme="minorHAnsi" w:cstheme="minorBidi"/>
            <w:noProof/>
            <w:szCs w:val="22"/>
            <w:lang w:val="hr-HR" w:eastAsia="hr-HR"/>
          </w:rPr>
          <w:tab/>
        </w:r>
        <w:r w:rsidR="00864715" w:rsidRPr="006220C5">
          <w:rPr>
            <w:rStyle w:val="Hyperlink"/>
            <w:rFonts w:cs="Arial"/>
            <w:noProof/>
          </w:rPr>
          <w:t>Vijeće Europe</w:t>
        </w:r>
        <w:r w:rsidR="00864715">
          <w:rPr>
            <w:noProof/>
            <w:webHidden/>
          </w:rPr>
          <w:tab/>
        </w:r>
        <w:r>
          <w:rPr>
            <w:noProof/>
            <w:webHidden/>
          </w:rPr>
          <w:fldChar w:fldCharType="begin"/>
        </w:r>
        <w:r w:rsidR="00864715">
          <w:rPr>
            <w:noProof/>
            <w:webHidden/>
          </w:rPr>
          <w:instrText xml:space="preserve"> PAGEREF _Toc386619609 \h </w:instrText>
        </w:r>
        <w:r>
          <w:rPr>
            <w:noProof/>
            <w:webHidden/>
          </w:rPr>
        </w:r>
        <w:r>
          <w:rPr>
            <w:noProof/>
            <w:webHidden/>
          </w:rPr>
          <w:fldChar w:fldCharType="separate"/>
        </w:r>
        <w:r w:rsidR="00864715">
          <w:rPr>
            <w:noProof/>
            <w:webHidden/>
          </w:rPr>
          <w:t>9</w:t>
        </w:r>
        <w:r>
          <w:rPr>
            <w:noProof/>
            <w:webHidden/>
          </w:rPr>
          <w:fldChar w:fldCharType="end"/>
        </w:r>
      </w:hyperlink>
    </w:p>
    <w:p w:rsidR="00864715" w:rsidRDefault="00B079FB">
      <w:pPr>
        <w:pStyle w:val="TOC3"/>
        <w:tabs>
          <w:tab w:val="left" w:pos="1320"/>
          <w:tab w:val="right" w:leader="dot" w:pos="9060"/>
        </w:tabs>
        <w:rPr>
          <w:rFonts w:asciiTheme="minorHAnsi" w:eastAsiaTheme="minorEastAsia" w:hAnsiTheme="minorHAnsi" w:cstheme="minorBidi"/>
          <w:noProof/>
          <w:szCs w:val="22"/>
          <w:lang w:val="hr-HR" w:eastAsia="hr-HR"/>
        </w:rPr>
      </w:pPr>
      <w:hyperlink w:anchor="_Toc386619610" w:history="1">
        <w:r w:rsidR="00864715" w:rsidRPr="006220C5">
          <w:rPr>
            <w:rStyle w:val="Hyperlink"/>
            <w:noProof/>
          </w:rPr>
          <w:t>3.2.1</w:t>
        </w:r>
        <w:r w:rsidR="00864715">
          <w:rPr>
            <w:rFonts w:asciiTheme="minorHAnsi" w:eastAsiaTheme="minorEastAsia" w:hAnsiTheme="minorHAnsi" w:cstheme="minorBidi"/>
            <w:noProof/>
            <w:szCs w:val="22"/>
            <w:lang w:val="hr-HR" w:eastAsia="hr-HR"/>
          </w:rPr>
          <w:tab/>
        </w:r>
        <w:r w:rsidR="00864715" w:rsidRPr="006220C5">
          <w:rPr>
            <w:rStyle w:val="Hyperlink"/>
            <w:noProof/>
          </w:rPr>
          <w:t>Europska konvencija za zaštitu ljudskih prava i temeljnih sloboda</w:t>
        </w:r>
        <w:r w:rsidR="00864715">
          <w:rPr>
            <w:noProof/>
            <w:webHidden/>
          </w:rPr>
          <w:tab/>
        </w:r>
        <w:r>
          <w:rPr>
            <w:noProof/>
            <w:webHidden/>
          </w:rPr>
          <w:fldChar w:fldCharType="begin"/>
        </w:r>
        <w:r w:rsidR="00864715">
          <w:rPr>
            <w:noProof/>
            <w:webHidden/>
          </w:rPr>
          <w:instrText xml:space="preserve"> PAGEREF _Toc386619610 \h </w:instrText>
        </w:r>
        <w:r>
          <w:rPr>
            <w:noProof/>
            <w:webHidden/>
          </w:rPr>
        </w:r>
        <w:r>
          <w:rPr>
            <w:noProof/>
            <w:webHidden/>
          </w:rPr>
          <w:fldChar w:fldCharType="separate"/>
        </w:r>
        <w:r w:rsidR="00864715">
          <w:rPr>
            <w:noProof/>
            <w:webHidden/>
          </w:rPr>
          <w:t>9</w:t>
        </w:r>
        <w:r>
          <w:rPr>
            <w:noProof/>
            <w:webHidden/>
          </w:rPr>
          <w:fldChar w:fldCharType="end"/>
        </w:r>
      </w:hyperlink>
    </w:p>
    <w:p w:rsidR="00864715" w:rsidRDefault="00B079FB">
      <w:pPr>
        <w:pStyle w:val="TOC4"/>
        <w:tabs>
          <w:tab w:val="left" w:pos="1760"/>
          <w:tab w:val="right" w:leader="dot" w:pos="9060"/>
        </w:tabs>
        <w:rPr>
          <w:rFonts w:asciiTheme="minorHAnsi" w:eastAsiaTheme="minorEastAsia" w:hAnsiTheme="minorHAnsi" w:cstheme="minorBidi"/>
          <w:noProof/>
          <w:szCs w:val="22"/>
          <w:lang w:val="hr-HR" w:eastAsia="hr-HR"/>
        </w:rPr>
      </w:pPr>
      <w:hyperlink w:anchor="_Toc386619611" w:history="1">
        <w:r w:rsidR="00864715" w:rsidRPr="006220C5">
          <w:rPr>
            <w:rStyle w:val="Hyperlink"/>
            <w:noProof/>
          </w:rPr>
          <w:t>3.2.1.1</w:t>
        </w:r>
        <w:r w:rsidR="00864715">
          <w:rPr>
            <w:rFonts w:asciiTheme="minorHAnsi" w:eastAsiaTheme="minorEastAsia" w:hAnsiTheme="minorHAnsi" w:cstheme="minorBidi"/>
            <w:noProof/>
            <w:szCs w:val="22"/>
            <w:lang w:val="hr-HR" w:eastAsia="hr-HR"/>
          </w:rPr>
          <w:tab/>
        </w:r>
        <w:r w:rsidR="00864715" w:rsidRPr="006220C5">
          <w:rPr>
            <w:rStyle w:val="Hyperlink"/>
            <w:noProof/>
          </w:rPr>
          <w:t>Članak 17. – Klauzula zabrane zloupotrebe prava</w:t>
        </w:r>
        <w:r w:rsidR="00864715">
          <w:rPr>
            <w:noProof/>
            <w:webHidden/>
          </w:rPr>
          <w:tab/>
        </w:r>
        <w:r>
          <w:rPr>
            <w:noProof/>
            <w:webHidden/>
          </w:rPr>
          <w:fldChar w:fldCharType="begin"/>
        </w:r>
        <w:r w:rsidR="00864715">
          <w:rPr>
            <w:noProof/>
            <w:webHidden/>
          </w:rPr>
          <w:instrText xml:space="preserve"> PAGEREF _Toc386619611 \h </w:instrText>
        </w:r>
        <w:r>
          <w:rPr>
            <w:noProof/>
            <w:webHidden/>
          </w:rPr>
        </w:r>
        <w:r>
          <w:rPr>
            <w:noProof/>
            <w:webHidden/>
          </w:rPr>
          <w:fldChar w:fldCharType="separate"/>
        </w:r>
        <w:r w:rsidR="00864715">
          <w:rPr>
            <w:noProof/>
            <w:webHidden/>
          </w:rPr>
          <w:t>10</w:t>
        </w:r>
        <w:r>
          <w:rPr>
            <w:noProof/>
            <w:webHidden/>
          </w:rPr>
          <w:fldChar w:fldCharType="end"/>
        </w:r>
      </w:hyperlink>
    </w:p>
    <w:p w:rsidR="00864715" w:rsidRDefault="00B079FB">
      <w:pPr>
        <w:pStyle w:val="TOC4"/>
        <w:tabs>
          <w:tab w:val="left" w:pos="1760"/>
          <w:tab w:val="right" w:leader="dot" w:pos="9060"/>
        </w:tabs>
        <w:rPr>
          <w:rFonts w:asciiTheme="minorHAnsi" w:eastAsiaTheme="minorEastAsia" w:hAnsiTheme="minorHAnsi" w:cstheme="minorBidi"/>
          <w:noProof/>
          <w:szCs w:val="22"/>
          <w:lang w:val="hr-HR" w:eastAsia="hr-HR"/>
        </w:rPr>
      </w:pPr>
      <w:hyperlink w:anchor="_Toc386619612" w:history="1">
        <w:r w:rsidR="00864715" w:rsidRPr="006220C5">
          <w:rPr>
            <w:rStyle w:val="Hyperlink"/>
            <w:noProof/>
          </w:rPr>
          <w:t>3.2.1.2</w:t>
        </w:r>
        <w:r w:rsidR="00864715">
          <w:rPr>
            <w:rFonts w:asciiTheme="minorHAnsi" w:eastAsiaTheme="minorEastAsia" w:hAnsiTheme="minorHAnsi" w:cstheme="minorBidi"/>
            <w:noProof/>
            <w:szCs w:val="22"/>
            <w:lang w:val="hr-HR" w:eastAsia="hr-HR"/>
          </w:rPr>
          <w:tab/>
        </w:r>
        <w:r w:rsidR="006C395F" w:rsidRPr="006C395F">
          <w:rPr>
            <w:rStyle w:val="Hyperlink"/>
            <w:noProof/>
          </w:rPr>
          <w:t>Č</w:t>
        </w:r>
        <w:r w:rsidR="00864715" w:rsidRPr="006220C5">
          <w:rPr>
            <w:rStyle w:val="Hyperlink"/>
            <w:noProof/>
          </w:rPr>
          <w:t>lanak 10. – Pravo na izražavanje</w:t>
        </w:r>
        <w:r w:rsidR="00864715">
          <w:rPr>
            <w:noProof/>
            <w:webHidden/>
          </w:rPr>
          <w:tab/>
        </w:r>
        <w:r>
          <w:rPr>
            <w:noProof/>
            <w:webHidden/>
          </w:rPr>
          <w:fldChar w:fldCharType="begin"/>
        </w:r>
        <w:r w:rsidR="00864715">
          <w:rPr>
            <w:noProof/>
            <w:webHidden/>
          </w:rPr>
          <w:instrText xml:space="preserve"> PAGEREF _Toc386619612 \h </w:instrText>
        </w:r>
        <w:r>
          <w:rPr>
            <w:noProof/>
            <w:webHidden/>
          </w:rPr>
        </w:r>
        <w:r>
          <w:rPr>
            <w:noProof/>
            <w:webHidden/>
          </w:rPr>
          <w:fldChar w:fldCharType="separate"/>
        </w:r>
        <w:r w:rsidR="00864715">
          <w:rPr>
            <w:noProof/>
            <w:webHidden/>
          </w:rPr>
          <w:t>11</w:t>
        </w:r>
        <w:r>
          <w:rPr>
            <w:noProof/>
            <w:webHidden/>
          </w:rPr>
          <w:fldChar w:fldCharType="end"/>
        </w:r>
      </w:hyperlink>
    </w:p>
    <w:p w:rsidR="00864715" w:rsidRDefault="00B079FB">
      <w:pPr>
        <w:pStyle w:val="TOC4"/>
        <w:tabs>
          <w:tab w:val="left" w:pos="1760"/>
          <w:tab w:val="right" w:leader="dot" w:pos="9060"/>
        </w:tabs>
        <w:rPr>
          <w:rFonts w:asciiTheme="minorHAnsi" w:eastAsiaTheme="minorEastAsia" w:hAnsiTheme="minorHAnsi" w:cstheme="minorBidi"/>
          <w:noProof/>
          <w:szCs w:val="22"/>
          <w:lang w:val="hr-HR" w:eastAsia="hr-HR"/>
        </w:rPr>
      </w:pPr>
      <w:hyperlink w:anchor="_Toc386619613" w:history="1">
        <w:r w:rsidR="00864715" w:rsidRPr="006220C5">
          <w:rPr>
            <w:rStyle w:val="Hyperlink"/>
            <w:noProof/>
            <w:lang w:val="hr-HR"/>
          </w:rPr>
          <w:t>3.2.1.3</w:t>
        </w:r>
        <w:r w:rsidR="00864715">
          <w:rPr>
            <w:rFonts w:asciiTheme="minorHAnsi" w:eastAsiaTheme="minorEastAsia" w:hAnsiTheme="minorHAnsi" w:cstheme="minorBidi"/>
            <w:noProof/>
            <w:szCs w:val="22"/>
            <w:lang w:val="hr-HR" w:eastAsia="hr-HR"/>
          </w:rPr>
          <w:tab/>
        </w:r>
        <w:r w:rsidR="00864715" w:rsidRPr="006220C5">
          <w:rPr>
            <w:rStyle w:val="Hyperlink"/>
            <w:noProof/>
            <w:lang w:val="hr-HR"/>
          </w:rPr>
          <w:t>Trostupanjski test</w:t>
        </w:r>
        <w:r w:rsidR="00864715">
          <w:rPr>
            <w:noProof/>
            <w:webHidden/>
          </w:rPr>
          <w:tab/>
        </w:r>
        <w:r>
          <w:rPr>
            <w:noProof/>
            <w:webHidden/>
          </w:rPr>
          <w:fldChar w:fldCharType="begin"/>
        </w:r>
        <w:r w:rsidR="00864715">
          <w:rPr>
            <w:noProof/>
            <w:webHidden/>
          </w:rPr>
          <w:instrText xml:space="preserve"> PAGEREF _Toc386619613 \h </w:instrText>
        </w:r>
        <w:r>
          <w:rPr>
            <w:noProof/>
            <w:webHidden/>
          </w:rPr>
        </w:r>
        <w:r>
          <w:rPr>
            <w:noProof/>
            <w:webHidden/>
          </w:rPr>
          <w:fldChar w:fldCharType="separate"/>
        </w:r>
        <w:r w:rsidR="00864715">
          <w:rPr>
            <w:noProof/>
            <w:webHidden/>
          </w:rPr>
          <w:t>12</w:t>
        </w:r>
        <w:r>
          <w:rPr>
            <w:noProof/>
            <w:webHidden/>
          </w:rPr>
          <w:fldChar w:fldCharType="end"/>
        </w:r>
      </w:hyperlink>
    </w:p>
    <w:p w:rsidR="00864715" w:rsidRDefault="00B079FB">
      <w:pPr>
        <w:pStyle w:val="TOC3"/>
        <w:tabs>
          <w:tab w:val="left" w:pos="1320"/>
          <w:tab w:val="right" w:leader="dot" w:pos="9060"/>
        </w:tabs>
        <w:rPr>
          <w:rFonts w:asciiTheme="minorHAnsi" w:eastAsiaTheme="minorEastAsia" w:hAnsiTheme="minorHAnsi" w:cstheme="minorBidi"/>
          <w:noProof/>
          <w:szCs w:val="22"/>
          <w:lang w:val="hr-HR" w:eastAsia="hr-HR"/>
        </w:rPr>
      </w:pPr>
      <w:hyperlink w:anchor="_Toc386619614" w:history="1">
        <w:r w:rsidR="00864715" w:rsidRPr="006220C5">
          <w:rPr>
            <w:rStyle w:val="Hyperlink"/>
            <w:noProof/>
          </w:rPr>
          <w:t>3.2.2</w:t>
        </w:r>
        <w:r w:rsidR="00864715">
          <w:rPr>
            <w:rFonts w:asciiTheme="minorHAnsi" w:eastAsiaTheme="minorEastAsia" w:hAnsiTheme="minorHAnsi" w:cstheme="minorBidi"/>
            <w:noProof/>
            <w:szCs w:val="22"/>
            <w:lang w:val="hr-HR" w:eastAsia="hr-HR"/>
          </w:rPr>
          <w:tab/>
        </w:r>
        <w:r w:rsidR="00864715" w:rsidRPr="006220C5">
          <w:rPr>
            <w:rStyle w:val="Hyperlink"/>
            <w:noProof/>
          </w:rPr>
          <w:t>Konvencija o kibernetičkom kriminalitetu</w:t>
        </w:r>
        <w:r w:rsidR="00864715">
          <w:rPr>
            <w:noProof/>
            <w:webHidden/>
          </w:rPr>
          <w:tab/>
        </w:r>
        <w:r>
          <w:rPr>
            <w:noProof/>
            <w:webHidden/>
          </w:rPr>
          <w:fldChar w:fldCharType="begin"/>
        </w:r>
        <w:r w:rsidR="00864715">
          <w:rPr>
            <w:noProof/>
            <w:webHidden/>
          </w:rPr>
          <w:instrText xml:space="preserve"> PAGEREF _Toc386619614 \h </w:instrText>
        </w:r>
        <w:r>
          <w:rPr>
            <w:noProof/>
            <w:webHidden/>
          </w:rPr>
        </w:r>
        <w:r>
          <w:rPr>
            <w:noProof/>
            <w:webHidden/>
          </w:rPr>
          <w:fldChar w:fldCharType="separate"/>
        </w:r>
        <w:r w:rsidR="00864715">
          <w:rPr>
            <w:noProof/>
            <w:webHidden/>
          </w:rPr>
          <w:t>13</w:t>
        </w:r>
        <w:r>
          <w:rPr>
            <w:noProof/>
            <w:webHidden/>
          </w:rPr>
          <w:fldChar w:fldCharType="end"/>
        </w:r>
      </w:hyperlink>
    </w:p>
    <w:p w:rsidR="00864715" w:rsidRDefault="00B079FB">
      <w:pPr>
        <w:pStyle w:val="TOC3"/>
        <w:tabs>
          <w:tab w:val="left" w:pos="1320"/>
          <w:tab w:val="right" w:leader="dot" w:pos="9060"/>
        </w:tabs>
        <w:rPr>
          <w:rFonts w:asciiTheme="minorHAnsi" w:eastAsiaTheme="minorEastAsia" w:hAnsiTheme="minorHAnsi" w:cstheme="minorBidi"/>
          <w:noProof/>
          <w:szCs w:val="22"/>
          <w:lang w:val="hr-HR" w:eastAsia="hr-HR"/>
        </w:rPr>
      </w:pPr>
      <w:hyperlink w:anchor="_Toc386619615" w:history="1">
        <w:r w:rsidR="00864715" w:rsidRPr="006220C5">
          <w:rPr>
            <w:rStyle w:val="Hyperlink"/>
            <w:noProof/>
          </w:rPr>
          <w:t>3.2.3</w:t>
        </w:r>
        <w:r w:rsidR="00864715">
          <w:rPr>
            <w:rFonts w:asciiTheme="minorHAnsi" w:eastAsiaTheme="minorEastAsia" w:hAnsiTheme="minorHAnsi" w:cstheme="minorBidi"/>
            <w:noProof/>
            <w:szCs w:val="22"/>
            <w:lang w:val="hr-HR" w:eastAsia="hr-HR"/>
          </w:rPr>
          <w:tab/>
        </w:r>
        <w:r w:rsidR="00864715" w:rsidRPr="006220C5">
          <w:rPr>
            <w:rStyle w:val="Hyperlink"/>
            <w:noProof/>
          </w:rPr>
          <w:t>Dodatni protokol</w:t>
        </w:r>
        <w:r w:rsidR="00864715">
          <w:rPr>
            <w:noProof/>
            <w:webHidden/>
          </w:rPr>
          <w:tab/>
        </w:r>
        <w:r>
          <w:rPr>
            <w:noProof/>
            <w:webHidden/>
          </w:rPr>
          <w:fldChar w:fldCharType="begin"/>
        </w:r>
        <w:r w:rsidR="00864715">
          <w:rPr>
            <w:noProof/>
            <w:webHidden/>
          </w:rPr>
          <w:instrText xml:space="preserve"> PAGEREF _Toc386619615 \h </w:instrText>
        </w:r>
        <w:r>
          <w:rPr>
            <w:noProof/>
            <w:webHidden/>
          </w:rPr>
        </w:r>
        <w:r>
          <w:rPr>
            <w:noProof/>
            <w:webHidden/>
          </w:rPr>
          <w:fldChar w:fldCharType="separate"/>
        </w:r>
        <w:r w:rsidR="00864715">
          <w:rPr>
            <w:noProof/>
            <w:webHidden/>
          </w:rPr>
          <w:t>13</w:t>
        </w:r>
        <w:r>
          <w:rPr>
            <w:noProof/>
            <w:webHidden/>
          </w:rPr>
          <w:fldChar w:fldCharType="end"/>
        </w:r>
      </w:hyperlink>
    </w:p>
    <w:p w:rsidR="00864715" w:rsidRDefault="00B079FB">
      <w:pPr>
        <w:pStyle w:val="TOC3"/>
        <w:tabs>
          <w:tab w:val="left" w:pos="1320"/>
          <w:tab w:val="right" w:leader="dot" w:pos="9060"/>
        </w:tabs>
        <w:rPr>
          <w:rFonts w:asciiTheme="minorHAnsi" w:eastAsiaTheme="minorEastAsia" w:hAnsiTheme="minorHAnsi" w:cstheme="minorBidi"/>
          <w:noProof/>
          <w:szCs w:val="22"/>
          <w:lang w:val="hr-HR" w:eastAsia="hr-HR"/>
        </w:rPr>
      </w:pPr>
      <w:hyperlink w:anchor="_Toc386619616" w:history="1">
        <w:r w:rsidR="00864715" w:rsidRPr="006220C5">
          <w:rPr>
            <w:rStyle w:val="Hyperlink"/>
            <w:noProof/>
          </w:rPr>
          <w:t>3.2.4</w:t>
        </w:r>
        <w:r w:rsidR="00864715">
          <w:rPr>
            <w:rFonts w:asciiTheme="minorHAnsi" w:eastAsiaTheme="minorEastAsia" w:hAnsiTheme="minorHAnsi" w:cstheme="minorBidi"/>
            <w:noProof/>
            <w:szCs w:val="22"/>
            <w:lang w:val="hr-HR" w:eastAsia="hr-HR"/>
          </w:rPr>
          <w:tab/>
        </w:r>
        <w:r w:rsidR="00864715" w:rsidRPr="006220C5">
          <w:rPr>
            <w:rStyle w:val="Hyperlink"/>
            <w:noProof/>
          </w:rPr>
          <w:t>Pravno neobvezujući instrumenti borbe protiv govora mržnje</w:t>
        </w:r>
        <w:r w:rsidR="00864715">
          <w:rPr>
            <w:noProof/>
            <w:webHidden/>
          </w:rPr>
          <w:tab/>
        </w:r>
        <w:r>
          <w:rPr>
            <w:noProof/>
            <w:webHidden/>
          </w:rPr>
          <w:fldChar w:fldCharType="begin"/>
        </w:r>
        <w:r w:rsidR="00864715">
          <w:rPr>
            <w:noProof/>
            <w:webHidden/>
          </w:rPr>
          <w:instrText xml:space="preserve"> PAGEREF _Toc386619616 \h </w:instrText>
        </w:r>
        <w:r>
          <w:rPr>
            <w:noProof/>
            <w:webHidden/>
          </w:rPr>
        </w:r>
        <w:r>
          <w:rPr>
            <w:noProof/>
            <w:webHidden/>
          </w:rPr>
          <w:fldChar w:fldCharType="separate"/>
        </w:r>
        <w:r w:rsidR="00864715">
          <w:rPr>
            <w:noProof/>
            <w:webHidden/>
          </w:rPr>
          <w:t>14</w:t>
        </w:r>
        <w:r>
          <w:rPr>
            <w:noProof/>
            <w:webHidden/>
          </w:rPr>
          <w:fldChar w:fldCharType="end"/>
        </w:r>
      </w:hyperlink>
    </w:p>
    <w:p w:rsidR="00864715" w:rsidRDefault="00B079FB">
      <w:pPr>
        <w:pStyle w:val="TOC4"/>
        <w:tabs>
          <w:tab w:val="left" w:pos="1760"/>
          <w:tab w:val="right" w:leader="dot" w:pos="9060"/>
        </w:tabs>
        <w:rPr>
          <w:rFonts w:asciiTheme="minorHAnsi" w:eastAsiaTheme="minorEastAsia" w:hAnsiTheme="minorHAnsi" w:cstheme="minorBidi"/>
          <w:noProof/>
          <w:szCs w:val="22"/>
          <w:lang w:val="hr-HR" w:eastAsia="hr-HR"/>
        </w:rPr>
      </w:pPr>
      <w:hyperlink w:anchor="_Toc386619617" w:history="1">
        <w:r w:rsidR="00864715" w:rsidRPr="006220C5">
          <w:rPr>
            <w:rStyle w:val="Hyperlink"/>
            <w:noProof/>
            <w:lang w:val="hr-HR"/>
          </w:rPr>
          <w:t>3.2.4.1</w:t>
        </w:r>
        <w:r w:rsidR="00864715">
          <w:rPr>
            <w:rFonts w:asciiTheme="minorHAnsi" w:eastAsiaTheme="minorEastAsia" w:hAnsiTheme="minorHAnsi" w:cstheme="minorBidi"/>
            <w:noProof/>
            <w:szCs w:val="22"/>
            <w:lang w:val="hr-HR" w:eastAsia="hr-HR"/>
          </w:rPr>
          <w:tab/>
        </w:r>
        <w:r w:rsidR="00864715" w:rsidRPr="006220C5">
          <w:rPr>
            <w:rStyle w:val="Hyperlink"/>
            <w:noProof/>
            <w:lang w:val="hr-HR"/>
          </w:rPr>
          <w:t>Preporuka o govoru mržnje</w:t>
        </w:r>
        <w:r w:rsidR="00864715">
          <w:rPr>
            <w:noProof/>
            <w:webHidden/>
          </w:rPr>
          <w:tab/>
        </w:r>
        <w:r>
          <w:rPr>
            <w:noProof/>
            <w:webHidden/>
          </w:rPr>
          <w:fldChar w:fldCharType="begin"/>
        </w:r>
        <w:r w:rsidR="00864715">
          <w:rPr>
            <w:noProof/>
            <w:webHidden/>
          </w:rPr>
          <w:instrText xml:space="preserve"> PAGEREF _Toc386619617 \h </w:instrText>
        </w:r>
        <w:r>
          <w:rPr>
            <w:noProof/>
            <w:webHidden/>
          </w:rPr>
        </w:r>
        <w:r>
          <w:rPr>
            <w:noProof/>
            <w:webHidden/>
          </w:rPr>
          <w:fldChar w:fldCharType="separate"/>
        </w:r>
        <w:r w:rsidR="00864715">
          <w:rPr>
            <w:noProof/>
            <w:webHidden/>
          </w:rPr>
          <w:t>14</w:t>
        </w:r>
        <w:r>
          <w:rPr>
            <w:noProof/>
            <w:webHidden/>
          </w:rPr>
          <w:fldChar w:fldCharType="end"/>
        </w:r>
      </w:hyperlink>
    </w:p>
    <w:p w:rsidR="00864715" w:rsidRDefault="00B079FB">
      <w:pPr>
        <w:pStyle w:val="TOC4"/>
        <w:tabs>
          <w:tab w:val="left" w:pos="1760"/>
          <w:tab w:val="right" w:leader="dot" w:pos="9060"/>
        </w:tabs>
        <w:rPr>
          <w:rFonts w:asciiTheme="minorHAnsi" w:eastAsiaTheme="minorEastAsia" w:hAnsiTheme="minorHAnsi" w:cstheme="minorBidi"/>
          <w:noProof/>
          <w:szCs w:val="22"/>
          <w:lang w:val="hr-HR" w:eastAsia="hr-HR"/>
        </w:rPr>
      </w:pPr>
      <w:hyperlink w:anchor="_Toc386619618" w:history="1">
        <w:r w:rsidR="00864715" w:rsidRPr="006220C5">
          <w:rPr>
            <w:rStyle w:val="Hyperlink"/>
            <w:noProof/>
            <w:lang w:val="hr-HR"/>
          </w:rPr>
          <w:t>3.2.4.2</w:t>
        </w:r>
        <w:r w:rsidR="00864715">
          <w:rPr>
            <w:rFonts w:asciiTheme="minorHAnsi" w:eastAsiaTheme="minorEastAsia" w:hAnsiTheme="minorHAnsi" w:cstheme="minorBidi"/>
            <w:noProof/>
            <w:szCs w:val="22"/>
            <w:lang w:val="hr-HR" w:eastAsia="hr-HR"/>
          </w:rPr>
          <w:tab/>
        </w:r>
        <w:r w:rsidR="00864715" w:rsidRPr="006220C5">
          <w:rPr>
            <w:rStyle w:val="Hyperlink"/>
            <w:noProof/>
            <w:lang w:val="hr-HR"/>
          </w:rPr>
          <w:t>Opća politička preporuka broj 7</w:t>
        </w:r>
        <w:r w:rsidR="00864715">
          <w:rPr>
            <w:noProof/>
            <w:webHidden/>
          </w:rPr>
          <w:tab/>
        </w:r>
        <w:r>
          <w:rPr>
            <w:noProof/>
            <w:webHidden/>
          </w:rPr>
          <w:fldChar w:fldCharType="begin"/>
        </w:r>
        <w:r w:rsidR="00864715">
          <w:rPr>
            <w:noProof/>
            <w:webHidden/>
          </w:rPr>
          <w:instrText xml:space="preserve"> PAGEREF _Toc386619618 \h </w:instrText>
        </w:r>
        <w:r>
          <w:rPr>
            <w:noProof/>
            <w:webHidden/>
          </w:rPr>
        </w:r>
        <w:r>
          <w:rPr>
            <w:noProof/>
            <w:webHidden/>
          </w:rPr>
          <w:fldChar w:fldCharType="separate"/>
        </w:r>
        <w:r w:rsidR="00864715">
          <w:rPr>
            <w:noProof/>
            <w:webHidden/>
          </w:rPr>
          <w:t>15</w:t>
        </w:r>
        <w:r>
          <w:rPr>
            <w:noProof/>
            <w:webHidden/>
          </w:rPr>
          <w:fldChar w:fldCharType="end"/>
        </w:r>
      </w:hyperlink>
    </w:p>
    <w:p w:rsidR="00864715" w:rsidRDefault="00B079FB">
      <w:pPr>
        <w:pStyle w:val="TOC4"/>
        <w:tabs>
          <w:tab w:val="left" w:pos="1760"/>
          <w:tab w:val="right" w:leader="dot" w:pos="9060"/>
        </w:tabs>
        <w:rPr>
          <w:rFonts w:asciiTheme="minorHAnsi" w:eastAsiaTheme="minorEastAsia" w:hAnsiTheme="minorHAnsi" w:cstheme="minorBidi"/>
          <w:noProof/>
          <w:szCs w:val="22"/>
          <w:lang w:val="hr-HR" w:eastAsia="hr-HR"/>
        </w:rPr>
      </w:pPr>
      <w:hyperlink w:anchor="_Toc386619619" w:history="1">
        <w:r w:rsidR="00864715" w:rsidRPr="006220C5">
          <w:rPr>
            <w:rStyle w:val="Hyperlink"/>
            <w:noProof/>
            <w:lang w:val="fr-FR"/>
          </w:rPr>
          <w:t>3.2.4.3</w:t>
        </w:r>
        <w:r w:rsidR="00864715">
          <w:rPr>
            <w:rFonts w:asciiTheme="minorHAnsi" w:eastAsiaTheme="minorEastAsia" w:hAnsiTheme="minorHAnsi" w:cstheme="minorBidi"/>
            <w:noProof/>
            <w:szCs w:val="22"/>
            <w:lang w:val="hr-HR" w:eastAsia="hr-HR"/>
          </w:rPr>
          <w:tab/>
        </w:r>
        <w:r w:rsidR="00864715" w:rsidRPr="006220C5">
          <w:rPr>
            <w:rStyle w:val="Hyperlink"/>
            <w:noProof/>
            <w:lang w:val="fr-FR"/>
          </w:rPr>
          <w:t>Deklaracija o slobodi komuniciranja na internetu</w:t>
        </w:r>
        <w:r w:rsidR="00864715">
          <w:rPr>
            <w:noProof/>
            <w:webHidden/>
          </w:rPr>
          <w:tab/>
        </w:r>
        <w:r>
          <w:rPr>
            <w:noProof/>
            <w:webHidden/>
          </w:rPr>
          <w:fldChar w:fldCharType="begin"/>
        </w:r>
        <w:r w:rsidR="00864715">
          <w:rPr>
            <w:noProof/>
            <w:webHidden/>
          </w:rPr>
          <w:instrText xml:space="preserve"> PAGEREF _Toc386619619 \h </w:instrText>
        </w:r>
        <w:r>
          <w:rPr>
            <w:noProof/>
            <w:webHidden/>
          </w:rPr>
        </w:r>
        <w:r>
          <w:rPr>
            <w:noProof/>
            <w:webHidden/>
          </w:rPr>
          <w:fldChar w:fldCharType="separate"/>
        </w:r>
        <w:r w:rsidR="00864715">
          <w:rPr>
            <w:noProof/>
            <w:webHidden/>
          </w:rPr>
          <w:t>15</w:t>
        </w:r>
        <w:r>
          <w:rPr>
            <w:noProof/>
            <w:webHidden/>
          </w:rPr>
          <w:fldChar w:fldCharType="end"/>
        </w:r>
      </w:hyperlink>
    </w:p>
    <w:p w:rsidR="00864715" w:rsidRDefault="00B079FB">
      <w:pPr>
        <w:pStyle w:val="TOC2"/>
        <w:tabs>
          <w:tab w:val="left" w:pos="880"/>
          <w:tab w:val="right" w:leader="dot" w:pos="9060"/>
        </w:tabs>
        <w:rPr>
          <w:rFonts w:asciiTheme="minorHAnsi" w:eastAsiaTheme="minorEastAsia" w:hAnsiTheme="minorHAnsi" w:cstheme="minorBidi"/>
          <w:noProof/>
          <w:szCs w:val="22"/>
          <w:lang w:val="hr-HR" w:eastAsia="hr-HR"/>
        </w:rPr>
      </w:pPr>
      <w:hyperlink w:anchor="_Toc386619620" w:history="1">
        <w:r w:rsidR="00864715" w:rsidRPr="006220C5">
          <w:rPr>
            <w:rStyle w:val="Hyperlink"/>
            <w:noProof/>
          </w:rPr>
          <w:t>3.3</w:t>
        </w:r>
        <w:r w:rsidR="00864715">
          <w:rPr>
            <w:rFonts w:asciiTheme="minorHAnsi" w:eastAsiaTheme="minorEastAsia" w:hAnsiTheme="minorHAnsi" w:cstheme="minorBidi"/>
            <w:noProof/>
            <w:szCs w:val="22"/>
            <w:lang w:val="hr-HR" w:eastAsia="hr-HR"/>
          </w:rPr>
          <w:tab/>
        </w:r>
        <w:r w:rsidR="00864715" w:rsidRPr="006220C5">
          <w:rPr>
            <w:rStyle w:val="Hyperlink"/>
            <w:noProof/>
          </w:rPr>
          <w:t>Pravo Europske</w:t>
        </w:r>
        <w:r w:rsidR="0085665F">
          <w:rPr>
            <w:rStyle w:val="Hyperlink"/>
            <w:noProof/>
          </w:rPr>
          <w:t xml:space="preserve"> unije</w:t>
        </w:r>
        <w:r w:rsidR="00864715">
          <w:rPr>
            <w:noProof/>
            <w:webHidden/>
          </w:rPr>
          <w:tab/>
        </w:r>
        <w:r>
          <w:rPr>
            <w:noProof/>
            <w:webHidden/>
          </w:rPr>
          <w:fldChar w:fldCharType="begin"/>
        </w:r>
        <w:r w:rsidR="00864715">
          <w:rPr>
            <w:noProof/>
            <w:webHidden/>
          </w:rPr>
          <w:instrText xml:space="preserve"> PAGEREF _Toc386619620 \h </w:instrText>
        </w:r>
        <w:r>
          <w:rPr>
            <w:noProof/>
            <w:webHidden/>
          </w:rPr>
        </w:r>
        <w:r>
          <w:rPr>
            <w:noProof/>
            <w:webHidden/>
          </w:rPr>
          <w:fldChar w:fldCharType="separate"/>
        </w:r>
        <w:r w:rsidR="00864715">
          <w:rPr>
            <w:noProof/>
            <w:webHidden/>
          </w:rPr>
          <w:t>16</w:t>
        </w:r>
        <w:r>
          <w:rPr>
            <w:noProof/>
            <w:webHidden/>
          </w:rPr>
          <w:fldChar w:fldCharType="end"/>
        </w:r>
      </w:hyperlink>
    </w:p>
    <w:p w:rsidR="00864715" w:rsidRDefault="00B079FB">
      <w:pPr>
        <w:pStyle w:val="TOC1"/>
        <w:tabs>
          <w:tab w:val="left" w:pos="480"/>
          <w:tab w:val="right" w:leader="dot" w:pos="9060"/>
        </w:tabs>
        <w:rPr>
          <w:rFonts w:asciiTheme="minorHAnsi" w:eastAsiaTheme="minorEastAsia" w:hAnsiTheme="minorHAnsi" w:cstheme="minorBidi"/>
          <w:noProof/>
          <w:szCs w:val="22"/>
          <w:lang w:val="hr-HR" w:eastAsia="hr-HR"/>
        </w:rPr>
      </w:pPr>
      <w:hyperlink w:anchor="_Toc386619621" w:history="1">
        <w:r w:rsidR="00864715" w:rsidRPr="006220C5">
          <w:rPr>
            <w:rStyle w:val="Hyperlink"/>
            <w:rFonts w:cs="Arial"/>
            <w:noProof/>
            <w:lang w:val="hr-HR"/>
          </w:rPr>
          <w:t>4</w:t>
        </w:r>
        <w:r w:rsidR="00864715">
          <w:rPr>
            <w:rFonts w:asciiTheme="minorHAnsi" w:eastAsiaTheme="minorEastAsia" w:hAnsiTheme="minorHAnsi" w:cstheme="minorBidi"/>
            <w:noProof/>
            <w:szCs w:val="22"/>
            <w:lang w:val="hr-HR" w:eastAsia="hr-HR"/>
          </w:rPr>
          <w:tab/>
        </w:r>
        <w:r w:rsidR="00864715" w:rsidRPr="006220C5">
          <w:rPr>
            <w:rStyle w:val="Hyperlink"/>
            <w:rFonts w:cs="Arial"/>
            <w:noProof/>
            <w:lang w:val="hr-HR"/>
          </w:rPr>
          <w:t>Nacionalni pravni okvir</w:t>
        </w:r>
        <w:r w:rsidR="00864715">
          <w:rPr>
            <w:noProof/>
            <w:webHidden/>
          </w:rPr>
          <w:tab/>
        </w:r>
        <w:r>
          <w:rPr>
            <w:noProof/>
            <w:webHidden/>
          </w:rPr>
          <w:fldChar w:fldCharType="begin"/>
        </w:r>
        <w:r w:rsidR="00864715">
          <w:rPr>
            <w:noProof/>
            <w:webHidden/>
          </w:rPr>
          <w:instrText xml:space="preserve"> PAGEREF _Toc386619621 \h </w:instrText>
        </w:r>
        <w:r>
          <w:rPr>
            <w:noProof/>
            <w:webHidden/>
          </w:rPr>
        </w:r>
        <w:r>
          <w:rPr>
            <w:noProof/>
            <w:webHidden/>
          </w:rPr>
          <w:fldChar w:fldCharType="separate"/>
        </w:r>
        <w:r w:rsidR="00864715">
          <w:rPr>
            <w:noProof/>
            <w:webHidden/>
          </w:rPr>
          <w:t>16</w:t>
        </w:r>
        <w:r>
          <w:rPr>
            <w:noProof/>
            <w:webHidden/>
          </w:rPr>
          <w:fldChar w:fldCharType="end"/>
        </w:r>
      </w:hyperlink>
    </w:p>
    <w:p w:rsidR="00864715" w:rsidRDefault="00B079FB">
      <w:pPr>
        <w:pStyle w:val="TOC2"/>
        <w:tabs>
          <w:tab w:val="left" w:pos="880"/>
          <w:tab w:val="right" w:leader="dot" w:pos="9060"/>
        </w:tabs>
        <w:rPr>
          <w:rFonts w:asciiTheme="minorHAnsi" w:eastAsiaTheme="minorEastAsia" w:hAnsiTheme="minorHAnsi" w:cstheme="minorBidi"/>
          <w:noProof/>
          <w:szCs w:val="22"/>
          <w:lang w:val="hr-HR" w:eastAsia="hr-HR"/>
        </w:rPr>
      </w:pPr>
      <w:hyperlink w:anchor="_Toc386619622" w:history="1">
        <w:r w:rsidR="00864715" w:rsidRPr="006220C5">
          <w:rPr>
            <w:rStyle w:val="Hyperlink"/>
            <w:rFonts w:cs="Arial"/>
            <w:noProof/>
          </w:rPr>
          <w:t>4.1</w:t>
        </w:r>
        <w:r w:rsidR="00864715">
          <w:rPr>
            <w:rFonts w:asciiTheme="minorHAnsi" w:eastAsiaTheme="minorEastAsia" w:hAnsiTheme="minorHAnsi" w:cstheme="minorBidi"/>
            <w:noProof/>
            <w:szCs w:val="22"/>
            <w:lang w:val="hr-HR" w:eastAsia="hr-HR"/>
          </w:rPr>
          <w:tab/>
        </w:r>
        <w:r w:rsidR="00864715" w:rsidRPr="006220C5">
          <w:rPr>
            <w:rStyle w:val="Hyperlink"/>
            <w:rFonts w:cs="Arial"/>
            <w:noProof/>
          </w:rPr>
          <w:t>Ustav</w:t>
        </w:r>
        <w:r w:rsidR="00864715">
          <w:rPr>
            <w:noProof/>
            <w:webHidden/>
          </w:rPr>
          <w:tab/>
        </w:r>
        <w:r>
          <w:rPr>
            <w:noProof/>
            <w:webHidden/>
          </w:rPr>
          <w:fldChar w:fldCharType="begin"/>
        </w:r>
        <w:r w:rsidR="00864715">
          <w:rPr>
            <w:noProof/>
            <w:webHidden/>
          </w:rPr>
          <w:instrText xml:space="preserve"> PAGEREF _Toc386619622 \h </w:instrText>
        </w:r>
        <w:r>
          <w:rPr>
            <w:noProof/>
            <w:webHidden/>
          </w:rPr>
        </w:r>
        <w:r>
          <w:rPr>
            <w:noProof/>
            <w:webHidden/>
          </w:rPr>
          <w:fldChar w:fldCharType="separate"/>
        </w:r>
        <w:r w:rsidR="00864715">
          <w:rPr>
            <w:noProof/>
            <w:webHidden/>
          </w:rPr>
          <w:t>16</w:t>
        </w:r>
        <w:r>
          <w:rPr>
            <w:noProof/>
            <w:webHidden/>
          </w:rPr>
          <w:fldChar w:fldCharType="end"/>
        </w:r>
      </w:hyperlink>
    </w:p>
    <w:p w:rsidR="00864715" w:rsidRDefault="00B079FB">
      <w:pPr>
        <w:pStyle w:val="TOC2"/>
        <w:tabs>
          <w:tab w:val="left" w:pos="880"/>
          <w:tab w:val="right" w:leader="dot" w:pos="9060"/>
        </w:tabs>
        <w:rPr>
          <w:rFonts w:asciiTheme="minorHAnsi" w:eastAsiaTheme="minorEastAsia" w:hAnsiTheme="minorHAnsi" w:cstheme="minorBidi"/>
          <w:noProof/>
          <w:szCs w:val="22"/>
          <w:lang w:val="hr-HR" w:eastAsia="hr-HR"/>
        </w:rPr>
      </w:pPr>
      <w:hyperlink w:anchor="_Toc386619623" w:history="1">
        <w:r w:rsidR="00864715" w:rsidRPr="006220C5">
          <w:rPr>
            <w:rStyle w:val="Hyperlink"/>
            <w:rFonts w:cs="Arial"/>
            <w:noProof/>
          </w:rPr>
          <w:t>4.2</w:t>
        </w:r>
        <w:r w:rsidR="00864715">
          <w:rPr>
            <w:rFonts w:asciiTheme="minorHAnsi" w:eastAsiaTheme="minorEastAsia" w:hAnsiTheme="minorHAnsi" w:cstheme="minorBidi"/>
            <w:noProof/>
            <w:szCs w:val="22"/>
            <w:lang w:val="hr-HR" w:eastAsia="hr-HR"/>
          </w:rPr>
          <w:tab/>
        </w:r>
        <w:r w:rsidR="00864715" w:rsidRPr="006220C5">
          <w:rPr>
            <w:rStyle w:val="Hyperlink"/>
            <w:rFonts w:cs="Arial"/>
            <w:noProof/>
          </w:rPr>
          <w:t>Kazneni zakon</w:t>
        </w:r>
        <w:r w:rsidR="00864715">
          <w:rPr>
            <w:noProof/>
            <w:webHidden/>
          </w:rPr>
          <w:tab/>
        </w:r>
        <w:r>
          <w:rPr>
            <w:noProof/>
            <w:webHidden/>
          </w:rPr>
          <w:fldChar w:fldCharType="begin"/>
        </w:r>
        <w:r w:rsidR="00864715">
          <w:rPr>
            <w:noProof/>
            <w:webHidden/>
          </w:rPr>
          <w:instrText xml:space="preserve"> PAGEREF _Toc386619623 \h </w:instrText>
        </w:r>
        <w:r>
          <w:rPr>
            <w:noProof/>
            <w:webHidden/>
          </w:rPr>
        </w:r>
        <w:r>
          <w:rPr>
            <w:noProof/>
            <w:webHidden/>
          </w:rPr>
          <w:fldChar w:fldCharType="separate"/>
        </w:r>
        <w:r w:rsidR="00864715">
          <w:rPr>
            <w:noProof/>
            <w:webHidden/>
          </w:rPr>
          <w:t>16</w:t>
        </w:r>
        <w:r>
          <w:rPr>
            <w:noProof/>
            <w:webHidden/>
          </w:rPr>
          <w:fldChar w:fldCharType="end"/>
        </w:r>
      </w:hyperlink>
    </w:p>
    <w:p w:rsidR="00864715" w:rsidRDefault="00B079FB">
      <w:pPr>
        <w:pStyle w:val="TOC3"/>
        <w:tabs>
          <w:tab w:val="left" w:pos="1320"/>
          <w:tab w:val="right" w:leader="dot" w:pos="9060"/>
        </w:tabs>
        <w:rPr>
          <w:rFonts w:asciiTheme="minorHAnsi" w:eastAsiaTheme="minorEastAsia" w:hAnsiTheme="minorHAnsi" w:cstheme="minorBidi"/>
          <w:noProof/>
          <w:szCs w:val="22"/>
          <w:lang w:val="hr-HR" w:eastAsia="hr-HR"/>
        </w:rPr>
      </w:pPr>
      <w:hyperlink w:anchor="_Toc386619624" w:history="1">
        <w:r w:rsidR="00864715" w:rsidRPr="006220C5">
          <w:rPr>
            <w:rStyle w:val="Hyperlink"/>
            <w:noProof/>
          </w:rPr>
          <w:t>4.2.1</w:t>
        </w:r>
        <w:r w:rsidR="00864715">
          <w:rPr>
            <w:rFonts w:asciiTheme="minorHAnsi" w:eastAsiaTheme="minorEastAsia" w:hAnsiTheme="minorHAnsi" w:cstheme="minorBidi"/>
            <w:noProof/>
            <w:szCs w:val="22"/>
            <w:lang w:val="hr-HR" w:eastAsia="hr-HR"/>
          </w:rPr>
          <w:tab/>
        </w:r>
        <w:r w:rsidR="00864715" w:rsidRPr="006220C5">
          <w:rPr>
            <w:rStyle w:val="Hyperlink"/>
            <w:noProof/>
          </w:rPr>
          <w:t>Zločin iz mržnje</w:t>
        </w:r>
        <w:r w:rsidR="00864715">
          <w:rPr>
            <w:noProof/>
            <w:webHidden/>
          </w:rPr>
          <w:tab/>
        </w:r>
        <w:r>
          <w:rPr>
            <w:noProof/>
            <w:webHidden/>
          </w:rPr>
          <w:fldChar w:fldCharType="begin"/>
        </w:r>
        <w:r w:rsidR="00864715">
          <w:rPr>
            <w:noProof/>
            <w:webHidden/>
          </w:rPr>
          <w:instrText xml:space="preserve"> PAGEREF _Toc386619624 \h </w:instrText>
        </w:r>
        <w:r>
          <w:rPr>
            <w:noProof/>
            <w:webHidden/>
          </w:rPr>
        </w:r>
        <w:r>
          <w:rPr>
            <w:noProof/>
            <w:webHidden/>
          </w:rPr>
          <w:fldChar w:fldCharType="separate"/>
        </w:r>
        <w:r w:rsidR="00864715">
          <w:rPr>
            <w:noProof/>
            <w:webHidden/>
          </w:rPr>
          <w:t>17</w:t>
        </w:r>
        <w:r>
          <w:rPr>
            <w:noProof/>
            <w:webHidden/>
          </w:rPr>
          <w:fldChar w:fldCharType="end"/>
        </w:r>
      </w:hyperlink>
    </w:p>
    <w:p w:rsidR="00864715" w:rsidRDefault="00B079FB">
      <w:pPr>
        <w:pStyle w:val="TOC3"/>
        <w:tabs>
          <w:tab w:val="left" w:pos="1320"/>
          <w:tab w:val="right" w:leader="dot" w:pos="9060"/>
        </w:tabs>
        <w:rPr>
          <w:rFonts w:asciiTheme="minorHAnsi" w:eastAsiaTheme="minorEastAsia" w:hAnsiTheme="minorHAnsi" w:cstheme="minorBidi"/>
          <w:noProof/>
          <w:szCs w:val="22"/>
          <w:lang w:val="hr-HR" w:eastAsia="hr-HR"/>
        </w:rPr>
      </w:pPr>
      <w:hyperlink w:anchor="_Toc386619625" w:history="1">
        <w:r w:rsidR="00864715" w:rsidRPr="006220C5">
          <w:rPr>
            <w:rStyle w:val="Hyperlink"/>
            <w:noProof/>
          </w:rPr>
          <w:t>4.2.2</w:t>
        </w:r>
        <w:r w:rsidR="00864715">
          <w:rPr>
            <w:rFonts w:asciiTheme="minorHAnsi" w:eastAsiaTheme="minorEastAsia" w:hAnsiTheme="minorHAnsi" w:cstheme="minorBidi"/>
            <w:noProof/>
            <w:szCs w:val="22"/>
            <w:lang w:val="hr-HR" w:eastAsia="hr-HR"/>
          </w:rPr>
          <w:tab/>
        </w:r>
        <w:r w:rsidR="00864715" w:rsidRPr="006220C5">
          <w:rPr>
            <w:rStyle w:val="Hyperlink"/>
            <w:noProof/>
          </w:rPr>
          <w:t>Javno poticanje na nasilje i mržnju</w:t>
        </w:r>
        <w:r w:rsidR="00864715">
          <w:rPr>
            <w:noProof/>
            <w:webHidden/>
          </w:rPr>
          <w:tab/>
        </w:r>
        <w:r>
          <w:rPr>
            <w:noProof/>
            <w:webHidden/>
          </w:rPr>
          <w:fldChar w:fldCharType="begin"/>
        </w:r>
        <w:r w:rsidR="00864715">
          <w:rPr>
            <w:noProof/>
            <w:webHidden/>
          </w:rPr>
          <w:instrText xml:space="preserve"> PAGEREF _Toc386619625 \h </w:instrText>
        </w:r>
        <w:r>
          <w:rPr>
            <w:noProof/>
            <w:webHidden/>
          </w:rPr>
        </w:r>
        <w:r>
          <w:rPr>
            <w:noProof/>
            <w:webHidden/>
          </w:rPr>
          <w:fldChar w:fldCharType="separate"/>
        </w:r>
        <w:r w:rsidR="00864715">
          <w:rPr>
            <w:noProof/>
            <w:webHidden/>
          </w:rPr>
          <w:t>17</w:t>
        </w:r>
        <w:r>
          <w:rPr>
            <w:noProof/>
            <w:webHidden/>
          </w:rPr>
          <w:fldChar w:fldCharType="end"/>
        </w:r>
      </w:hyperlink>
    </w:p>
    <w:p w:rsidR="00864715" w:rsidRDefault="00B079FB">
      <w:pPr>
        <w:pStyle w:val="TOC2"/>
        <w:tabs>
          <w:tab w:val="left" w:pos="880"/>
          <w:tab w:val="right" w:leader="dot" w:pos="9060"/>
        </w:tabs>
        <w:rPr>
          <w:rFonts w:asciiTheme="minorHAnsi" w:eastAsiaTheme="minorEastAsia" w:hAnsiTheme="minorHAnsi" w:cstheme="minorBidi"/>
          <w:noProof/>
          <w:szCs w:val="22"/>
          <w:lang w:val="hr-HR" w:eastAsia="hr-HR"/>
        </w:rPr>
      </w:pPr>
      <w:hyperlink w:anchor="_Toc386619626" w:history="1">
        <w:r w:rsidR="00864715" w:rsidRPr="006220C5">
          <w:rPr>
            <w:rStyle w:val="Hyperlink"/>
            <w:rFonts w:cs="Arial"/>
            <w:noProof/>
          </w:rPr>
          <w:t>4.3</w:t>
        </w:r>
        <w:r w:rsidR="00864715">
          <w:rPr>
            <w:rFonts w:asciiTheme="minorHAnsi" w:eastAsiaTheme="minorEastAsia" w:hAnsiTheme="minorHAnsi" w:cstheme="minorBidi"/>
            <w:noProof/>
            <w:szCs w:val="22"/>
            <w:lang w:val="hr-HR" w:eastAsia="hr-HR"/>
          </w:rPr>
          <w:tab/>
        </w:r>
        <w:r w:rsidR="00864715" w:rsidRPr="006220C5">
          <w:rPr>
            <w:rStyle w:val="Hyperlink"/>
            <w:rFonts w:cs="Arial"/>
            <w:noProof/>
          </w:rPr>
          <w:t>Leges speciales</w:t>
        </w:r>
        <w:r w:rsidR="00864715">
          <w:rPr>
            <w:noProof/>
            <w:webHidden/>
          </w:rPr>
          <w:tab/>
        </w:r>
        <w:r>
          <w:rPr>
            <w:noProof/>
            <w:webHidden/>
          </w:rPr>
          <w:fldChar w:fldCharType="begin"/>
        </w:r>
        <w:r w:rsidR="00864715">
          <w:rPr>
            <w:noProof/>
            <w:webHidden/>
          </w:rPr>
          <w:instrText xml:space="preserve"> PAGEREF _Toc386619626 \h </w:instrText>
        </w:r>
        <w:r>
          <w:rPr>
            <w:noProof/>
            <w:webHidden/>
          </w:rPr>
        </w:r>
        <w:r>
          <w:rPr>
            <w:noProof/>
            <w:webHidden/>
          </w:rPr>
          <w:fldChar w:fldCharType="separate"/>
        </w:r>
        <w:r w:rsidR="00864715">
          <w:rPr>
            <w:noProof/>
            <w:webHidden/>
          </w:rPr>
          <w:t>18</w:t>
        </w:r>
        <w:r>
          <w:rPr>
            <w:noProof/>
            <w:webHidden/>
          </w:rPr>
          <w:fldChar w:fldCharType="end"/>
        </w:r>
      </w:hyperlink>
    </w:p>
    <w:p w:rsidR="00864715" w:rsidRDefault="00B079FB">
      <w:pPr>
        <w:pStyle w:val="TOC1"/>
        <w:tabs>
          <w:tab w:val="left" w:pos="480"/>
          <w:tab w:val="right" w:leader="dot" w:pos="9060"/>
        </w:tabs>
        <w:rPr>
          <w:rFonts w:asciiTheme="minorHAnsi" w:eastAsiaTheme="minorEastAsia" w:hAnsiTheme="minorHAnsi" w:cstheme="minorBidi"/>
          <w:noProof/>
          <w:szCs w:val="22"/>
          <w:lang w:val="hr-HR" w:eastAsia="hr-HR"/>
        </w:rPr>
      </w:pPr>
      <w:hyperlink w:anchor="_Toc386619627" w:history="1">
        <w:r w:rsidR="00864715" w:rsidRPr="006220C5">
          <w:rPr>
            <w:rStyle w:val="Hyperlink"/>
            <w:noProof/>
            <w:lang w:val="hr-HR"/>
          </w:rPr>
          <w:t>5</w:t>
        </w:r>
        <w:r w:rsidR="00864715">
          <w:rPr>
            <w:rFonts w:asciiTheme="minorHAnsi" w:eastAsiaTheme="minorEastAsia" w:hAnsiTheme="minorHAnsi" w:cstheme="minorBidi"/>
            <w:noProof/>
            <w:szCs w:val="22"/>
            <w:lang w:val="hr-HR" w:eastAsia="hr-HR"/>
          </w:rPr>
          <w:tab/>
        </w:r>
        <w:r w:rsidR="00864715" w:rsidRPr="006220C5">
          <w:rPr>
            <w:rStyle w:val="Hyperlink"/>
            <w:noProof/>
            <w:lang w:val="hr-HR"/>
          </w:rPr>
          <w:t>Differentia specifica govora mržnje na internetu</w:t>
        </w:r>
        <w:r w:rsidR="00864715">
          <w:rPr>
            <w:noProof/>
            <w:webHidden/>
          </w:rPr>
          <w:tab/>
        </w:r>
        <w:r>
          <w:rPr>
            <w:noProof/>
            <w:webHidden/>
          </w:rPr>
          <w:fldChar w:fldCharType="begin"/>
        </w:r>
        <w:r w:rsidR="00864715">
          <w:rPr>
            <w:noProof/>
            <w:webHidden/>
          </w:rPr>
          <w:instrText xml:space="preserve"> PAGEREF _Toc386619627 \h </w:instrText>
        </w:r>
        <w:r>
          <w:rPr>
            <w:noProof/>
            <w:webHidden/>
          </w:rPr>
        </w:r>
        <w:r>
          <w:rPr>
            <w:noProof/>
            <w:webHidden/>
          </w:rPr>
          <w:fldChar w:fldCharType="separate"/>
        </w:r>
        <w:r w:rsidR="00864715">
          <w:rPr>
            <w:noProof/>
            <w:webHidden/>
          </w:rPr>
          <w:t>19</w:t>
        </w:r>
        <w:r>
          <w:rPr>
            <w:noProof/>
            <w:webHidden/>
          </w:rPr>
          <w:fldChar w:fldCharType="end"/>
        </w:r>
      </w:hyperlink>
    </w:p>
    <w:p w:rsidR="00864715" w:rsidRDefault="00B079FB">
      <w:pPr>
        <w:pStyle w:val="TOC1"/>
        <w:tabs>
          <w:tab w:val="left" w:pos="480"/>
          <w:tab w:val="right" w:leader="dot" w:pos="9060"/>
        </w:tabs>
        <w:rPr>
          <w:rFonts w:asciiTheme="minorHAnsi" w:eastAsiaTheme="minorEastAsia" w:hAnsiTheme="minorHAnsi" w:cstheme="minorBidi"/>
          <w:noProof/>
          <w:szCs w:val="22"/>
          <w:lang w:val="hr-HR" w:eastAsia="hr-HR"/>
        </w:rPr>
      </w:pPr>
      <w:hyperlink w:anchor="_Toc386619628" w:history="1">
        <w:r w:rsidR="00864715" w:rsidRPr="006220C5">
          <w:rPr>
            <w:rStyle w:val="Hyperlink"/>
            <w:rFonts w:cs="Arial"/>
            <w:noProof/>
            <w:lang w:val="hr-HR"/>
          </w:rPr>
          <w:t>6</w:t>
        </w:r>
        <w:r w:rsidR="00864715">
          <w:rPr>
            <w:rFonts w:asciiTheme="minorHAnsi" w:eastAsiaTheme="minorEastAsia" w:hAnsiTheme="minorHAnsi" w:cstheme="minorBidi"/>
            <w:noProof/>
            <w:szCs w:val="22"/>
            <w:lang w:val="hr-HR" w:eastAsia="hr-HR"/>
          </w:rPr>
          <w:tab/>
        </w:r>
        <w:r w:rsidR="00864715">
          <w:rPr>
            <w:rStyle w:val="Hyperlink"/>
            <w:rFonts w:cs="Arial"/>
            <w:noProof/>
            <w:lang w:val="hr-HR"/>
          </w:rPr>
          <w:t>N</w:t>
        </w:r>
        <w:r w:rsidR="00864715" w:rsidRPr="006220C5">
          <w:rPr>
            <w:rStyle w:val="Hyperlink"/>
            <w:rFonts w:cs="Arial"/>
            <w:noProof/>
            <w:lang w:val="hr-HR"/>
          </w:rPr>
          <w:t>ositelji odgovornosti – tvorci sadržaja i posrednici</w:t>
        </w:r>
        <w:r w:rsidR="00864715">
          <w:rPr>
            <w:noProof/>
            <w:webHidden/>
          </w:rPr>
          <w:tab/>
        </w:r>
        <w:r>
          <w:rPr>
            <w:noProof/>
            <w:webHidden/>
          </w:rPr>
          <w:fldChar w:fldCharType="begin"/>
        </w:r>
        <w:r w:rsidR="00864715">
          <w:rPr>
            <w:noProof/>
            <w:webHidden/>
          </w:rPr>
          <w:instrText xml:space="preserve"> PAGEREF _Toc386619628 \h </w:instrText>
        </w:r>
        <w:r>
          <w:rPr>
            <w:noProof/>
            <w:webHidden/>
          </w:rPr>
        </w:r>
        <w:r>
          <w:rPr>
            <w:noProof/>
            <w:webHidden/>
          </w:rPr>
          <w:fldChar w:fldCharType="separate"/>
        </w:r>
        <w:r w:rsidR="00864715">
          <w:rPr>
            <w:noProof/>
            <w:webHidden/>
          </w:rPr>
          <w:t>21</w:t>
        </w:r>
        <w:r>
          <w:rPr>
            <w:noProof/>
            <w:webHidden/>
          </w:rPr>
          <w:fldChar w:fldCharType="end"/>
        </w:r>
      </w:hyperlink>
    </w:p>
    <w:p w:rsidR="00864715" w:rsidRDefault="00B079FB">
      <w:pPr>
        <w:pStyle w:val="TOC2"/>
        <w:tabs>
          <w:tab w:val="left" w:pos="880"/>
          <w:tab w:val="right" w:leader="dot" w:pos="9060"/>
        </w:tabs>
        <w:rPr>
          <w:rFonts w:asciiTheme="minorHAnsi" w:eastAsiaTheme="minorEastAsia" w:hAnsiTheme="minorHAnsi" w:cstheme="minorBidi"/>
          <w:noProof/>
          <w:szCs w:val="22"/>
          <w:lang w:val="hr-HR" w:eastAsia="hr-HR"/>
        </w:rPr>
      </w:pPr>
      <w:hyperlink w:anchor="_Toc386619629" w:history="1">
        <w:r w:rsidR="00864715" w:rsidRPr="006220C5">
          <w:rPr>
            <w:rStyle w:val="Hyperlink"/>
            <w:rFonts w:cs="Arial"/>
            <w:noProof/>
          </w:rPr>
          <w:t>6.1</w:t>
        </w:r>
        <w:r w:rsidR="00864715">
          <w:rPr>
            <w:rFonts w:asciiTheme="minorHAnsi" w:eastAsiaTheme="minorEastAsia" w:hAnsiTheme="minorHAnsi" w:cstheme="minorBidi"/>
            <w:noProof/>
            <w:szCs w:val="22"/>
            <w:lang w:val="hr-HR" w:eastAsia="hr-HR"/>
          </w:rPr>
          <w:tab/>
        </w:r>
        <w:r w:rsidR="00864715" w:rsidRPr="006220C5">
          <w:rPr>
            <w:rStyle w:val="Hyperlink"/>
            <w:rFonts w:cs="Arial"/>
            <w:noProof/>
          </w:rPr>
          <w:t>Odgovornost za izjave trećih</w:t>
        </w:r>
        <w:r w:rsidR="00864715">
          <w:rPr>
            <w:noProof/>
            <w:webHidden/>
          </w:rPr>
          <w:tab/>
        </w:r>
        <w:r>
          <w:rPr>
            <w:noProof/>
            <w:webHidden/>
          </w:rPr>
          <w:fldChar w:fldCharType="begin"/>
        </w:r>
        <w:r w:rsidR="00864715">
          <w:rPr>
            <w:noProof/>
            <w:webHidden/>
          </w:rPr>
          <w:instrText xml:space="preserve"> PAGEREF _Toc386619629 \h </w:instrText>
        </w:r>
        <w:r>
          <w:rPr>
            <w:noProof/>
            <w:webHidden/>
          </w:rPr>
        </w:r>
        <w:r>
          <w:rPr>
            <w:noProof/>
            <w:webHidden/>
          </w:rPr>
          <w:fldChar w:fldCharType="separate"/>
        </w:r>
        <w:r w:rsidR="00864715">
          <w:rPr>
            <w:noProof/>
            <w:webHidden/>
          </w:rPr>
          <w:t>22</w:t>
        </w:r>
        <w:r>
          <w:rPr>
            <w:noProof/>
            <w:webHidden/>
          </w:rPr>
          <w:fldChar w:fldCharType="end"/>
        </w:r>
      </w:hyperlink>
    </w:p>
    <w:p w:rsidR="00864715" w:rsidRDefault="00B079FB">
      <w:pPr>
        <w:pStyle w:val="TOC3"/>
        <w:tabs>
          <w:tab w:val="left" w:pos="1320"/>
          <w:tab w:val="right" w:leader="dot" w:pos="9060"/>
        </w:tabs>
        <w:rPr>
          <w:rFonts w:asciiTheme="minorHAnsi" w:eastAsiaTheme="minorEastAsia" w:hAnsiTheme="minorHAnsi" w:cstheme="minorBidi"/>
          <w:noProof/>
          <w:szCs w:val="22"/>
          <w:lang w:val="hr-HR" w:eastAsia="hr-HR"/>
        </w:rPr>
      </w:pPr>
      <w:hyperlink w:anchor="_Toc386619630" w:history="1">
        <w:r w:rsidR="00864715" w:rsidRPr="006220C5">
          <w:rPr>
            <w:rStyle w:val="Hyperlink"/>
            <w:noProof/>
          </w:rPr>
          <w:t>6.1.1</w:t>
        </w:r>
        <w:r w:rsidR="00864715">
          <w:rPr>
            <w:rFonts w:asciiTheme="minorHAnsi" w:eastAsiaTheme="minorEastAsia" w:hAnsiTheme="minorHAnsi" w:cstheme="minorBidi"/>
            <w:noProof/>
            <w:szCs w:val="22"/>
            <w:lang w:val="hr-HR" w:eastAsia="hr-HR"/>
          </w:rPr>
          <w:tab/>
        </w:r>
        <w:r w:rsidR="00864715" w:rsidRPr="006220C5">
          <w:rPr>
            <w:rStyle w:val="Hyperlink"/>
            <w:noProof/>
          </w:rPr>
          <w:t>Regulacija i izazovi usmjerenja odgovornosti na posrednika</w:t>
        </w:r>
        <w:r w:rsidR="00864715">
          <w:rPr>
            <w:noProof/>
            <w:webHidden/>
          </w:rPr>
          <w:tab/>
        </w:r>
        <w:r>
          <w:rPr>
            <w:noProof/>
            <w:webHidden/>
          </w:rPr>
          <w:fldChar w:fldCharType="begin"/>
        </w:r>
        <w:r w:rsidR="00864715">
          <w:rPr>
            <w:noProof/>
            <w:webHidden/>
          </w:rPr>
          <w:instrText xml:space="preserve"> PAGEREF _Toc386619630 \h </w:instrText>
        </w:r>
        <w:r>
          <w:rPr>
            <w:noProof/>
            <w:webHidden/>
          </w:rPr>
        </w:r>
        <w:r>
          <w:rPr>
            <w:noProof/>
            <w:webHidden/>
          </w:rPr>
          <w:fldChar w:fldCharType="separate"/>
        </w:r>
        <w:r w:rsidR="00864715">
          <w:rPr>
            <w:noProof/>
            <w:webHidden/>
          </w:rPr>
          <w:t>23</w:t>
        </w:r>
        <w:r>
          <w:rPr>
            <w:noProof/>
            <w:webHidden/>
          </w:rPr>
          <w:fldChar w:fldCharType="end"/>
        </w:r>
      </w:hyperlink>
    </w:p>
    <w:p w:rsidR="00864715" w:rsidRDefault="00B079FB">
      <w:pPr>
        <w:pStyle w:val="TOC4"/>
        <w:tabs>
          <w:tab w:val="left" w:pos="1760"/>
          <w:tab w:val="right" w:leader="dot" w:pos="9060"/>
        </w:tabs>
        <w:rPr>
          <w:rFonts w:asciiTheme="minorHAnsi" w:eastAsiaTheme="minorEastAsia" w:hAnsiTheme="minorHAnsi" w:cstheme="minorBidi"/>
          <w:noProof/>
          <w:szCs w:val="22"/>
          <w:lang w:val="hr-HR" w:eastAsia="hr-HR"/>
        </w:rPr>
      </w:pPr>
      <w:hyperlink w:anchor="_Toc386619631" w:history="1">
        <w:r w:rsidR="00864715" w:rsidRPr="006220C5">
          <w:rPr>
            <w:rStyle w:val="Hyperlink"/>
            <w:noProof/>
            <w:lang w:val="hr-HR"/>
          </w:rPr>
          <w:t>6.1.1.1</w:t>
        </w:r>
        <w:r w:rsidR="00864715">
          <w:rPr>
            <w:rFonts w:asciiTheme="minorHAnsi" w:eastAsiaTheme="minorEastAsia" w:hAnsiTheme="minorHAnsi" w:cstheme="minorBidi"/>
            <w:noProof/>
            <w:szCs w:val="22"/>
            <w:lang w:val="hr-HR" w:eastAsia="hr-HR"/>
          </w:rPr>
          <w:tab/>
        </w:r>
        <w:r w:rsidR="00864715" w:rsidRPr="006220C5">
          <w:rPr>
            <w:rStyle w:val="Hyperlink"/>
            <w:noProof/>
            <w:lang w:val="hr-HR"/>
          </w:rPr>
          <w:t>Zakon o odgovornosti pravnih osoba za kaznena djela</w:t>
        </w:r>
        <w:r w:rsidR="00864715">
          <w:rPr>
            <w:noProof/>
            <w:webHidden/>
          </w:rPr>
          <w:tab/>
        </w:r>
        <w:r>
          <w:rPr>
            <w:noProof/>
            <w:webHidden/>
          </w:rPr>
          <w:fldChar w:fldCharType="begin"/>
        </w:r>
        <w:r w:rsidR="00864715">
          <w:rPr>
            <w:noProof/>
            <w:webHidden/>
          </w:rPr>
          <w:instrText xml:space="preserve"> PAGEREF _Toc386619631 \h </w:instrText>
        </w:r>
        <w:r>
          <w:rPr>
            <w:noProof/>
            <w:webHidden/>
          </w:rPr>
        </w:r>
        <w:r>
          <w:rPr>
            <w:noProof/>
            <w:webHidden/>
          </w:rPr>
          <w:fldChar w:fldCharType="separate"/>
        </w:r>
        <w:r w:rsidR="00864715">
          <w:rPr>
            <w:noProof/>
            <w:webHidden/>
          </w:rPr>
          <w:t>28</w:t>
        </w:r>
        <w:r>
          <w:rPr>
            <w:noProof/>
            <w:webHidden/>
          </w:rPr>
          <w:fldChar w:fldCharType="end"/>
        </w:r>
      </w:hyperlink>
    </w:p>
    <w:p w:rsidR="00864715" w:rsidRDefault="00B079FB">
      <w:pPr>
        <w:pStyle w:val="TOC1"/>
        <w:tabs>
          <w:tab w:val="left" w:pos="480"/>
          <w:tab w:val="right" w:leader="dot" w:pos="9060"/>
        </w:tabs>
        <w:rPr>
          <w:rFonts w:asciiTheme="minorHAnsi" w:eastAsiaTheme="minorEastAsia" w:hAnsiTheme="minorHAnsi" w:cstheme="minorBidi"/>
          <w:noProof/>
          <w:szCs w:val="22"/>
          <w:lang w:val="hr-HR" w:eastAsia="hr-HR"/>
        </w:rPr>
      </w:pPr>
      <w:hyperlink w:anchor="_Toc386619632" w:history="1">
        <w:r w:rsidR="00864715" w:rsidRPr="006220C5">
          <w:rPr>
            <w:rStyle w:val="Hyperlink"/>
            <w:noProof/>
          </w:rPr>
          <w:t>7</w:t>
        </w:r>
        <w:r w:rsidR="00864715">
          <w:rPr>
            <w:rFonts w:asciiTheme="minorHAnsi" w:eastAsiaTheme="minorEastAsia" w:hAnsiTheme="minorHAnsi" w:cstheme="minorBidi"/>
            <w:noProof/>
            <w:szCs w:val="22"/>
            <w:lang w:val="hr-HR" w:eastAsia="hr-HR"/>
          </w:rPr>
          <w:tab/>
        </w:r>
        <w:r w:rsidR="00864715" w:rsidRPr="006220C5">
          <w:rPr>
            <w:rStyle w:val="Hyperlink"/>
            <w:noProof/>
          </w:rPr>
          <w:t>Pregled sudske prakse</w:t>
        </w:r>
        <w:r w:rsidR="00864715">
          <w:rPr>
            <w:noProof/>
            <w:webHidden/>
          </w:rPr>
          <w:tab/>
        </w:r>
        <w:r>
          <w:rPr>
            <w:noProof/>
            <w:webHidden/>
          </w:rPr>
          <w:fldChar w:fldCharType="begin"/>
        </w:r>
        <w:r w:rsidR="00864715">
          <w:rPr>
            <w:noProof/>
            <w:webHidden/>
          </w:rPr>
          <w:instrText xml:space="preserve"> PAGEREF _Toc386619632 \h </w:instrText>
        </w:r>
        <w:r>
          <w:rPr>
            <w:noProof/>
            <w:webHidden/>
          </w:rPr>
        </w:r>
        <w:r>
          <w:rPr>
            <w:noProof/>
            <w:webHidden/>
          </w:rPr>
          <w:fldChar w:fldCharType="separate"/>
        </w:r>
        <w:r w:rsidR="00864715">
          <w:rPr>
            <w:noProof/>
            <w:webHidden/>
          </w:rPr>
          <w:t>28</w:t>
        </w:r>
        <w:r>
          <w:rPr>
            <w:noProof/>
            <w:webHidden/>
          </w:rPr>
          <w:fldChar w:fldCharType="end"/>
        </w:r>
      </w:hyperlink>
    </w:p>
    <w:p w:rsidR="00864715" w:rsidRDefault="00B079FB">
      <w:pPr>
        <w:pStyle w:val="TOC2"/>
        <w:tabs>
          <w:tab w:val="left" w:pos="880"/>
          <w:tab w:val="right" w:leader="dot" w:pos="9060"/>
        </w:tabs>
        <w:rPr>
          <w:rFonts w:asciiTheme="minorHAnsi" w:eastAsiaTheme="minorEastAsia" w:hAnsiTheme="minorHAnsi" w:cstheme="minorBidi"/>
          <w:noProof/>
          <w:szCs w:val="22"/>
          <w:lang w:val="hr-HR" w:eastAsia="hr-HR"/>
        </w:rPr>
      </w:pPr>
      <w:hyperlink w:anchor="_Toc386619633" w:history="1">
        <w:r w:rsidR="00864715" w:rsidRPr="006220C5">
          <w:rPr>
            <w:rStyle w:val="Hyperlink"/>
            <w:noProof/>
          </w:rPr>
          <w:t>7.1</w:t>
        </w:r>
        <w:r w:rsidR="00864715">
          <w:rPr>
            <w:rFonts w:asciiTheme="minorHAnsi" w:eastAsiaTheme="minorEastAsia" w:hAnsiTheme="minorHAnsi" w:cstheme="minorBidi"/>
            <w:noProof/>
            <w:szCs w:val="22"/>
            <w:lang w:val="hr-HR" w:eastAsia="hr-HR"/>
          </w:rPr>
          <w:tab/>
        </w:r>
        <w:r w:rsidR="00864715" w:rsidRPr="006220C5">
          <w:rPr>
            <w:rStyle w:val="Hyperlink"/>
            <w:noProof/>
          </w:rPr>
          <w:t>Praksa Europskog suda za ljudska prava</w:t>
        </w:r>
        <w:r w:rsidR="00864715">
          <w:rPr>
            <w:noProof/>
            <w:webHidden/>
          </w:rPr>
          <w:tab/>
        </w:r>
        <w:r>
          <w:rPr>
            <w:noProof/>
            <w:webHidden/>
          </w:rPr>
          <w:fldChar w:fldCharType="begin"/>
        </w:r>
        <w:r w:rsidR="00864715">
          <w:rPr>
            <w:noProof/>
            <w:webHidden/>
          </w:rPr>
          <w:instrText xml:space="preserve"> PAGEREF _Toc386619633 \h </w:instrText>
        </w:r>
        <w:r>
          <w:rPr>
            <w:noProof/>
            <w:webHidden/>
          </w:rPr>
        </w:r>
        <w:r>
          <w:rPr>
            <w:noProof/>
            <w:webHidden/>
          </w:rPr>
          <w:fldChar w:fldCharType="separate"/>
        </w:r>
        <w:r w:rsidR="00864715">
          <w:rPr>
            <w:noProof/>
            <w:webHidden/>
          </w:rPr>
          <w:t>28</w:t>
        </w:r>
        <w:r>
          <w:rPr>
            <w:noProof/>
            <w:webHidden/>
          </w:rPr>
          <w:fldChar w:fldCharType="end"/>
        </w:r>
      </w:hyperlink>
    </w:p>
    <w:p w:rsidR="00864715" w:rsidRDefault="00B079FB">
      <w:pPr>
        <w:pStyle w:val="TOC3"/>
        <w:tabs>
          <w:tab w:val="left" w:pos="1320"/>
          <w:tab w:val="right" w:leader="dot" w:pos="9060"/>
        </w:tabs>
        <w:rPr>
          <w:rFonts w:asciiTheme="minorHAnsi" w:eastAsiaTheme="minorEastAsia" w:hAnsiTheme="minorHAnsi" w:cstheme="minorBidi"/>
          <w:noProof/>
          <w:szCs w:val="22"/>
          <w:lang w:val="hr-HR" w:eastAsia="hr-HR"/>
        </w:rPr>
      </w:pPr>
      <w:hyperlink w:anchor="_Toc386619634" w:history="1">
        <w:r w:rsidR="00864715" w:rsidRPr="006220C5">
          <w:rPr>
            <w:rStyle w:val="Hyperlink"/>
            <w:noProof/>
          </w:rPr>
          <w:t>7.1.1</w:t>
        </w:r>
        <w:r w:rsidR="00864715">
          <w:rPr>
            <w:rFonts w:asciiTheme="minorHAnsi" w:eastAsiaTheme="minorEastAsia" w:hAnsiTheme="minorHAnsi" w:cstheme="minorBidi"/>
            <w:noProof/>
            <w:szCs w:val="22"/>
            <w:lang w:val="hr-HR" w:eastAsia="hr-HR"/>
          </w:rPr>
          <w:tab/>
        </w:r>
        <w:r w:rsidR="00864715" w:rsidRPr="006220C5">
          <w:rPr>
            <w:rStyle w:val="Hyperlink"/>
            <w:noProof/>
          </w:rPr>
          <w:t>Slučaj The Pirate Bay u Švedskoj</w:t>
        </w:r>
        <w:r w:rsidR="00864715">
          <w:rPr>
            <w:noProof/>
            <w:webHidden/>
          </w:rPr>
          <w:tab/>
        </w:r>
        <w:r>
          <w:rPr>
            <w:noProof/>
            <w:webHidden/>
          </w:rPr>
          <w:fldChar w:fldCharType="begin"/>
        </w:r>
        <w:r w:rsidR="00864715">
          <w:rPr>
            <w:noProof/>
            <w:webHidden/>
          </w:rPr>
          <w:instrText xml:space="preserve"> PAGEREF _Toc386619634 \h </w:instrText>
        </w:r>
        <w:r>
          <w:rPr>
            <w:noProof/>
            <w:webHidden/>
          </w:rPr>
        </w:r>
        <w:r>
          <w:rPr>
            <w:noProof/>
            <w:webHidden/>
          </w:rPr>
          <w:fldChar w:fldCharType="separate"/>
        </w:r>
        <w:r w:rsidR="00864715">
          <w:rPr>
            <w:noProof/>
            <w:webHidden/>
          </w:rPr>
          <w:t>28</w:t>
        </w:r>
        <w:r>
          <w:rPr>
            <w:noProof/>
            <w:webHidden/>
          </w:rPr>
          <w:fldChar w:fldCharType="end"/>
        </w:r>
      </w:hyperlink>
    </w:p>
    <w:p w:rsidR="00864715" w:rsidRDefault="00B079FB">
      <w:pPr>
        <w:pStyle w:val="TOC3"/>
        <w:tabs>
          <w:tab w:val="left" w:pos="1320"/>
          <w:tab w:val="right" w:leader="dot" w:pos="9060"/>
        </w:tabs>
        <w:rPr>
          <w:rFonts w:asciiTheme="minorHAnsi" w:eastAsiaTheme="minorEastAsia" w:hAnsiTheme="minorHAnsi" w:cstheme="minorBidi"/>
          <w:noProof/>
          <w:szCs w:val="22"/>
          <w:lang w:val="hr-HR" w:eastAsia="hr-HR"/>
        </w:rPr>
      </w:pPr>
      <w:hyperlink w:anchor="_Toc386619635" w:history="1">
        <w:r w:rsidR="00864715" w:rsidRPr="006220C5">
          <w:rPr>
            <w:rStyle w:val="Hyperlink"/>
            <w:noProof/>
          </w:rPr>
          <w:t>7.1.2</w:t>
        </w:r>
        <w:r w:rsidR="00864715">
          <w:rPr>
            <w:rFonts w:asciiTheme="minorHAnsi" w:eastAsiaTheme="minorEastAsia" w:hAnsiTheme="minorHAnsi" w:cstheme="minorBidi"/>
            <w:noProof/>
            <w:szCs w:val="22"/>
            <w:lang w:val="hr-HR" w:eastAsia="hr-HR"/>
          </w:rPr>
          <w:tab/>
        </w:r>
        <w:r w:rsidR="00864715" w:rsidRPr="006220C5">
          <w:rPr>
            <w:rStyle w:val="Hyperlink"/>
            <w:noProof/>
          </w:rPr>
          <w:t>Slučaj Delfi AS protiv Estonije</w:t>
        </w:r>
        <w:r w:rsidR="00864715">
          <w:rPr>
            <w:noProof/>
            <w:webHidden/>
          </w:rPr>
          <w:tab/>
        </w:r>
        <w:r>
          <w:rPr>
            <w:noProof/>
            <w:webHidden/>
          </w:rPr>
          <w:fldChar w:fldCharType="begin"/>
        </w:r>
        <w:r w:rsidR="00864715">
          <w:rPr>
            <w:noProof/>
            <w:webHidden/>
          </w:rPr>
          <w:instrText xml:space="preserve"> PAGEREF _Toc386619635 \h </w:instrText>
        </w:r>
        <w:r>
          <w:rPr>
            <w:noProof/>
            <w:webHidden/>
          </w:rPr>
        </w:r>
        <w:r>
          <w:rPr>
            <w:noProof/>
            <w:webHidden/>
          </w:rPr>
          <w:fldChar w:fldCharType="separate"/>
        </w:r>
        <w:r w:rsidR="00864715">
          <w:rPr>
            <w:noProof/>
            <w:webHidden/>
          </w:rPr>
          <w:t>30</w:t>
        </w:r>
        <w:r>
          <w:rPr>
            <w:noProof/>
            <w:webHidden/>
          </w:rPr>
          <w:fldChar w:fldCharType="end"/>
        </w:r>
      </w:hyperlink>
    </w:p>
    <w:p w:rsidR="00864715" w:rsidRDefault="00B079FB">
      <w:pPr>
        <w:pStyle w:val="TOC2"/>
        <w:tabs>
          <w:tab w:val="left" w:pos="880"/>
          <w:tab w:val="right" w:leader="dot" w:pos="9060"/>
        </w:tabs>
        <w:rPr>
          <w:rFonts w:asciiTheme="minorHAnsi" w:eastAsiaTheme="minorEastAsia" w:hAnsiTheme="minorHAnsi" w:cstheme="minorBidi"/>
          <w:noProof/>
          <w:szCs w:val="22"/>
          <w:lang w:val="hr-HR" w:eastAsia="hr-HR"/>
        </w:rPr>
      </w:pPr>
      <w:hyperlink w:anchor="_Toc386619636" w:history="1">
        <w:r w:rsidR="00864715" w:rsidRPr="006220C5">
          <w:rPr>
            <w:rStyle w:val="Hyperlink"/>
            <w:noProof/>
          </w:rPr>
          <w:t>7.2</w:t>
        </w:r>
        <w:r w:rsidR="00864715">
          <w:rPr>
            <w:rFonts w:asciiTheme="minorHAnsi" w:eastAsiaTheme="minorEastAsia" w:hAnsiTheme="minorHAnsi" w:cstheme="minorBidi"/>
            <w:noProof/>
            <w:szCs w:val="22"/>
            <w:lang w:val="hr-HR" w:eastAsia="hr-HR"/>
          </w:rPr>
          <w:tab/>
        </w:r>
        <w:r w:rsidR="00864715" w:rsidRPr="006220C5">
          <w:rPr>
            <w:rStyle w:val="Hyperlink"/>
            <w:noProof/>
          </w:rPr>
          <w:t>Strana nacionalna sudska praksa</w:t>
        </w:r>
        <w:r w:rsidR="00864715">
          <w:rPr>
            <w:noProof/>
            <w:webHidden/>
          </w:rPr>
          <w:tab/>
        </w:r>
        <w:r>
          <w:rPr>
            <w:noProof/>
            <w:webHidden/>
          </w:rPr>
          <w:fldChar w:fldCharType="begin"/>
        </w:r>
        <w:r w:rsidR="00864715">
          <w:rPr>
            <w:noProof/>
            <w:webHidden/>
          </w:rPr>
          <w:instrText xml:space="preserve"> PAGEREF _Toc386619636 \h </w:instrText>
        </w:r>
        <w:r>
          <w:rPr>
            <w:noProof/>
            <w:webHidden/>
          </w:rPr>
        </w:r>
        <w:r>
          <w:rPr>
            <w:noProof/>
            <w:webHidden/>
          </w:rPr>
          <w:fldChar w:fldCharType="separate"/>
        </w:r>
        <w:r w:rsidR="00864715">
          <w:rPr>
            <w:noProof/>
            <w:webHidden/>
          </w:rPr>
          <w:t>34</w:t>
        </w:r>
        <w:r>
          <w:rPr>
            <w:noProof/>
            <w:webHidden/>
          </w:rPr>
          <w:fldChar w:fldCharType="end"/>
        </w:r>
      </w:hyperlink>
    </w:p>
    <w:p w:rsidR="00864715" w:rsidRDefault="00B079FB">
      <w:pPr>
        <w:pStyle w:val="TOC3"/>
        <w:tabs>
          <w:tab w:val="left" w:pos="1320"/>
          <w:tab w:val="right" w:leader="dot" w:pos="9060"/>
        </w:tabs>
        <w:rPr>
          <w:rFonts w:asciiTheme="minorHAnsi" w:eastAsiaTheme="minorEastAsia" w:hAnsiTheme="minorHAnsi" w:cstheme="minorBidi"/>
          <w:noProof/>
          <w:szCs w:val="22"/>
          <w:lang w:val="hr-HR" w:eastAsia="hr-HR"/>
        </w:rPr>
      </w:pPr>
      <w:hyperlink w:anchor="_Toc386619637" w:history="1">
        <w:r w:rsidR="00864715" w:rsidRPr="006220C5">
          <w:rPr>
            <w:rStyle w:val="Hyperlink"/>
            <w:noProof/>
          </w:rPr>
          <w:t>7.2.1</w:t>
        </w:r>
        <w:r w:rsidR="00864715">
          <w:rPr>
            <w:rFonts w:asciiTheme="minorHAnsi" w:eastAsiaTheme="minorEastAsia" w:hAnsiTheme="minorHAnsi" w:cstheme="minorBidi"/>
            <w:noProof/>
            <w:szCs w:val="22"/>
            <w:lang w:val="hr-HR" w:eastAsia="hr-HR"/>
          </w:rPr>
          <w:tab/>
        </w:r>
        <w:r w:rsidR="00864715" w:rsidRPr="006220C5">
          <w:rPr>
            <w:rStyle w:val="Hyperlink"/>
            <w:noProof/>
          </w:rPr>
          <w:t>Italija: Slučaj RTI vs. Google, UK, YouTube, LLC &amp; YouTube, Inc.</w:t>
        </w:r>
        <w:r w:rsidR="00864715">
          <w:rPr>
            <w:noProof/>
            <w:webHidden/>
          </w:rPr>
          <w:tab/>
        </w:r>
        <w:r>
          <w:rPr>
            <w:noProof/>
            <w:webHidden/>
          </w:rPr>
          <w:fldChar w:fldCharType="begin"/>
        </w:r>
        <w:r w:rsidR="00864715">
          <w:rPr>
            <w:noProof/>
            <w:webHidden/>
          </w:rPr>
          <w:instrText xml:space="preserve"> PAGEREF _Toc386619637 \h </w:instrText>
        </w:r>
        <w:r>
          <w:rPr>
            <w:noProof/>
            <w:webHidden/>
          </w:rPr>
        </w:r>
        <w:r>
          <w:rPr>
            <w:noProof/>
            <w:webHidden/>
          </w:rPr>
          <w:fldChar w:fldCharType="separate"/>
        </w:r>
        <w:r w:rsidR="00864715">
          <w:rPr>
            <w:noProof/>
            <w:webHidden/>
          </w:rPr>
          <w:t>34</w:t>
        </w:r>
        <w:r>
          <w:rPr>
            <w:noProof/>
            <w:webHidden/>
          </w:rPr>
          <w:fldChar w:fldCharType="end"/>
        </w:r>
      </w:hyperlink>
    </w:p>
    <w:p w:rsidR="00864715" w:rsidRDefault="00B079FB">
      <w:pPr>
        <w:pStyle w:val="TOC3"/>
        <w:tabs>
          <w:tab w:val="left" w:pos="1320"/>
          <w:tab w:val="right" w:leader="dot" w:pos="9060"/>
        </w:tabs>
        <w:rPr>
          <w:rFonts w:asciiTheme="minorHAnsi" w:eastAsiaTheme="minorEastAsia" w:hAnsiTheme="minorHAnsi" w:cstheme="minorBidi"/>
          <w:noProof/>
          <w:szCs w:val="22"/>
          <w:lang w:val="hr-HR" w:eastAsia="hr-HR"/>
        </w:rPr>
      </w:pPr>
      <w:hyperlink w:anchor="_Toc386619638" w:history="1">
        <w:r w:rsidR="00864715" w:rsidRPr="006220C5">
          <w:rPr>
            <w:rStyle w:val="Hyperlink"/>
            <w:noProof/>
          </w:rPr>
          <w:t>7.2.2</w:t>
        </w:r>
        <w:r w:rsidR="00864715">
          <w:rPr>
            <w:rFonts w:asciiTheme="minorHAnsi" w:eastAsiaTheme="minorEastAsia" w:hAnsiTheme="minorHAnsi" w:cstheme="minorBidi"/>
            <w:noProof/>
            <w:szCs w:val="22"/>
            <w:lang w:val="hr-HR" w:eastAsia="hr-HR"/>
          </w:rPr>
          <w:tab/>
        </w:r>
        <w:r w:rsidR="00864715" w:rsidRPr="006220C5">
          <w:rPr>
            <w:rStyle w:val="Hyperlink"/>
            <w:noProof/>
          </w:rPr>
          <w:t>Ujedinjeno Kraljevstvo: slučaj Payam Tamiz v Google Inc.</w:t>
        </w:r>
        <w:r w:rsidR="00864715">
          <w:rPr>
            <w:noProof/>
            <w:webHidden/>
          </w:rPr>
          <w:tab/>
        </w:r>
        <w:r>
          <w:rPr>
            <w:noProof/>
            <w:webHidden/>
          </w:rPr>
          <w:fldChar w:fldCharType="begin"/>
        </w:r>
        <w:r w:rsidR="00864715">
          <w:rPr>
            <w:noProof/>
            <w:webHidden/>
          </w:rPr>
          <w:instrText xml:space="preserve"> PAGEREF _Toc386619638 \h </w:instrText>
        </w:r>
        <w:r>
          <w:rPr>
            <w:noProof/>
            <w:webHidden/>
          </w:rPr>
        </w:r>
        <w:r>
          <w:rPr>
            <w:noProof/>
            <w:webHidden/>
          </w:rPr>
          <w:fldChar w:fldCharType="separate"/>
        </w:r>
        <w:r w:rsidR="00864715">
          <w:rPr>
            <w:noProof/>
            <w:webHidden/>
          </w:rPr>
          <w:t>35</w:t>
        </w:r>
        <w:r>
          <w:rPr>
            <w:noProof/>
            <w:webHidden/>
          </w:rPr>
          <w:fldChar w:fldCharType="end"/>
        </w:r>
      </w:hyperlink>
    </w:p>
    <w:p w:rsidR="00864715" w:rsidRDefault="00B079FB">
      <w:pPr>
        <w:pStyle w:val="TOC2"/>
        <w:tabs>
          <w:tab w:val="left" w:pos="880"/>
          <w:tab w:val="right" w:leader="dot" w:pos="9060"/>
        </w:tabs>
        <w:rPr>
          <w:rFonts w:asciiTheme="minorHAnsi" w:eastAsiaTheme="minorEastAsia" w:hAnsiTheme="minorHAnsi" w:cstheme="minorBidi"/>
          <w:noProof/>
          <w:szCs w:val="22"/>
          <w:lang w:val="hr-HR" w:eastAsia="hr-HR"/>
        </w:rPr>
      </w:pPr>
      <w:hyperlink w:anchor="_Toc386619639" w:history="1">
        <w:r w:rsidR="00864715" w:rsidRPr="006220C5">
          <w:rPr>
            <w:rStyle w:val="Hyperlink"/>
            <w:noProof/>
          </w:rPr>
          <w:t>7.3</w:t>
        </w:r>
        <w:r w:rsidR="00864715">
          <w:rPr>
            <w:rFonts w:asciiTheme="minorHAnsi" w:eastAsiaTheme="minorEastAsia" w:hAnsiTheme="minorHAnsi" w:cstheme="minorBidi"/>
            <w:noProof/>
            <w:szCs w:val="22"/>
            <w:lang w:val="hr-HR" w:eastAsia="hr-HR"/>
          </w:rPr>
          <w:tab/>
        </w:r>
        <w:r w:rsidR="00864715" w:rsidRPr="006220C5">
          <w:rPr>
            <w:rStyle w:val="Hyperlink"/>
            <w:noProof/>
          </w:rPr>
          <w:t>Hrvatska sudska praksa</w:t>
        </w:r>
        <w:r w:rsidR="00864715">
          <w:rPr>
            <w:noProof/>
            <w:webHidden/>
          </w:rPr>
          <w:tab/>
        </w:r>
        <w:r>
          <w:rPr>
            <w:noProof/>
            <w:webHidden/>
          </w:rPr>
          <w:fldChar w:fldCharType="begin"/>
        </w:r>
        <w:r w:rsidR="00864715">
          <w:rPr>
            <w:noProof/>
            <w:webHidden/>
          </w:rPr>
          <w:instrText xml:space="preserve"> PAGEREF _Toc386619639 \h </w:instrText>
        </w:r>
        <w:r>
          <w:rPr>
            <w:noProof/>
            <w:webHidden/>
          </w:rPr>
        </w:r>
        <w:r>
          <w:rPr>
            <w:noProof/>
            <w:webHidden/>
          </w:rPr>
          <w:fldChar w:fldCharType="separate"/>
        </w:r>
        <w:r w:rsidR="00864715">
          <w:rPr>
            <w:noProof/>
            <w:webHidden/>
          </w:rPr>
          <w:t>35</w:t>
        </w:r>
        <w:r>
          <w:rPr>
            <w:noProof/>
            <w:webHidden/>
          </w:rPr>
          <w:fldChar w:fldCharType="end"/>
        </w:r>
      </w:hyperlink>
    </w:p>
    <w:p w:rsidR="00864715" w:rsidRDefault="00B079FB">
      <w:pPr>
        <w:pStyle w:val="TOC3"/>
        <w:tabs>
          <w:tab w:val="left" w:pos="1320"/>
          <w:tab w:val="right" w:leader="dot" w:pos="9060"/>
        </w:tabs>
        <w:rPr>
          <w:rFonts w:asciiTheme="minorHAnsi" w:eastAsiaTheme="minorEastAsia" w:hAnsiTheme="minorHAnsi" w:cstheme="minorBidi"/>
          <w:noProof/>
          <w:szCs w:val="22"/>
          <w:lang w:val="hr-HR" w:eastAsia="hr-HR"/>
        </w:rPr>
      </w:pPr>
      <w:hyperlink w:anchor="_Toc386619640" w:history="1">
        <w:r w:rsidR="00864715" w:rsidRPr="006220C5">
          <w:rPr>
            <w:rStyle w:val="Hyperlink"/>
            <w:noProof/>
          </w:rPr>
          <w:t>7.3.1</w:t>
        </w:r>
        <w:r w:rsidR="00864715">
          <w:rPr>
            <w:rFonts w:asciiTheme="minorHAnsi" w:eastAsiaTheme="minorEastAsia" w:hAnsiTheme="minorHAnsi" w:cstheme="minorBidi"/>
            <w:noProof/>
            <w:szCs w:val="22"/>
            <w:lang w:val="hr-HR" w:eastAsia="hr-HR"/>
          </w:rPr>
          <w:tab/>
        </w:r>
        <w:r w:rsidR="00864715" w:rsidRPr="006220C5">
          <w:rPr>
            <w:rStyle w:val="Hyperlink"/>
            <w:noProof/>
          </w:rPr>
          <w:t>Slučaj Vukovarac.net</w:t>
        </w:r>
        <w:r w:rsidR="00864715">
          <w:rPr>
            <w:noProof/>
            <w:webHidden/>
          </w:rPr>
          <w:tab/>
        </w:r>
        <w:r>
          <w:rPr>
            <w:noProof/>
            <w:webHidden/>
          </w:rPr>
          <w:fldChar w:fldCharType="begin"/>
        </w:r>
        <w:r w:rsidR="00864715">
          <w:rPr>
            <w:noProof/>
            <w:webHidden/>
          </w:rPr>
          <w:instrText xml:space="preserve"> PAGEREF _Toc386619640 \h </w:instrText>
        </w:r>
        <w:r>
          <w:rPr>
            <w:noProof/>
            <w:webHidden/>
          </w:rPr>
        </w:r>
        <w:r>
          <w:rPr>
            <w:noProof/>
            <w:webHidden/>
          </w:rPr>
          <w:fldChar w:fldCharType="separate"/>
        </w:r>
        <w:r w:rsidR="00864715">
          <w:rPr>
            <w:noProof/>
            <w:webHidden/>
          </w:rPr>
          <w:t>35</w:t>
        </w:r>
        <w:r>
          <w:rPr>
            <w:noProof/>
            <w:webHidden/>
          </w:rPr>
          <w:fldChar w:fldCharType="end"/>
        </w:r>
      </w:hyperlink>
    </w:p>
    <w:p w:rsidR="00864715" w:rsidRDefault="00B079FB">
      <w:pPr>
        <w:pStyle w:val="TOC2"/>
        <w:tabs>
          <w:tab w:val="left" w:pos="880"/>
          <w:tab w:val="right" w:leader="dot" w:pos="9060"/>
        </w:tabs>
        <w:rPr>
          <w:rFonts w:asciiTheme="minorHAnsi" w:eastAsiaTheme="minorEastAsia" w:hAnsiTheme="minorHAnsi" w:cstheme="minorBidi"/>
          <w:noProof/>
          <w:szCs w:val="22"/>
          <w:lang w:val="hr-HR" w:eastAsia="hr-HR"/>
        </w:rPr>
      </w:pPr>
      <w:hyperlink w:anchor="_Toc386619641" w:history="1">
        <w:r w:rsidR="00864715" w:rsidRPr="006220C5">
          <w:rPr>
            <w:rStyle w:val="Hyperlink"/>
            <w:rFonts w:cs="Arial"/>
            <w:noProof/>
          </w:rPr>
          <w:t>7.4</w:t>
        </w:r>
        <w:r w:rsidR="00864715">
          <w:rPr>
            <w:rFonts w:asciiTheme="minorHAnsi" w:eastAsiaTheme="minorEastAsia" w:hAnsiTheme="minorHAnsi" w:cstheme="minorBidi"/>
            <w:noProof/>
            <w:szCs w:val="22"/>
            <w:lang w:val="hr-HR" w:eastAsia="hr-HR"/>
          </w:rPr>
          <w:tab/>
        </w:r>
        <w:r w:rsidR="00864715" w:rsidRPr="006220C5">
          <w:rPr>
            <w:rStyle w:val="Hyperlink"/>
            <w:rFonts w:cs="Arial"/>
            <w:noProof/>
          </w:rPr>
          <w:t>Opservacije i primjedbe autora na problematiku usmjeravanja odgovornosti u smislu analizirane sudske prakse</w:t>
        </w:r>
        <w:r w:rsidR="00864715">
          <w:rPr>
            <w:noProof/>
            <w:webHidden/>
          </w:rPr>
          <w:tab/>
        </w:r>
        <w:r>
          <w:rPr>
            <w:noProof/>
            <w:webHidden/>
          </w:rPr>
          <w:fldChar w:fldCharType="begin"/>
        </w:r>
        <w:r w:rsidR="00864715">
          <w:rPr>
            <w:noProof/>
            <w:webHidden/>
          </w:rPr>
          <w:instrText xml:space="preserve"> PAGEREF _Toc386619641 \h </w:instrText>
        </w:r>
        <w:r>
          <w:rPr>
            <w:noProof/>
            <w:webHidden/>
          </w:rPr>
        </w:r>
        <w:r>
          <w:rPr>
            <w:noProof/>
            <w:webHidden/>
          </w:rPr>
          <w:fldChar w:fldCharType="separate"/>
        </w:r>
        <w:r w:rsidR="00864715">
          <w:rPr>
            <w:noProof/>
            <w:webHidden/>
          </w:rPr>
          <w:t>38</w:t>
        </w:r>
        <w:r>
          <w:rPr>
            <w:noProof/>
            <w:webHidden/>
          </w:rPr>
          <w:fldChar w:fldCharType="end"/>
        </w:r>
      </w:hyperlink>
    </w:p>
    <w:p w:rsidR="00864715" w:rsidRDefault="00B079FB">
      <w:pPr>
        <w:pStyle w:val="TOC1"/>
        <w:tabs>
          <w:tab w:val="left" w:pos="480"/>
          <w:tab w:val="right" w:leader="dot" w:pos="9060"/>
        </w:tabs>
        <w:rPr>
          <w:rFonts w:asciiTheme="minorHAnsi" w:eastAsiaTheme="minorEastAsia" w:hAnsiTheme="minorHAnsi" w:cstheme="minorBidi"/>
          <w:noProof/>
          <w:szCs w:val="22"/>
          <w:lang w:val="hr-HR" w:eastAsia="hr-HR"/>
        </w:rPr>
      </w:pPr>
      <w:hyperlink w:anchor="_Toc386619642" w:history="1">
        <w:r w:rsidR="00864715" w:rsidRPr="006220C5">
          <w:rPr>
            <w:rStyle w:val="Hyperlink"/>
            <w:rFonts w:cs="Arial"/>
            <w:noProof/>
            <w:lang w:val="hr-HR"/>
          </w:rPr>
          <w:t>8</w:t>
        </w:r>
        <w:r w:rsidR="00864715">
          <w:rPr>
            <w:rFonts w:asciiTheme="minorHAnsi" w:eastAsiaTheme="minorEastAsia" w:hAnsiTheme="minorHAnsi" w:cstheme="minorBidi"/>
            <w:noProof/>
            <w:szCs w:val="22"/>
            <w:lang w:val="hr-HR" w:eastAsia="hr-HR"/>
          </w:rPr>
          <w:tab/>
        </w:r>
        <w:r w:rsidR="00864715">
          <w:rPr>
            <w:rStyle w:val="Hyperlink"/>
            <w:rFonts w:cs="Arial"/>
            <w:noProof/>
          </w:rPr>
          <w:t>K</w:t>
        </w:r>
        <w:r w:rsidR="00864715" w:rsidRPr="006220C5">
          <w:rPr>
            <w:rStyle w:val="Hyperlink"/>
            <w:rFonts w:cs="Arial"/>
            <w:noProof/>
          </w:rPr>
          <w:t>aznenopravna</w:t>
        </w:r>
        <w:r w:rsidR="00864715" w:rsidRPr="006220C5">
          <w:rPr>
            <w:rStyle w:val="Hyperlink"/>
            <w:rFonts w:cs="Arial"/>
            <w:noProof/>
            <w:lang w:val="hr-HR"/>
          </w:rPr>
          <w:t xml:space="preserve"> </w:t>
        </w:r>
        <w:r w:rsidR="00864715" w:rsidRPr="006220C5">
          <w:rPr>
            <w:rStyle w:val="Hyperlink"/>
            <w:rFonts w:cs="Arial"/>
            <w:noProof/>
          </w:rPr>
          <w:t>odgovornost</w:t>
        </w:r>
        <w:r w:rsidR="00864715" w:rsidRPr="006220C5">
          <w:rPr>
            <w:rStyle w:val="Hyperlink"/>
            <w:rFonts w:cs="Arial"/>
            <w:noProof/>
            <w:lang w:val="hr-HR"/>
          </w:rPr>
          <w:t xml:space="preserve"> </w:t>
        </w:r>
        <w:r w:rsidR="00864715" w:rsidRPr="006220C5">
          <w:rPr>
            <w:rStyle w:val="Hyperlink"/>
            <w:rFonts w:cs="Arial"/>
            <w:noProof/>
          </w:rPr>
          <w:t>za govor mržnje</w:t>
        </w:r>
        <w:r w:rsidR="00864715">
          <w:rPr>
            <w:noProof/>
            <w:webHidden/>
          </w:rPr>
          <w:tab/>
        </w:r>
        <w:r>
          <w:rPr>
            <w:noProof/>
            <w:webHidden/>
          </w:rPr>
          <w:fldChar w:fldCharType="begin"/>
        </w:r>
        <w:r w:rsidR="00864715">
          <w:rPr>
            <w:noProof/>
            <w:webHidden/>
          </w:rPr>
          <w:instrText xml:space="preserve"> PAGEREF _Toc386619642 \h </w:instrText>
        </w:r>
        <w:r>
          <w:rPr>
            <w:noProof/>
            <w:webHidden/>
          </w:rPr>
        </w:r>
        <w:r>
          <w:rPr>
            <w:noProof/>
            <w:webHidden/>
          </w:rPr>
          <w:fldChar w:fldCharType="separate"/>
        </w:r>
        <w:r w:rsidR="00864715">
          <w:rPr>
            <w:noProof/>
            <w:webHidden/>
          </w:rPr>
          <w:t>39</w:t>
        </w:r>
        <w:r>
          <w:rPr>
            <w:noProof/>
            <w:webHidden/>
          </w:rPr>
          <w:fldChar w:fldCharType="end"/>
        </w:r>
      </w:hyperlink>
    </w:p>
    <w:p w:rsidR="00864715" w:rsidRDefault="00B079FB">
      <w:pPr>
        <w:pStyle w:val="TOC3"/>
        <w:tabs>
          <w:tab w:val="left" w:pos="1320"/>
          <w:tab w:val="right" w:leader="dot" w:pos="9060"/>
        </w:tabs>
        <w:rPr>
          <w:rFonts w:asciiTheme="minorHAnsi" w:eastAsiaTheme="minorEastAsia" w:hAnsiTheme="minorHAnsi" w:cstheme="minorBidi"/>
          <w:noProof/>
          <w:szCs w:val="22"/>
          <w:lang w:val="hr-HR" w:eastAsia="hr-HR"/>
        </w:rPr>
      </w:pPr>
      <w:hyperlink w:anchor="_Toc386619643" w:history="1">
        <w:r w:rsidR="00864715" w:rsidRPr="006220C5">
          <w:rPr>
            <w:rStyle w:val="Hyperlink"/>
            <w:noProof/>
          </w:rPr>
          <w:t>8.1.1</w:t>
        </w:r>
        <w:r w:rsidR="00864715">
          <w:rPr>
            <w:rFonts w:asciiTheme="minorHAnsi" w:eastAsiaTheme="minorEastAsia" w:hAnsiTheme="minorHAnsi" w:cstheme="minorBidi"/>
            <w:noProof/>
            <w:szCs w:val="22"/>
            <w:lang w:val="hr-HR" w:eastAsia="hr-HR"/>
          </w:rPr>
          <w:tab/>
        </w:r>
        <w:r w:rsidR="00864715" w:rsidRPr="006220C5">
          <w:rPr>
            <w:rStyle w:val="Hyperlink"/>
            <w:noProof/>
          </w:rPr>
          <w:t>Imovinskopravni zahtjev za naknadu štete počinjene kaznenim djelom</w:t>
        </w:r>
        <w:r w:rsidR="00864715">
          <w:rPr>
            <w:noProof/>
            <w:webHidden/>
          </w:rPr>
          <w:tab/>
        </w:r>
        <w:r>
          <w:rPr>
            <w:noProof/>
            <w:webHidden/>
          </w:rPr>
          <w:fldChar w:fldCharType="begin"/>
        </w:r>
        <w:r w:rsidR="00864715">
          <w:rPr>
            <w:noProof/>
            <w:webHidden/>
          </w:rPr>
          <w:instrText xml:space="preserve"> PAGEREF _Toc386619643 \h </w:instrText>
        </w:r>
        <w:r>
          <w:rPr>
            <w:noProof/>
            <w:webHidden/>
          </w:rPr>
        </w:r>
        <w:r>
          <w:rPr>
            <w:noProof/>
            <w:webHidden/>
          </w:rPr>
          <w:fldChar w:fldCharType="separate"/>
        </w:r>
        <w:r w:rsidR="00864715">
          <w:rPr>
            <w:noProof/>
            <w:webHidden/>
          </w:rPr>
          <w:t>41</w:t>
        </w:r>
        <w:r>
          <w:rPr>
            <w:noProof/>
            <w:webHidden/>
          </w:rPr>
          <w:fldChar w:fldCharType="end"/>
        </w:r>
      </w:hyperlink>
    </w:p>
    <w:p w:rsidR="00864715" w:rsidRDefault="00B079FB">
      <w:pPr>
        <w:pStyle w:val="TOC1"/>
        <w:tabs>
          <w:tab w:val="left" w:pos="480"/>
          <w:tab w:val="right" w:leader="dot" w:pos="9060"/>
        </w:tabs>
        <w:rPr>
          <w:rFonts w:asciiTheme="minorHAnsi" w:eastAsiaTheme="minorEastAsia" w:hAnsiTheme="minorHAnsi" w:cstheme="minorBidi"/>
          <w:noProof/>
          <w:szCs w:val="22"/>
          <w:lang w:val="hr-HR" w:eastAsia="hr-HR"/>
        </w:rPr>
      </w:pPr>
      <w:hyperlink w:anchor="_Toc386619644" w:history="1">
        <w:r w:rsidR="00864715" w:rsidRPr="006220C5">
          <w:rPr>
            <w:rStyle w:val="Hyperlink"/>
            <w:rFonts w:cs="Arial"/>
            <w:noProof/>
          </w:rPr>
          <w:t>9</w:t>
        </w:r>
        <w:r w:rsidR="00864715">
          <w:rPr>
            <w:rFonts w:asciiTheme="minorHAnsi" w:eastAsiaTheme="minorEastAsia" w:hAnsiTheme="minorHAnsi" w:cstheme="minorBidi"/>
            <w:noProof/>
            <w:szCs w:val="22"/>
            <w:lang w:val="hr-HR" w:eastAsia="hr-HR"/>
          </w:rPr>
          <w:tab/>
        </w:r>
        <w:r w:rsidR="00864715" w:rsidRPr="006220C5">
          <w:rPr>
            <w:rStyle w:val="Hyperlink"/>
            <w:rFonts w:cs="Arial"/>
            <w:noProof/>
          </w:rPr>
          <w:t>Odgovornost prema Zakonu o suzbijanju diskriminacije</w:t>
        </w:r>
        <w:r w:rsidR="00864715">
          <w:rPr>
            <w:noProof/>
            <w:webHidden/>
          </w:rPr>
          <w:tab/>
        </w:r>
        <w:r>
          <w:rPr>
            <w:noProof/>
            <w:webHidden/>
          </w:rPr>
          <w:fldChar w:fldCharType="begin"/>
        </w:r>
        <w:r w:rsidR="00864715">
          <w:rPr>
            <w:noProof/>
            <w:webHidden/>
          </w:rPr>
          <w:instrText xml:space="preserve"> PAGEREF _Toc386619644 \h </w:instrText>
        </w:r>
        <w:r>
          <w:rPr>
            <w:noProof/>
            <w:webHidden/>
          </w:rPr>
        </w:r>
        <w:r>
          <w:rPr>
            <w:noProof/>
            <w:webHidden/>
          </w:rPr>
          <w:fldChar w:fldCharType="separate"/>
        </w:r>
        <w:r w:rsidR="00864715">
          <w:rPr>
            <w:noProof/>
            <w:webHidden/>
          </w:rPr>
          <w:t>44</w:t>
        </w:r>
        <w:r>
          <w:rPr>
            <w:noProof/>
            <w:webHidden/>
          </w:rPr>
          <w:fldChar w:fldCharType="end"/>
        </w:r>
      </w:hyperlink>
    </w:p>
    <w:p w:rsidR="00864715" w:rsidRDefault="00B079FB">
      <w:pPr>
        <w:pStyle w:val="TOC1"/>
        <w:tabs>
          <w:tab w:val="left" w:pos="480"/>
          <w:tab w:val="right" w:leader="dot" w:pos="9060"/>
        </w:tabs>
        <w:rPr>
          <w:rFonts w:asciiTheme="minorHAnsi" w:eastAsiaTheme="minorEastAsia" w:hAnsiTheme="minorHAnsi" w:cstheme="minorBidi"/>
          <w:noProof/>
          <w:szCs w:val="22"/>
          <w:lang w:val="hr-HR" w:eastAsia="hr-HR"/>
        </w:rPr>
      </w:pPr>
      <w:hyperlink w:anchor="_Toc386619645" w:history="1">
        <w:r w:rsidR="00864715" w:rsidRPr="006220C5">
          <w:rPr>
            <w:rStyle w:val="Hyperlink"/>
            <w:rFonts w:cs="Arial"/>
            <w:noProof/>
            <w:lang w:val="hr-HR"/>
          </w:rPr>
          <w:t>10</w:t>
        </w:r>
        <w:r w:rsidR="00864715">
          <w:rPr>
            <w:rFonts w:asciiTheme="minorHAnsi" w:eastAsiaTheme="minorEastAsia" w:hAnsiTheme="minorHAnsi" w:cstheme="minorBidi"/>
            <w:noProof/>
            <w:szCs w:val="22"/>
            <w:lang w:val="hr-HR" w:eastAsia="hr-HR"/>
          </w:rPr>
          <w:tab/>
        </w:r>
        <w:r w:rsidR="00864715" w:rsidRPr="006220C5">
          <w:rPr>
            <w:rStyle w:val="Hyperlink"/>
            <w:rFonts w:cs="Arial"/>
            <w:noProof/>
            <w:lang w:val="hr-HR"/>
          </w:rPr>
          <w:t>Jurisdikcija (odabir vrste nadležnosti s obzirom na specifičnost interneta)</w:t>
        </w:r>
        <w:r w:rsidR="00864715">
          <w:rPr>
            <w:noProof/>
            <w:webHidden/>
          </w:rPr>
          <w:tab/>
        </w:r>
        <w:r>
          <w:rPr>
            <w:noProof/>
            <w:webHidden/>
          </w:rPr>
          <w:fldChar w:fldCharType="begin"/>
        </w:r>
        <w:r w:rsidR="00864715">
          <w:rPr>
            <w:noProof/>
            <w:webHidden/>
          </w:rPr>
          <w:instrText xml:space="preserve"> PAGEREF _Toc386619645 \h </w:instrText>
        </w:r>
        <w:r>
          <w:rPr>
            <w:noProof/>
            <w:webHidden/>
          </w:rPr>
        </w:r>
        <w:r>
          <w:rPr>
            <w:noProof/>
            <w:webHidden/>
          </w:rPr>
          <w:fldChar w:fldCharType="separate"/>
        </w:r>
        <w:r w:rsidR="00864715">
          <w:rPr>
            <w:noProof/>
            <w:webHidden/>
          </w:rPr>
          <w:t>46</w:t>
        </w:r>
        <w:r>
          <w:rPr>
            <w:noProof/>
            <w:webHidden/>
          </w:rPr>
          <w:fldChar w:fldCharType="end"/>
        </w:r>
      </w:hyperlink>
    </w:p>
    <w:p w:rsidR="00864715" w:rsidRDefault="00B079FB">
      <w:pPr>
        <w:pStyle w:val="TOC2"/>
        <w:tabs>
          <w:tab w:val="left" w:pos="1100"/>
          <w:tab w:val="right" w:leader="dot" w:pos="9060"/>
        </w:tabs>
        <w:rPr>
          <w:rFonts w:asciiTheme="minorHAnsi" w:eastAsiaTheme="minorEastAsia" w:hAnsiTheme="minorHAnsi" w:cstheme="minorBidi"/>
          <w:noProof/>
          <w:szCs w:val="22"/>
          <w:lang w:val="hr-HR" w:eastAsia="hr-HR"/>
        </w:rPr>
      </w:pPr>
      <w:hyperlink w:anchor="_Toc386619646" w:history="1">
        <w:r w:rsidR="00864715" w:rsidRPr="006220C5">
          <w:rPr>
            <w:rStyle w:val="Hyperlink"/>
            <w:rFonts w:cs="Arial"/>
            <w:noProof/>
          </w:rPr>
          <w:t>10.1</w:t>
        </w:r>
        <w:r w:rsidR="00864715">
          <w:rPr>
            <w:rFonts w:asciiTheme="minorHAnsi" w:eastAsiaTheme="minorEastAsia" w:hAnsiTheme="minorHAnsi" w:cstheme="minorBidi"/>
            <w:noProof/>
            <w:szCs w:val="22"/>
            <w:lang w:val="hr-HR" w:eastAsia="hr-HR"/>
          </w:rPr>
          <w:tab/>
        </w:r>
        <w:r w:rsidR="00864715" w:rsidRPr="006220C5">
          <w:rPr>
            <w:rStyle w:val="Hyperlink"/>
            <w:rFonts w:cs="Arial"/>
            <w:noProof/>
          </w:rPr>
          <w:t>Primjena materijalnog prava</w:t>
        </w:r>
        <w:r w:rsidR="00864715">
          <w:rPr>
            <w:noProof/>
            <w:webHidden/>
          </w:rPr>
          <w:tab/>
        </w:r>
        <w:r>
          <w:rPr>
            <w:noProof/>
            <w:webHidden/>
          </w:rPr>
          <w:fldChar w:fldCharType="begin"/>
        </w:r>
        <w:r w:rsidR="00864715">
          <w:rPr>
            <w:noProof/>
            <w:webHidden/>
          </w:rPr>
          <w:instrText xml:space="preserve"> PAGEREF _Toc386619646 \h </w:instrText>
        </w:r>
        <w:r>
          <w:rPr>
            <w:noProof/>
            <w:webHidden/>
          </w:rPr>
        </w:r>
        <w:r>
          <w:rPr>
            <w:noProof/>
            <w:webHidden/>
          </w:rPr>
          <w:fldChar w:fldCharType="separate"/>
        </w:r>
        <w:r w:rsidR="00864715">
          <w:rPr>
            <w:noProof/>
            <w:webHidden/>
          </w:rPr>
          <w:t>46</w:t>
        </w:r>
        <w:r>
          <w:rPr>
            <w:noProof/>
            <w:webHidden/>
          </w:rPr>
          <w:fldChar w:fldCharType="end"/>
        </w:r>
      </w:hyperlink>
    </w:p>
    <w:p w:rsidR="00864715" w:rsidRDefault="00B079FB">
      <w:pPr>
        <w:pStyle w:val="TOC2"/>
        <w:tabs>
          <w:tab w:val="left" w:pos="1100"/>
          <w:tab w:val="right" w:leader="dot" w:pos="9060"/>
        </w:tabs>
        <w:rPr>
          <w:rFonts w:asciiTheme="minorHAnsi" w:eastAsiaTheme="minorEastAsia" w:hAnsiTheme="minorHAnsi" w:cstheme="minorBidi"/>
          <w:noProof/>
          <w:szCs w:val="22"/>
          <w:lang w:val="hr-HR" w:eastAsia="hr-HR"/>
        </w:rPr>
      </w:pPr>
      <w:hyperlink w:anchor="_Toc386619647" w:history="1">
        <w:r w:rsidR="00864715" w:rsidRPr="006220C5">
          <w:rPr>
            <w:rStyle w:val="Hyperlink"/>
            <w:rFonts w:cs="Arial"/>
            <w:noProof/>
          </w:rPr>
          <w:t>10.2</w:t>
        </w:r>
        <w:r w:rsidR="00864715">
          <w:rPr>
            <w:rFonts w:asciiTheme="minorHAnsi" w:eastAsiaTheme="minorEastAsia" w:hAnsiTheme="minorHAnsi" w:cstheme="minorBidi"/>
            <w:noProof/>
            <w:szCs w:val="22"/>
            <w:lang w:val="hr-HR" w:eastAsia="hr-HR"/>
          </w:rPr>
          <w:tab/>
        </w:r>
        <w:r w:rsidR="00864715" w:rsidRPr="006220C5">
          <w:rPr>
            <w:rStyle w:val="Hyperlink"/>
            <w:rFonts w:cs="Arial"/>
            <w:noProof/>
          </w:rPr>
          <w:t>Primjena procesnog prava</w:t>
        </w:r>
        <w:r w:rsidR="00864715">
          <w:rPr>
            <w:noProof/>
            <w:webHidden/>
          </w:rPr>
          <w:tab/>
        </w:r>
        <w:r>
          <w:rPr>
            <w:noProof/>
            <w:webHidden/>
          </w:rPr>
          <w:fldChar w:fldCharType="begin"/>
        </w:r>
        <w:r w:rsidR="00864715">
          <w:rPr>
            <w:noProof/>
            <w:webHidden/>
          </w:rPr>
          <w:instrText xml:space="preserve"> PAGEREF _Toc386619647 \h </w:instrText>
        </w:r>
        <w:r>
          <w:rPr>
            <w:noProof/>
            <w:webHidden/>
          </w:rPr>
        </w:r>
        <w:r>
          <w:rPr>
            <w:noProof/>
            <w:webHidden/>
          </w:rPr>
          <w:fldChar w:fldCharType="separate"/>
        </w:r>
        <w:r w:rsidR="00864715">
          <w:rPr>
            <w:noProof/>
            <w:webHidden/>
          </w:rPr>
          <w:t>46</w:t>
        </w:r>
        <w:r>
          <w:rPr>
            <w:noProof/>
            <w:webHidden/>
          </w:rPr>
          <w:fldChar w:fldCharType="end"/>
        </w:r>
      </w:hyperlink>
    </w:p>
    <w:p w:rsidR="00864715" w:rsidRDefault="00B079FB">
      <w:pPr>
        <w:pStyle w:val="TOC3"/>
        <w:tabs>
          <w:tab w:val="left" w:pos="1320"/>
          <w:tab w:val="right" w:leader="dot" w:pos="9060"/>
        </w:tabs>
        <w:rPr>
          <w:rFonts w:asciiTheme="minorHAnsi" w:eastAsiaTheme="minorEastAsia" w:hAnsiTheme="minorHAnsi" w:cstheme="minorBidi"/>
          <w:noProof/>
          <w:szCs w:val="22"/>
          <w:lang w:val="hr-HR" w:eastAsia="hr-HR"/>
        </w:rPr>
      </w:pPr>
      <w:hyperlink w:anchor="_Toc386619648" w:history="1">
        <w:r w:rsidR="00864715" w:rsidRPr="006220C5">
          <w:rPr>
            <w:rStyle w:val="Hyperlink"/>
            <w:noProof/>
          </w:rPr>
          <w:t>10.2.1</w:t>
        </w:r>
        <w:r w:rsidR="00864715">
          <w:rPr>
            <w:rFonts w:asciiTheme="minorHAnsi" w:eastAsiaTheme="minorEastAsia" w:hAnsiTheme="minorHAnsi" w:cstheme="minorBidi"/>
            <w:noProof/>
            <w:szCs w:val="22"/>
            <w:lang w:val="hr-HR" w:eastAsia="hr-HR"/>
          </w:rPr>
          <w:tab/>
        </w:r>
        <w:r w:rsidR="00864715" w:rsidRPr="006220C5">
          <w:rPr>
            <w:rStyle w:val="Hyperlink"/>
            <w:noProof/>
          </w:rPr>
          <w:t>Tendencije novom pristupu iz poredbenopravnih izvora</w:t>
        </w:r>
        <w:r w:rsidR="00864715">
          <w:rPr>
            <w:noProof/>
            <w:webHidden/>
          </w:rPr>
          <w:tab/>
        </w:r>
        <w:r>
          <w:rPr>
            <w:noProof/>
            <w:webHidden/>
          </w:rPr>
          <w:fldChar w:fldCharType="begin"/>
        </w:r>
        <w:r w:rsidR="00864715">
          <w:rPr>
            <w:noProof/>
            <w:webHidden/>
          </w:rPr>
          <w:instrText xml:space="preserve"> PAGEREF _Toc386619648 \h </w:instrText>
        </w:r>
        <w:r>
          <w:rPr>
            <w:noProof/>
            <w:webHidden/>
          </w:rPr>
        </w:r>
        <w:r>
          <w:rPr>
            <w:noProof/>
            <w:webHidden/>
          </w:rPr>
          <w:fldChar w:fldCharType="separate"/>
        </w:r>
        <w:r w:rsidR="00864715">
          <w:rPr>
            <w:noProof/>
            <w:webHidden/>
          </w:rPr>
          <w:t>47</w:t>
        </w:r>
        <w:r>
          <w:rPr>
            <w:noProof/>
            <w:webHidden/>
          </w:rPr>
          <w:fldChar w:fldCharType="end"/>
        </w:r>
      </w:hyperlink>
    </w:p>
    <w:p w:rsidR="00864715" w:rsidRDefault="00B079FB">
      <w:pPr>
        <w:pStyle w:val="TOC4"/>
        <w:tabs>
          <w:tab w:val="left" w:pos="1760"/>
          <w:tab w:val="right" w:leader="dot" w:pos="9060"/>
        </w:tabs>
        <w:rPr>
          <w:rFonts w:asciiTheme="minorHAnsi" w:eastAsiaTheme="minorEastAsia" w:hAnsiTheme="minorHAnsi" w:cstheme="minorBidi"/>
          <w:noProof/>
          <w:szCs w:val="22"/>
          <w:lang w:val="hr-HR" w:eastAsia="hr-HR"/>
        </w:rPr>
      </w:pPr>
      <w:hyperlink w:anchor="_Toc386619649" w:history="1">
        <w:r w:rsidR="00864715" w:rsidRPr="006220C5">
          <w:rPr>
            <w:rStyle w:val="Hyperlink"/>
            <w:noProof/>
            <w:lang w:val="hr-HR"/>
          </w:rPr>
          <w:t>10.2.1.1</w:t>
        </w:r>
        <w:r w:rsidR="00864715">
          <w:rPr>
            <w:rFonts w:asciiTheme="minorHAnsi" w:eastAsiaTheme="minorEastAsia" w:hAnsiTheme="minorHAnsi" w:cstheme="minorBidi"/>
            <w:noProof/>
            <w:szCs w:val="22"/>
            <w:lang w:val="hr-HR" w:eastAsia="hr-HR"/>
          </w:rPr>
          <w:tab/>
        </w:r>
        <w:r w:rsidR="00864715" w:rsidRPr="006220C5">
          <w:rPr>
            <w:rStyle w:val="Hyperlink"/>
            <w:noProof/>
            <w:lang w:val="hr-HR"/>
          </w:rPr>
          <w:t>LICRA protiv Yahoo! Inc. i Yahoo! France</w:t>
        </w:r>
        <w:r w:rsidR="00864715">
          <w:rPr>
            <w:noProof/>
            <w:webHidden/>
          </w:rPr>
          <w:tab/>
        </w:r>
        <w:r>
          <w:rPr>
            <w:noProof/>
            <w:webHidden/>
          </w:rPr>
          <w:fldChar w:fldCharType="begin"/>
        </w:r>
        <w:r w:rsidR="00864715">
          <w:rPr>
            <w:noProof/>
            <w:webHidden/>
          </w:rPr>
          <w:instrText xml:space="preserve"> PAGEREF _Toc386619649 \h </w:instrText>
        </w:r>
        <w:r>
          <w:rPr>
            <w:noProof/>
            <w:webHidden/>
          </w:rPr>
        </w:r>
        <w:r>
          <w:rPr>
            <w:noProof/>
            <w:webHidden/>
          </w:rPr>
          <w:fldChar w:fldCharType="separate"/>
        </w:r>
        <w:r w:rsidR="00864715">
          <w:rPr>
            <w:noProof/>
            <w:webHidden/>
          </w:rPr>
          <w:t>48</w:t>
        </w:r>
        <w:r>
          <w:rPr>
            <w:noProof/>
            <w:webHidden/>
          </w:rPr>
          <w:fldChar w:fldCharType="end"/>
        </w:r>
      </w:hyperlink>
    </w:p>
    <w:p w:rsidR="00864715" w:rsidRDefault="00B079FB">
      <w:pPr>
        <w:pStyle w:val="TOC3"/>
        <w:tabs>
          <w:tab w:val="left" w:pos="1320"/>
          <w:tab w:val="right" w:leader="dot" w:pos="9060"/>
        </w:tabs>
        <w:rPr>
          <w:rFonts w:asciiTheme="minorHAnsi" w:eastAsiaTheme="minorEastAsia" w:hAnsiTheme="minorHAnsi" w:cstheme="minorBidi"/>
          <w:noProof/>
          <w:szCs w:val="22"/>
          <w:lang w:val="hr-HR" w:eastAsia="hr-HR"/>
        </w:rPr>
      </w:pPr>
      <w:hyperlink w:anchor="_Toc386619650" w:history="1">
        <w:r w:rsidR="00864715" w:rsidRPr="006220C5">
          <w:rPr>
            <w:rStyle w:val="Hyperlink"/>
            <w:noProof/>
          </w:rPr>
          <w:t>10.2.2</w:t>
        </w:r>
        <w:r w:rsidR="00864715">
          <w:rPr>
            <w:rFonts w:asciiTheme="minorHAnsi" w:eastAsiaTheme="minorEastAsia" w:hAnsiTheme="minorHAnsi" w:cstheme="minorBidi"/>
            <w:noProof/>
            <w:szCs w:val="22"/>
            <w:lang w:val="hr-HR" w:eastAsia="hr-HR"/>
          </w:rPr>
          <w:tab/>
        </w:r>
        <w:r w:rsidR="00864715" w:rsidRPr="006220C5">
          <w:rPr>
            <w:rStyle w:val="Hyperlink"/>
            <w:noProof/>
          </w:rPr>
          <w:t>Međunarodna pravna pomoć</w:t>
        </w:r>
        <w:r w:rsidR="00864715">
          <w:rPr>
            <w:noProof/>
            <w:webHidden/>
          </w:rPr>
          <w:tab/>
        </w:r>
        <w:r>
          <w:rPr>
            <w:noProof/>
            <w:webHidden/>
          </w:rPr>
          <w:fldChar w:fldCharType="begin"/>
        </w:r>
        <w:r w:rsidR="00864715">
          <w:rPr>
            <w:noProof/>
            <w:webHidden/>
          </w:rPr>
          <w:instrText xml:space="preserve"> PAGEREF _Toc386619650 \h </w:instrText>
        </w:r>
        <w:r>
          <w:rPr>
            <w:noProof/>
            <w:webHidden/>
          </w:rPr>
        </w:r>
        <w:r>
          <w:rPr>
            <w:noProof/>
            <w:webHidden/>
          </w:rPr>
          <w:fldChar w:fldCharType="separate"/>
        </w:r>
        <w:r w:rsidR="00864715">
          <w:rPr>
            <w:noProof/>
            <w:webHidden/>
          </w:rPr>
          <w:t>48</w:t>
        </w:r>
        <w:r>
          <w:rPr>
            <w:noProof/>
            <w:webHidden/>
          </w:rPr>
          <w:fldChar w:fldCharType="end"/>
        </w:r>
      </w:hyperlink>
    </w:p>
    <w:p w:rsidR="00864715" w:rsidRDefault="00B079FB">
      <w:pPr>
        <w:pStyle w:val="TOC1"/>
        <w:tabs>
          <w:tab w:val="left" w:pos="480"/>
          <w:tab w:val="right" w:leader="dot" w:pos="9060"/>
        </w:tabs>
        <w:rPr>
          <w:rFonts w:asciiTheme="minorHAnsi" w:eastAsiaTheme="minorEastAsia" w:hAnsiTheme="minorHAnsi" w:cstheme="minorBidi"/>
          <w:noProof/>
          <w:szCs w:val="22"/>
          <w:lang w:val="hr-HR" w:eastAsia="hr-HR"/>
        </w:rPr>
      </w:pPr>
      <w:hyperlink w:anchor="_Toc386619651" w:history="1">
        <w:r w:rsidR="00864715" w:rsidRPr="006220C5">
          <w:rPr>
            <w:rStyle w:val="Hyperlink"/>
            <w:rFonts w:cs="Arial"/>
            <w:noProof/>
            <w:lang w:val="hr-HR"/>
          </w:rPr>
          <w:t>11</w:t>
        </w:r>
        <w:r w:rsidR="00864715">
          <w:rPr>
            <w:rFonts w:asciiTheme="minorHAnsi" w:eastAsiaTheme="minorEastAsia" w:hAnsiTheme="minorHAnsi" w:cstheme="minorBidi"/>
            <w:noProof/>
            <w:szCs w:val="22"/>
            <w:lang w:val="hr-HR" w:eastAsia="hr-HR"/>
          </w:rPr>
          <w:tab/>
        </w:r>
        <w:r w:rsidR="00864715" w:rsidRPr="006220C5">
          <w:rPr>
            <w:rStyle w:val="Hyperlink"/>
            <w:rFonts w:cs="Arial"/>
            <w:noProof/>
            <w:lang w:val="hr-HR"/>
          </w:rPr>
          <w:t>Procjena stanja, uočeni nedostaci i prijedlozi rješenja</w:t>
        </w:r>
        <w:r w:rsidR="00864715">
          <w:rPr>
            <w:noProof/>
            <w:webHidden/>
          </w:rPr>
          <w:tab/>
        </w:r>
        <w:r>
          <w:rPr>
            <w:noProof/>
            <w:webHidden/>
          </w:rPr>
          <w:fldChar w:fldCharType="begin"/>
        </w:r>
        <w:r w:rsidR="00864715">
          <w:rPr>
            <w:noProof/>
            <w:webHidden/>
          </w:rPr>
          <w:instrText xml:space="preserve"> PAGEREF _Toc386619651 \h </w:instrText>
        </w:r>
        <w:r>
          <w:rPr>
            <w:noProof/>
            <w:webHidden/>
          </w:rPr>
        </w:r>
        <w:r>
          <w:rPr>
            <w:noProof/>
            <w:webHidden/>
          </w:rPr>
          <w:fldChar w:fldCharType="separate"/>
        </w:r>
        <w:r w:rsidR="00864715">
          <w:rPr>
            <w:noProof/>
            <w:webHidden/>
          </w:rPr>
          <w:t>50</w:t>
        </w:r>
        <w:r>
          <w:rPr>
            <w:noProof/>
            <w:webHidden/>
          </w:rPr>
          <w:fldChar w:fldCharType="end"/>
        </w:r>
      </w:hyperlink>
    </w:p>
    <w:p w:rsidR="00864715" w:rsidRDefault="00B079FB">
      <w:pPr>
        <w:pStyle w:val="TOC2"/>
        <w:tabs>
          <w:tab w:val="left" w:pos="1100"/>
          <w:tab w:val="right" w:leader="dot" w:pos="9060"/>
        </w:tabs>
        <w:rPr>
          <w:rFonts w:asciiTheme="minorHAnsi" w:eastAsiaTheme="minorEastAsia" w:hAnsiTheme="minorHAnsi" w:cstheme="minorBidi"/>
          <w:noProof/>
          <w:szCs w:val="22"/>
          <w:lang w:val="hr-HR" w:eastAsia="hr-HR"/>
        </w:rPr>
      </w:pPr>
      <w:hyperlink w:anchor="_Toc386619652" w:history="1">
        <w:r w:rsidR="00864715" w:rsidRPr="006220C5">
          <w:rPr>
            <w:rStyle w:val="Hyperlink"/>
            <w:rFonts w:cs="Arial"/>
            <w:noProof/>
          </w:rPr>
          <w:t>11.1</w:t>
        </w:r>
        <w:r w:rsidR="00864715">
          <w:rPr>
            <w:rFonts w:asciiTheme="minorHAnsi" w:eastAsiaTheme="minorEastAsia" w:hAnsiTheme="minorHAnsi" w:cstheme="minorBidi"/>
            <w:noProof/>
            <w:szCs w:val="22"/>
            <w:lang w:val="hr-HR" w:eastAsia="hr-HR"/>
          </w:rPr>
          <w:tab/>
        </w:r>
        <w:r w:rsidR="00864715" w:rsidRPr="006220C5">
          <w:rPr>
            <w:rStyle w:val="Hyperlink"/>
            <w:rFonts w:cs="Arial"/>
            <w:noProof/>
          </w:rPr>
          <w:t>Prijedlozi rješenja</w:t>
        </w:r>
        <w:r w:rsidR="00864715">
          <w:rPr>
            <w:noProof/>
            <w:webHidden/>
          </w:rPr>
          <w:tab/>
        </w:r>
        <w:r>
          <w:rPr>
            <w:noProof/>
            <w:webHidden/>
          </w:rPr>
          <w:fldChar w:fldCharType="begin"/>
        </w:r>
        <w:r w:rsidR="00864715">
          <w:rPr>
            <w:noProof/>
            <w:webHidden/>
          </w:rPr>
          <w:instrText xml:space="preserve"> PAGEREF _Toc386619652 \h </w:instrText>
        </w:r>
        <w:r>
          <w:rPr>
            <w:noProof/>
            <w:webHidden/>
          </w:rPr>
        </w:r>
        <w:r>
          <w:rPr>
            <w:noProof/>
            <w:webHidden/>
          </w:rPr>
          <w:fldChar w:fldCharType="separate"/>
        </w:r>
        <w:r w:rsidR="00864715">
          <w:rPr>
            <w:noProof/>
            <w:webHidden/>
          </w:rPr>
          <w:t>50</w:t>
        </w:r>
        <w:r>
          <w:rPr>
            <w:noProof/>
            <w:webHidden/>
          </w:rPr>
          <w:fldChar w:fldCharType="end"/>
        </w:r>
      </w:hyperlink>
    </w:p>
    <w:p w:rsidR="00864715" w:rsidRDefault="00B079FB">
      <w:pPr>
        <w:pStyle w:val="TOC3"/>
        <w:tabs>
          <w:tab w:val="left" w:pos="1320"/>
          <w:tab w:val="right" w:leader="dot" w:pos="9060"/>
        </w:tabs>
        <w:rPr>
          <w:rFonts w:asciiTheme="minorHAnsi" w:eastAsiaTheme="minorEastAsia" w:hAnsiTheme="minorHAnsi" w:cstheme="minorBidi"/>
          <w:noProof/>
          <w:szCs w:val="22"/>
          <w:lang w:val="hr-HR" w:eastAsia="hr-HR"/>
        </w:rPr>
      </w:pPr>
      <w:hyperlink w:anchor="_Toc386619653" w:history="1">
        <w:r w:rsidR="00864715" w:rsidRPr="006220C5">
          <w:rPr>
            <w:rStyle w:val="Hyperlink"/>
            <w:noProof/>
          </w:rPr>
          <w:t>11.1.1</w:t>
        </w:r>
        <w:r w:rsidR="00864715">
          <w:rPr>
            <w:rFonts w:asciiTheme="minorHAnsi" w:eastAsiaTheme="minorEastAsia" w:hAnsiTheme="minorHAnsi" w:cstheme="minorBidi"/>
            <w:noProof/>
            <w:szCs w:val="22"/>
            <w:lang w:val="hr-HR" w:eastAsia="hr-HR"/>
          </w:rPr>
          <w:tab/>
        </w:r>
        <w:r w:rsidR="00864715" w:rsidRPr="006220C5">
          <w:rPr>
            <w:rStyle w:val="Hyperlink"/>
            <w:noProof/>
          </w:rPr>
          <w:t>Propisi</w:t>
        </w:r>
        <w:r w:rsidR="00864715">
          <w:rPr>
            <w:noProof/>
            <w:webHidden/>
          </w:rPr>
          <w:tab/>
        </w:r>
        <w:r>
          <w:rPr>
            <w:noProof/>
            <w:webHidden/>
          </w:rPr>
          <w:fldChar w:fldCharType="begin"/>
        </w:r>
        <w:r w:rsidR="00864715">
          <w:rPr>
            <w:noProof/>
            <w:webHidden/>
          </w:rPr>
          <w:instrText xml:space="preserve"> PAGEREF _Toc386619653 \h </w:instrText>
        </w:r>
        <w:r>
          <w:rPr>
            <w:noProof/>
            <w:webHidden/>
          </w:rPr>
        </w:r>
        <w:r>
          <w:rPr>
            <w:noProof/>
            <w:webHidden/>
          </w:rPr>
          <w:fldChar w:fldCharType="separate"/>
        </w:r>
        <w:r w:rsidR="00864715">
          <w:rPr>
            <w:noProof/>
            <w:webHidden/>
          </w:rPr>
          <w:t>51</w:t>
        </w:r>
        <w:r>
          <w:rPr>
            <w:noProof/>
            <w:webHidden/>
          </w:rPr>
          <w:fldChar w:fldCharType="end"/>
        </w:r>
      </w:hyperlink>
    </w:p>
    <w:p w:rsidR="00864715" w:rsidRDefault="00B079FB">
      <w:pPr>
        <w:pStyle w:val="TOC3"/>
        <w:tabs>
          <w:tab w:val="left" w:pos="1320"/>
          <w:tab w:val="right" w:leader="dot" w:pos="9060"/>
        </w:tabs>
        <w:rPr>
          <w:rFonts w:asciiTheme="minorHAnsi" w:eastAsiaTheme="minorEastAsia" w:hAnsiTheme="minorHAnsi" w:cstheme="minorBidi"/>
          <w:noProof/>
          <w:szCs w:val="22"/>
          <w:lang w:val="hr-HR" w:eastAsia="hr-HR"/>
        </w:rPr>
      </w:pPr>
      <w:hyperlink w:anchor="_Toc386619654" w:history="1">
        <w:r w:rsidR="00864715" w:rsidRPr="006220C5">
          <w:rPr>
            <w:rStyle w:val="Hyperlink"/>
            <w:noProof/>
          </w:rPr>
          <w:t>11.1.2</w:t>
        </w:r>
        <w:r w:rsidR="00864715">
          <w:rPr>
            <w:rFonts w:asciiTheme="minorHAnsi" w:eastAsiaTheme="minorEastAsia" w:hAnsiTheme="minorHAnsi" w:cstheme="minorBidi"/>
            <w:noProof/>
            <w:szCs w:val="22"/>
            <w:lang w:val="hr-HR" w:eastAsia="hr-HR"/>
          </w:rPr>
          <w:tab/>
        </w:r>
        <w:r w:rsidR="00864715" w:rsidRPr="006220C5">
          <w:rPr>
            <w:rStyle w:val="Hyperlink"/>
            <w:noProof/>
          </w:rPr>
          <w:t>Edukacija</w:t>
        </w:r>
        <w:r w:rsidR="00864715">
          <w:rPr>
            <w:noProof/>
            <w:webHidden/>
          </w:rPr>
          <w:tab/>
        </w:r>
        <w:r>
          <w:rPr>
            <w:noProof/>
            <w:webHidden/>
          </w:rPr>
          <w:fldChar w:fldCharType="begin"/>
        </w:r>
        <w:r w:rsidR="00864715">
          <w:rPr>
            <w:noProof/>
            <w:webHidden/>
          </w:rPr>
          <w:instrText xml:space="preserve"> PAGEREF _Toc386619654 \h </w:instrText>
        </w:r>
        <w:r>
          <w:rPr>
            <w:noProof/>
            <w:webHidden/>
          </w:rPr>
        </w:r>
        <w:r>
          <w:rPr>
            <w:noProof/>
            <w:webHidden/>
          </w:rPr>
          <w:fldChar w:fldCharType="separate"/>
        </w:r>
        <w:r w:rsidR="00864715">
          <w:rPr>
            <w:noProof/>
            <w:webHidden/>
          </w:rPr>
          <w:t>52</w:t>
        </w:r>
        <w:r>
          <w:rPr>
            <w:noProof/>
            <w:webHidden/>
          </w:rPr>
          <w:fldChar w:fldCharType="end"/>
        </w:r>
      </w:hyperlink>
    </w:p>
    <w:p w:rsidR="00864715" w:rsidRDefault="00B079FB">
      <w:pPr>
        <w:pStyle w:val="TOC3"/>
        <w:tabs>
          <w:tab w:val="left" w:pos="1320"/>
          <w:tab w:val="right" w:leader="dot" w:pos="9060"/>
        </w:tabs>
        <w:rPr>
          <w:rFonts w:asciiTheme="minorHAnsi" w:eastAsiaTheme="minorEastAsia" w:hAnsiTheme="minorHAnsi" w:cstheme="minorBidi"/>
          <w:noProof/>
          <w:szCs w:val="22"/>
          <w:lang w:val="hr-HR" w:eastAsia="hr-HR"/>
        </w:rPr>
      </w:pPr>
      <w:hyperlink w:anchor="_Toc386619655" w:history="1">
        <w:r w:rsidR="00864715" w:rsidRPr="006220C5">
          <w:rPr>
            <w:rStyle w:val="Hyperlink"/>
            <w:noProof/>
          </w:rPr>
          <w:t>11.1.3</w:t>
        </w:r>
        <w:r w:rsidR="00864715">
          <w:rPr>
            <w:rFonts w:asciiTheme="minorHAnsi" w:eastAsiaTheme="minorEastAsia" w:hAnsiTheme="minorHAnsi" w:cstheme="minorBidi"/>
            <w:noProof/>
            <w:szCs w:val="22"/>
            <w:lang w:val="hr-HR" w:eastAsia="hr-HR"/>
          </w:rPr>
          <w:tab/>
        </w:r>
        <w:r w:rsidR="00864715" w:rsidRPr="006220C5">
          <w:rPr>
            <w:rStyle w:val="Hyperlink"/>
            <w:noProof/>
          </w:rPr>
          <w:t>Samoregulacija medija</w:t>
        </w:r>
        <w:r w:rsidR="00864715">
          <w:rPr>
            <w:noProof/>
            <w:webHidden/>
          </w:rPr>
          <w:tab/>
        </w:r>
        <w:r>
          <w:rPr>
            <w:noProof/>
            <w:webHidden/>
          </w:rPr>
          <w:fldChar w:fldCharType="begin"/>
        </w:r>
        <w:r w:rsidR="00864715">
          <w:rPr>
            <w:noProof/>
            <w:webHidden/>
          </w:rPr>
          <w:instrText xml:space="preserve"> PAGEREF _Toc386619655 \h </w:instrText>
        </w:r>
        <w:r>
          <w:rPr>
            <w:noProof/>
            <w:webHidden/>
          </w:rPr>
        </w:r>
        <w:r>
          <w:rPr>
            <w:noProof/>
            <w:webHidden/>
          </w:rPr>
          <w:fldChar w:fldCharType="separate"/>
        </w:r>
        <w:r w:rsidR="00864715">
          <w:rPr>
            <w:noProof/>
            <w:webHidden/>
          </w:rPr>
          <w:t>53</w:t>
        </w:r>
        <w:r>
          <w:rPr>
            <w:noProof/>
            <w:webHidden/>
          </w:rPr>
          <w:fldChar w:fldCharType="end"/>
        </w:r>
      </w:hyperlink>
    </w:p>
    <w:p w:rsidR="00864715" w:rsidRDefault="00B079FB">
      <w:pPr>
        <w:pStyle w:val="TOC4"/>
        <w:tabs>
          <w:tab w:val="left" w:pos="1760"/>
          <w:tab w:val="right" w:leader="dot" w:pos="9060"/>
        </w:tabs>
        <w:rPr>
          <w:rFonts w:asciiTheme="minorHAnsi" w:eastAsiaTheme="minorEastAsia" w:hAnsiTheme="minorHAnsi" w:cstheme="minorBidi"/>
          <w:noProof/>
          <w:szCs w:val="22"/>
          <w:lang w:val="hr-HR" w:eastAsia="hr-HR"/>
        </w:rPr>
      </w:pPr>
      <w:hyperlink w:anchor="_Toc386619656" w:history="1">
        <w:r w:rsidR="00864715" w:rsidRPr="006220C5">
          <w:rPr>
            <w:rStyle w:val="Hyperlink"/>
            <w:noProof/>
          </w:rPr>
          <w:t>11.1.3.1</w:t>
        </w:r>
        <w:r w:rsidR="00864715">
          <w:rPr>
            <w:rFonts w:asciiTheme="minorHAnsi" w:eastAsiaTheme="minorEastAsia" w:hAnsiTheme="minorHAnsi" w:cstheme="minorBidi"/>
            <w:noProof/>
            <w:szCs w:val="22"/>
            <w:lang w:val="hr-HR" w:eastAsia="hr-HR"/>
          </w:rPr>
          <w:tab/>
        </w:r>
        <w:r w:rsidR="00864715" w:rsidRPr="006220C5">
          <w:rPr>
            <w:rStyle w:val="Hyperlink"/>
            <w:noProof/>
          </w:rPr>
          <w:t>Aktivno djelovanje na uklanjanju diskriminatornih sadržaja</w:t>
        </w:r>
        <w:r w:rsidR="00864715">
          <w:rPr>
            <w:noProof/>
            <w:webHidden/>
          </w:rPr>
          <w:tab/>
        </w:r>
        <w:r>
          <w:rPr>
            <w:noProof/>
            <w:webHidden/>
          </w:rPr>
          <w:fldChar w:fldCharType="begin"/>
        </w:r>
        <w:r w:rsidR="00864715">
          <w:rPr>
            <w:noProof/>
            <w:webHidden/>
          </w:rPr>
          <w:instrText xml:space="preserve"> PAGEREF _Toc386619656 \h </w:instrText>
        </w:r>
        <w:r>
          <w:rPr>
            <w:noProof/>
            <w:webHidden/>
          </w:rPr>
        </w:r>
        <w:r>
          <w:rPr>
            <w:noProof/>
            <w:webHidden/>
          </w:rPr>
          <w:fldChar w:fldCharType="separate"/>
        </w:r>
        <w:r w:rsidR="00864715">
          <w:rPr>
            <w:noProof/>
            <w:webHidden/>
          </w:rPr>
          <w:t>53</w:t>
        </w:r>
        <w:r>
          <w:rPr>
            <w:noProof/>
            <w:webHidden/>
          </w:rPr>
          <w:fldChar w:fldCharType="end"/>
        </w:r>
      </w:hyperlink>
    </w:p>
    <w:p w:rsidR="00864715" w:rsidRDefault="00B079FB">
      <w:pPr>
        <w:pStyle w:val="TOC4"/>
        <w:tabs>
          <w:tab w:val="left" w:pos="1760"/>
          <w:tab w:val="right" w:leader="dot" w:pos="9060"/>
        </w:tabs>
        <w:rPr>
          <w:rFonts w:asciiTheme="minorHAnsi" w:eastAsiaTheme="minorEastAsia" w:hAnsiTheme="minorHAnsi" w:cstheme="minorBidi"/>
          <w:noProof/>
          <w:szCs w:val="22"/>
          <w:lang w:val="hr-HR" w:eastAsia="hr-HR"/>
        </w:rPr>
      </w:pPr>
      <w:hyperlink w:anchor="_Toc386619657" w:history="1">
        <w:r w:rsidR="00864715" w:rsidRPr="006220C5">
          <w:rPr>
            <w:rStyle w:val="Hyperlink"/>
            <w:noProof/>
          </w:rPr>
          <w:t>11.1.3.2</w:t>
        </w:r>
        <w:r w:rsidR="00864715">
          <w:rPr>
            <w:rFonts w:asciiTheme="minorHAnsi" w:eastAsiaTheme="minorEastAsia" w:hAnsiTheme="minorHAnsi" w:cstheme="minorBidi"/>
            <w:noProof/>
            <w:szCs w:val="22"/>
            <w:lang w:val="hr-HR" w:eastAsia="hr-HR"/>
          </w:rPr>
          <w:tab/>
        </w:r>
        <w:r w:rsidR="00864715" w:rsidRPr="006220C5">
          <w:rPr>
            <w:rStyle w:val="Hyperlink"/>
            <w:noProof/>
          </w:rPr>
          <w:t>Zabrana anonimnosti prilikom postavljanja korisničkih sadržaja</w:t>
        </w:r>
        <w:r w:rsidR="00864715">
          <w:rPr>
            <w:noProof/>
            <w:webHidden/>
          </w:rPr>
          <w:tab/>
        </w:r>
        <w:r>
          <w:rPr>
            <w:noProof/>
            <w:webHidden/>
          </w:rPr>
          <w:fldChar w:fldCharType="begin"/>
        </w:r>
        <w:r w:rsidR="00864715">
          <w:rPr>
            <w:noProof/>
            <w:webHidden/>
          </w:rPr>
          <w:instrText xml:space="preserve"> PAGEREF _Toc386619657 \h </w:instrText>
        </w:r>
        <w:r>
          <w:rPr>
            <w:noProof/>
            <w:webHidden/>
          </w:rPr>
        </w:r>
        <w:r>
          <w:rPr>
            <w:noProof/>
            <w:webHidden/>
          </w:rPr>
          <w:fldChar w:fldCharType="separate"/>
        </w:r>
        <w:r w:rsidR="00864715">
          <w:rPr>
            <w:noProof/>
            <w:webHidden/>
          </w:rPr>
          <w:t>56</w:t>
        </w:r>
        <w:r>
          <w:rPr>
            <w:noProof/>
            <w:webHidden/>
          </w:rPr>
          <w:fldChar w:fldCharType="end"/>
        </w:r>
      </w:hyperlink>
    </w:p>
    <w:p w:rsidR="00864715" w:rsidRDefault="00B079FB">
      <w:pPr>
        <w:pStyle w:val="TOC3"/>
        <w:tabs>
          <w:tab w:val="left" w:pos="1320"/>
          <w:tab w:val="right" w:leader="dot" w:pos="9060"/>
        </w:tabs>
        <w:rPr>
          <w:rFonts w:asciiTheme="minorHAnsi" w:eastAsiaTheme="minorEastAsia" w:hAnsiTheme="minorHAnsi" w:cstheme="minorBidi"/>
          <w:noProof/>
          <w:szCs w:val="22"/>
          <w:lang w:val="hr-HR" w:eastAsia="hr-HR"/>
        </w:rPr>
      </w:pPr>
      <w:hyperlink w:anchor="_Toc386619658" w:history="1">
        <w:r w:rsidR="00864715" w:rsidRPr="006220C5">
          <w:rPr>
            <w:rStyle w:val="Hyperlink"/>
            <w:noProof/>
          </w:rPr>
          <w:t>11.1.4</w:t>
        </w:r>
        <w:r w:rsidR="00864715">
          <w:rPr>
            <w:rFonts w:asciiTheme="minorHAnsi" w:eastAsiaTheme="minorEastAsia" w:hAnsiTheme="minorHAnsi" w:cstheme="minorBidi"/>
            <w:noProof/>
            <w:szCs w:val="22"/>
            <w:lang w:val="hr-HR" w:eastAsia="hr-HR"/>
          </w:rPr>
          <w:tab/>
        </w:r>
        <w:r w:rsidR="00864715" w:rsidRPr="006220C5">
          <w:rPr>
            <w:rStyle w:val="Hyperlink"/>
            <w:noProof/>
          </w:rPr>
          <w:t>Od mladih za mlade</w:t>
        </w:r>
        <w:r w:rsidR="00864715">
          <w:rPr>
            <w:noProof/>
            <w:webHidden/>
          </w:rPr>
          <w:tab/>
        </w:r>
        <w:r>
          <w:rPr>
            <w:noProof/>
            <w:webHidden/>
          </w:rPr>
          <w:fldChar w:fldCharType="begin"/>
        </w:r>
        <w:r w:rsidR="00864715">
          <w:rPr>
            <w:noProof/>
            <w:webHidden/>
          </w:rPr>
          <w:instrText xml:space="preserve"> PAGEREF _Toc386619658 \h </w:instrText>
        </w:r>
        <w:r>
          <w:rPr>
            <w:noProof/>
            <w:webHidden/>
          </w:rPr>
        </w:r>
        <w:r>
          <w:rPr>
            <w:noProof/>
            <w:webHidden/>
          </w:rPr>
          <w:fldChar w:fldCharType="separate"/>
        </w:r>
        <w:r w:rsidR="00864715">
          <w:rPr>
            <w:noProof/>
            <w:webHidden/>
          </w:rPr>
          <w:t>57</w:t>
        </w:r>
        <w:r>
          <w:rPr>
            <w:noProof/>
            <w:webHidden/>
          </w:rPr>
          <w:fldChar w:fldCharType="end"/>
        </w:r>
      </w:hyperlink>
    </w:p>
    <w:p w:rsidR="00864715" w:rsidRDefault="00B079FB">
      <w:pPr>
        <w:pStyle w:val="TOC1"/>
        <w:tabs>
          <w:tab w:val="left" w:pos="480"/>
          <w:tab w:val="right" w:leader="dot" w:pos="9060"/>
        </w:tabs>
        <w:rPr>
          <w:rFonts w:asciiTheme="minorHAnsi" w:eastAsiaTheme="minorEastAsia" w:hAnsiTheme="minorHAnsi" w:cstheme="minorBidi"/>
          <w:noProof/>
          <w:szCs w:val="22"/>
          <w:lang w:val="hr-HR" w:eastAsia="hr-HR"/>
        </w:rPr>
      </w:pPr>
      <w:hyperlink w:anchor="_Toc386619659" w:history="1">
        <w:r w:rsidR="00864715" w:rsidRPr="006220C5">
          <w:rPr>
            <w:rStyle w:val="Hyperlink"/>
            <w:rFonts w:cs="Arial"/>
            <w:noProof/>
            <w:lang w:val="hr-HR"/>
          </w:rPr>
          <w:t>12</w:t>
        </w:r>
        <w:r w:rsidR="00864715">
          <w:rPr>
            <w:rFonts w:asciiTheme="minorHAnsi" w:eastAsiaTheme="minorEastAsia" w:hAnsiTheme="minorHAnsi" w:cstheme="minorBidi"/>
            <w:noProof/>
            <w:szCs w:val="22"/>
            <w:lang w:val="hr-HR" w:eastAsia="hr-HR"/>
          </w:rPr>
          <w:tab/>
        </w:r>
        <w:r w:rsidR="00864715" w:rsidRPr="006220C5">
          <w:rPr>
            <w:rStyle w:val="Hyperlink"/>
            <w:rFonts w:cs="Arial"/>
            <w:noProof/>
            <w:lang w:val="hr-HR"/>
          </w:rPr>
          <w:t>Zaključak</w:t>
        </w:r>
        <w:r w:rsidR="00864715">
          <w:rPr>
            <w:noProof/>
            <w:webHidden/>
          </w:rPr>
          <w:tab/>
        </w:r>
        <w:r>
          <w:rPr>
            <w:noProof/>
            <w:webHidden/>
          </w:rPr>
          <w:fldChar w:fldCharType="begin"/>
        </w:r>
        <w:r w:rsidR="00864715">
          <w:rPr>
            <w:noProof/>
            <w:webHidden/>
          </w:rPr>
          <w:instrText xml:space="preserve"> PAGEREF _Toc386619659 \h </w:instrText>
        </w:r>
        <w:r>
          <w:rPr>
            <w:noProof/>
            <w:webHidden/>
          </w:rPr>
        </w:r>
        <w:r>
          <w:rPr>
            <w:noProof/>
            <w:webHidden/>
          </w:rPr>
          <w:fldChar w:fldCharType="separate"/>
        </w:r>
        <w:r w:rsidR="00864715">
          <w:rPr>
            <w:noProof/>
            <w:webHidden/>
          </w:rPr>
          <w:t>58</w:t>
        </w:r>
        <w:r>
          <w:rPr>
            <w:noProof/>
            <w:webHidden/>
          </w:rPr>
          <w:fldChar w:fldCharType="end"/>
        </w:r>
      </w:hyperlink>
    </w:p>
    <w:p w:rsidR="00864715" w:rsidRDefault="00B079FB">
      <w:pPr>
        <w:pStyle w:val="TOC1"/>
        <w:tabs>
          <w:tab w:val="left" w:pos="480"/>
          <w:tab w:val="right" w:leader="dot" w:pos="9060"/>
        </w:tabs>
        <w:rPr>
          <w:rFonts w:asciiTheme="minorHAnsi" w:eastAsiaTheme="minorEastAsia" w:hAnsiTheme="minorHAnsi" w:cstheme="minorBidi"/>
          <w:noProof/>
          <w:szCs w:val="22"/>
          <w:lang w:val="hr-HR" w:eastAsia="hr-HR"/>
        </w:rPr>
      </w:pPr>
      <w:hyperlink w:anchor="_Toc386619660" w:history="1">
        <w:r w:rsidR="00864715" w:rsidRPr="006220C5">
          <w:rPr>
            <w:rStyle w:val="Hyperlink"/>
            <w:rFonts w:cs="Arial"/>
            <w:noProof/>
            <w:lang w:val="hr-HR"/>
          </w:rPr>
          <w:t>13</w:t>
        </w:r>
        <w:r w:rsidR="00864715">
          <w:rPr>
            <w:rFonts w:asciiTheme="minorHAnsi" w:eastAsiaTheme="minorEastAsia" w:hAnsiTheme="minorHAnsi" w:cstheme="minorBidi"/>
            <w:noProof/>
            <w:szCs w:val="22"/>
            <w:lang w:val="hr-HR" w:eastAsia="hr-HR"/>
          </w:rPr>
          <w:tab/>
        </w:r>
        <w:r w:rsidR="00864715" w:rsidRPr="006220C5">
          <w:rPr>
            <w:rStyle w:val="Hyperlink"/>
            <w:rFonts w:cs="Arial"/>
            <w:noProof/>
            <w:lang w:val="hr-HR"/>
          </w:rPr>
          <w:t>Z</w:t>
        </w:r>
        <w:r w:rsidR="00864715">
          <w:rPr>
            <w:rStyle w:val="Hyperlink"/>
            <w:rFonts w:cs="Arial"/>
            <w:noProof/>
            <w:lang w:val="hr-HR"/>
          </w:rPr>
          <w:t>ahvale</w:t>
        </w:r>
        <w:r w:rsidR="00864715">
          <w:rPr>
            <w:noProof/>
            <w:webHidden/>
          </w:rPr>
          <w:tab/>
        </w:r>
        <w:r>
          <w:rPr>
            <w:noProof/>
            <w:webHidden/>
          </w:rPr>
          <w:fldChar w:fldCharType="begin"/>
        </w:r>
        <w:r w:rsidR="00864715">
          <w:rPr>
            <w:noProof/>
            <w:webHidden/>
          </w:rPr>
          <w:instrText xml:space="preserve"> PAGEREF _Toc386619660 \h </w:instrText>
        </w:r>
        <w:r>
          <w:rPr>
            <w:noProof/>
            <w:webHidden/>
          </w:rPr>
        </w:r>
        <w:r>
          <w:rPr>
            <w:noProof/>
            <w:webHidden/>
          </w:rPr>
          <w:fldChar w:fldCharType="separate"/>
        </w:r>
        <w:r w:rsidR="00864715">
          <w:rPr>
            <w:noProof/>
            <w:webHidden/>
          </w:rPr>
          <w:t>60</w:t>
        </w:r>
        <w:r>
          <w:rPr>
            <w:noProof/>
            <w:webHidden/>
          </w:rPr>
          <w:fldChar w:fldCharType="end"/>
        </w:r>
      </w:hyperlink>
    </w:p>
    <w:p w:rsidR="00864715" w:rsidRDefault="00B079FB">
      <w:pPr>
        <w:pStyle w:val="TOC1"/>
        <w:tabs>
          <w:tab w:val="left" w:pos="480"/>
          <w:tab w:val="right" w:leader="dot" w:pos="9060"/>
        </w:tabs>
        <w:rPr>
          <w:rFonts w:asciiTheme="minorHAnsi" w:eastAsiaTheme="minorEastAsia" w:hAnsiTheme="minorHAnsi" w:cstheme="minorBidi"/>
          <w:noProof/>
          <w:szCs w:val="22"/>
          <w:lang w:val="hr-HR" w:eastAsia="hr-HR"/>
        </w:rPr>
      </w:pPr>
      <w:hyperlink w:anchor="_Toc386619661" w:history="1">
        <w:r w:rsidR="00864715" w:rsidRPr="006220C5">
          <w:rPr>
            <w:rStyle w:val="Hyperlink"/>
            <w:rFonts w:cs="Arial"/>
            <w:noProof/>
            <w:lang w:val="hr-HR"/>
          </w:rPr>
          <w:t>14</w:t>
        </w:r>
        <w:r w:rsidR="00864715">
          <w:rPr>
            <w:rFonts w:asciiTheme="minorHAnsi" w:eastAsiaTheme="minorEastAsia" w:hAnsiTheme="minorHAnsi" w:cstheme="minorBidi"/>
            <w:noProof/>
            <w:szCs w:val="22"/>
            <w:lang w:val="hr-HR" w:eastAsia="hr-HR"/>
          </w:rPr>
          <w:tab/>
        </w:r>
        <w:r w:rsidR="00864715" w:rsidRPr="006220C5">
          <w:rPr>
            <w:rStyle w:val="Hyperlink"/>
            <w:rFonts w:cs="Arial"/>
            <w:noProof/>
            <w:lang w:val="hr-HR"/>
          </w:rPr>
          <w:t>Popis literature</w:t>
        </w:r>
        <w:r w:rsidR="00864715">
          <w:rPr>
            <w:noProof/>
            <w:webHidden/>
          </w:rPr>
          <w:tab/>
        </w:r>
        <w:r>
          <w:rPr>
            <w:noProof/>
            <w:webHidden/>
          </w:rPr>
          <w:fldChar w:fldCharType="begin"/>
        </w:r>
        <w:r w:rsidR="00864715">
          <w:rPr>
            <w:noProof/>
            <w:webHidden/>
          </w:rPr>
          <w:instrText xml:space="preserve"> PAGEREF _Toc386619661 \h </w:instrText>
        </w:r>
        <w:r>
          <w:rPr>
            <w:noProof/>
            <w:webHidden/>
          </w:rPr>
        </w:r>
        <w:r>
          <w:rPr>
            <w:noProof/>
            <w:webHidden/>
          </w:rPr>
          <w:fldChar w:fldCharType="separate"/>
        </w:r>
        <w:r w:rsidR="00864715">
          <w:rPr>
            <w:noProof/>
            <w:webHidden/>
          </w:rPr>
          <w:t>60</w:t>
        </w:r>
        <w:r>
          <w:rPr>
            <w:noProof/>
            <w:webHidden/>
          </w:rPr>
          <w:fldChar w:fldCharType="end"/>
        </w:r>
      </w:hyperlink>
    </w:p>
    <w:p w:rsidR="00864715" w:rsidRDefault="00B079FB">
      <w:pPr>
        <w:pStyle w:val="TOC1"/>
        <w:tabs>
          <w:tab w:val="left" w:pos="480"/>
          <w:tab w:val="right" w:leader="dot" w:pos="9060"/>
        </w:tabs>
        <w:rPr>
          <w:rFonts w:asciiTheme="minorHAnsi" w:eastAsiaTheme="minorEastAsia" w:hAnsiTheme="minorHAnsi" w:cstheme="minorBidi"/>
          <w:noProof/>
          <w:szCs w:val="22"/>
          <w:lang w:val="hr-HR" w:eastAsia="hr-HR"/>
        </w:rPr>
      </w:pPr>
      <w:hyperlink w:anchor="_Toc386619662" w:history="1">
        <w:r w:rsidR="00864715" w:rsidRPr="006220C5">
          <w:rPr>
            <w:rStyle w:val="Hyperlink"/>
            <w:rFonts w:cs="Arial"/>
            <w:noProof/>
            <w:lang w:val="hr-HR"/>
          </w:rPr>
          <w:t>15</w:t>
        </w:r>
        <w:r w:rsidR="00864715">
          <w:rPr>
            <w:rFonts w:asciiTheme="minorHAnsi" w:eastAsiaTheme="minorEastAsia" w:hAnsiTheme="minorHAnsi" w:cstheme="minorBidi"/>
            <w:noProof/>
            <w:szCs w:val="22"/>
            <w:lang w:val="hr-HR" w:eastAsia="hr-HR"/>
          </w:rPr>
          <w:tab/>
        </w:r>
        <w:r w:rsidR="00864715" w:rsidRPr="006220C5">
          <w:rPr>
            <w:rStyle w:val="Hyperlink"/>
            <w:rFonts w:cs="Arial"/>
            <w:noProof/>
            <w:lang w:val="hr-HR"/>
          </w:rPr>
          <w:t>S</w:t>
        </w:r>
        <w:r w:rsidR="00864715">
          <w:rPr>
            <w:rStyle w:val="Hyperlink"/>
            <w:rFonts w:cs="Arial"/>
            <w:noProof/>
            <w:lang w:val="hr-HR"/>
          </w:rPr>
          <w:t>ažetak</w:t>
        </w:r>
        <w:r w:rsidR="00864715">
          <w:rPr>
            <w:noProof/>
            <w:webHidden/>
          </w:rPr>
          <w:tab/>
        </w:r>
        <w:r>
          <w:rPr>
            <w:noProof/>
            <w:webHidden/>
          </w:rPr>
          <w:fldChar w:fldCharType="begin"/>
        </w:r>
        <w:r w:rsidR="00864715">
          <w:rPr>
            <w:noProof/>
            <w:webHidden/>
          </w:rPr>
          <w:instrText xml:space="preserve"> PAGEREF _Toc386619662 \h </w:instrText>
        </w:r>
        <w:r>
          <w:rPr>
            <w:noProof/>
            <w:webHidden/>
          </w:rPr>
        </w:r>
        <w:r>
          <w:rPr>
            <w:noProof/>
            <w:webHidden/>
          </w:rPr>
          <w:fldChar w:fldCharType="separate"/>
        </w:r>
        <w:r w:rsidR="00864715">
          <w:rPr>
            <w:noProof/>
            <w:webHidden/>
          </w:rPr>
          <w:t>67</w:t>
        </w:r>
        <w:r>
          <w:rPr>
            <w:noProof/>
            <w:webHidden/>
          </w:rPr>
          <w:fldChar w:fldCharType="end"/>
        </w:r>
      </w:hyperlink>
    </w:p>
    <w:p w:rsidR="00864715" w:rsidRDefault="00B079FB">
      <w:pPr>
        <w:pStyle w:val="TOC1"/>
        <w:tabs>
          <w:tab w:val="left" w:pos="480"/>
          <w:tab w:val="right" w:leader="dot" w:pos="9060"/>
        </w:tabs>
        <w:rPr>
          <w:rFonts w:asciiTheme="minorHAnsi" w:eastAsiaTheme="minorEastAsia" w:hAnsiTheme="minorHAnsi" w:cstheme="minorBidi"/>
          <w:noProof/>
          <w:szCs w:val="22"/>
          <w:lang w:val="hr-HR" w:eastAsia="hr-HR"/>
        </w:rPr>
      </w:pPr>
      <w:hyperlink w:anchor="_Toc386619663" w:history="1">
        <w:r w:rsidR="00864715" w:rsidRPr="006220C5">
          <w:rPr>
            <w:rStyle w:val="Hyperlink"/>
            <w:rFonts w:cs="Arial"/>
            <w:noProof/>
            <w:lang w:val="hr-HR"/>
          </w:rPr>
          <w:t>16</w:t>
        </w:r>
        <w:r w:rsidR="00864715">
          <w:rPr>
            <w:rFonts w:asciiTheme="minorHAnsi" w:eastAsiaTheme="minorEastAsia" w:hAnsiTheme="minorHAnsi" w:cstheme="minorBidi"/>
            <w:noProof/>
            <w:szCs w:val="22"/>
            <w:lang w:val="hr-HR" w:eastAsia="hr-HR"/>
          </w:rPr>
          <w:tab/>
        </w:r>
        <w:r w:rsidR="00864715" w:rsidRPr="006220C5">
          <w:rPr>
            <w:rStyle w:val="Hyperlink"/>
            <w:rFonts w:cs="Arial"/>
            <w:noProof/>
            <w:lang w:val="hr-HR"/>
          </w:rPr>
          <w:t>S</w:t>
        </w:r>
        <w:r w:rsidR="00864715">
          <w:rPr>
            <w:rStyle w:val="Hyperlink"/>
            <w:rFonts w:cs="Arial"/>
            <w:noProof/>
            <w:lang w:val="hr-HR"/>
          </w:rPr>
          <w:t>ummary</w:t>
        </w:r>
        <w:r w:rsidR="00864715">
          <w:rPr>
            <w:noProof/>
            <w:webHidden/>
          </w:rPr>
          <w:tab/>
        </w:r>
        <w:r>
          <w:rPr>
            <w:noProof/>
            <w:webHidden/>
          </w:rPr>
          <w:fldChar w:fldCharType="begin"/>
        </w:r>
        <w:r w:rsidR="00864715">
          <w:rPr>
            <w:noProof/>
            <w:webHidden/>
          </w:rPr>
          <w:instrText xml:space="preserve"> PAGEREF _Toc386619663 \h </w:instrText>
        </w:r>
        <w:r>
          <w:rPr>
            <w:noProof/>
            <w:webHidden/>
          </w:rPr>
        </w:r>
        <w:r>
          <w:rPr>
            <w:noProof/>
            <w:webHidden/>
          </w:rPr>
          <w:fldChar w:fldCharType="separate"/>
        </w:r>
        <w:r w:rsidR="00864715">
          <w:rPr>
            <w:noProof/>
            <w:webHidden/>
          </w:rPr>
          <w:t>67</w:t>
        </w:r>
        <w:r>
          <w:rPr>
            <w:noProof/>
            <w:webHidden/>
          </w:rPr>
          <w:fldChar w:fldCharType="end"/>
        </w:r>
      </w:hyperlink>
    </w:p>
    <w:p w:rsidR="001E6C43" w:rsidRPr="00B830BB" w:rsidRDefault="00B079FB" w:rsidP="00BB6C66">
      <w:pPr>
        <w:rPr>
          <w:rFonts w:cs="Arial"/>
          <w:szCs w:val="22"/>
          <w:lang w:val="hr-HR"/>
        </w:rPr>
        <w:sectPr w:rsidR="001E6C43" w:rsidRPr="00B830BB" w:rsidSect="001B6128">
          <w:footerReference w:type="default" r:id="rId33"/>
          <w:type w:val="continuous"/>
          <w:pgSz w:w="11906" w:h="16838" w:code="9"/>
          <w:pgMar w:top="1418" w:right="1418" w:bottom="1418" w:left="1418" w:header="709" w:footer="709" w:gutter="0"/>
          <w:pgNumType w:fmt="upperRoman" w:start="1"/>
          <w:cols w:space="708"/>
          <w:docGrid w:linePitch="360"/>
        </w:sectPr>
      </w:pPr>
      <w:r>
        <w:rPr>
          <w:rFonts w:cs="Arial"/>
          <w:szCs w:val="22"/>
          <w:lang w:val="hr-HR"/>
        </w:rPr>
        <w:fldChar w:fldCharType="end"/>
      </w:r>
    </w:p>
    <w:p w:rsidR="005A57F5" w:rsidRPr="00B830BB" w:rsidRDefault="00823362" w:rsidP="00F516F4">
      <w:pPr>
        <w:pStyle w:val="Heading1"/>
        <w:rPr>
          <w:rFonts w:cs="Arial"/>
          <w:lang w:val="hr-HR"/>
        </w:rPr>
      </w:pPr>
      <w:bookmarkStart w:id="0" w:name="_Toc386285767"/>
      <w:bookmarkStart w:id="1" w:name="_Toc386498298"/>
      <w:bookmarkStart w:id="2" w:name="_Toc386563043"/>
      <w:bookmarkStart w:id="3" w:name="_Toc386567205"/>
      <w:bookmarkStart w:id="4" w:name="_Toc386619597"/>
      <w:r w:rsidRPr="00B830BB">
        <w:rPr>
          <w:rFonts w:cs="Arial"/>
          <w:lang w:val="hr-HR"/>
        </w:rPr>
        <w:lastRenderedPageBreak/>
        <w:t>Uvod</w:t>
      </w:r>
      <w:bookmarkEnd w:id="0"/>
      <w:bookmarkEnd w:id="1"/>
      <w:bookmarkEnd w:id="2"/>
      <w:bookmarkEnd w:id="3"/>
      <w:bookmarkEnd w:id="4"/>
    </w:p>
    <w:p w:rsidR="005A57F5" w:rsidRPr="00B830BB" w:rsidRDefault="005A57F5">
      <w:pPr>
        <w:rPr>
          <w:rFonts w:cs="Arial"/>
          <w:szCs w:val="22"/>
          <w:lang w:val="hr-HR"/>
        </w:rPr>
      </w:pPr>
    </w:p>
    <w:p w:rsidR="005A57F5" w:rsidRPr="00B830BB" w:rsidRDefault="005A57F5">
      <w:pPr>
        <w:rPr>
          <w:rFonts w:cs="Arial"/>
          <w:szCs w:val="22"/>
          <w:lang w:val="hr-HR"/>
        </w:rPr>
      </w:pPr>
    </w:p>
    <w:p w:rsidR="001E6C43" w:rsidRPr="00B830BB" w:rsidRDefault="001E6C43" w:rsidP="001E6C43">
      <w:pPr>
        <w:spacing w:line="360" w:lineRule="auto"/>
        <w:ind w:firstLine="432"/>
        <w:jc w:val="center"/>
        <w:rPr>
          <w:rFonts w:cs="Arial"/>
          <w:i/>
          <w:szCs w:val="22"/>
          <w:lang w:val="hr-HR"/>
        </w:rPr>
      </w:pPr>
      <w:r w:rsidRPr="00B830BB">
        <w:rPr>
          <w:rFonts w:cs="Arial"/>
          <w:i/>
          <w:szCs w:val="22"/>
          <w:lang w:val="hr-HR"/>
        </w:rPr>
        <w:t xml:space="preserve">„Ne slažem </w:t>
      </w:r>
      <w:r w:rsidR="004165F9" w:rsidRPr="00B830BB">
        <w:rPr>
          <w:rFonts w:cs="Arial"/>
          <w:i/>
          <w:szCs w:val="22"/>
          <w:lang w:val="hr-HR"/>
        </w:rPr>
        <w:t xml:space="preserve">se </w:t>
      </w:r>
      <w:r w:rsidRPr="00B830BB">
        <w:rPr>
          <w:rFonts w:cs="Arial"/>
          <w:i/>
          <w:szCs w:val="22"/>
          <w:lang w:val="hr-HR"/>
        </w:rPr>
        <w:t>niti s jednom riječi koju si izgovorio, ali ću do smrti braniti tvoje pravo da ih izgovoriš.“</w:t>
      </w:r>
    </w:p>
    <w:p w:rsidR="001E6C43" w:rsidRPr="00B830BB" w:rsidRDefault="001E6C43" w:rsidP="001E6C43">
      <w:pPr>
        <w:spacing w:line="360" w:lineRule="auto"/>
        <w:ind w:firstLine="432"/>
        <w:jc w:val="right"/>
        <w:rPr>
          <w:rFonts w:cs="Arial"/>
          <w:i/>
          <w:szCs w:val="22"/>
          <w:lang w:val="hr-HR"/>
        </w:rPr>
      </w:pPr>
      <w:r w:rsidRPr="00B830BB">
        <w:rPr>
          <w:rFonts w:cs="Arial"/>
          <w:i/>
          <w:szCs w:val="22"/>
          <w:lang w:val="hr-HR"/>
        </w:rPr>
        <w:t>Voltaire</w:t>
      </w:r>
    </w:p>
    <w:p w:rsidR="005A57F5" w:rsidRPr="00B830BB" w:rsidRDefault="005A57F5">
      <w:pPr>
        <w:rPr>
          <w:rFonts w:cs="Arial"/>
          <w:szCs w:val="22"/>
          <w:lang w:val="hr-HR"/>
        </w:rPr>
      </w:pPr>
    </w:p>
    <w:p w:rsidR="001E6C43" w:rsidRPr="00B830BB" w:rsidRDefault="00231830" w:rsidP="00E62F08">
      <w:pPr>
        <w:spacing w:line="360" w:lineRule="auto"/>
        <w:ind w:firstLine="432"/>
        <w:jc w:val="both"/>
        <w:rPr>
          <w:rFonts w:cs="Arial"/>
          <w:szCs w:val="22"/>
          <w:lang w:val="hr-HR"/>
        </w:rPr>
      </w:pPr>
      <w:r w:rsidRPr="00B830BB">
        <w:rPr>
          <w:rFonts w:cs="Arial"/>
          <w:szCs w:val="22"/>
          <w:lang w:val="hr-HR"/>
        </w:rPr>
        <w:t>Navedena misao</w:t>
      </w:r>
      <w:r w:rsidR="008B675A" w:rsidRPr="00B830BB">
        <w:rPr>
          <w:rFonts w:cs="Arial"/>
          <w:szCs w:val="22"/>
          <w:lang w:val="hr-HR"/>
        </w:rPr>
        <w:t xml:space="preserve"> </w:t>
      </w:r>
      <w:r w:rsidRPr="00B830BB">
        <w:rPr>
          <w:rFonts w:cs="Arial"/>
          <w:szCs w:val="22"/>
          <w:lang w:val="hr-HR"/>
        </w:rPr>
        <w:t>pripisuje</w:t>
      </w:r>
      <w:r w:rsidR="008B675A" w:rsidRPr="00B830BB">
        <w:rPr>
          <w:rFonts w:cs="Arial"/>
          <w:szCs w:val="22"/>
          <w:lang w:val="hr-HR"/>
        </w:rPr>
        <w:t xml:space="preserve"> </w:t>
      </w:r>
      <w:r w:rsidR="004165F9" w:rsidRPr="00B830BB">
        <w:rPr>
          <w:rFonts w:cs="Arial"/>
          <w:szCs w:val="22"/>
          <w:lang w:val="hr-HR"/>
        </w:rPr>
        <w:t xml:space="preserve">se </w:t>
      </w:r>
      <w:r w:rsidR="001E6C43" w:rsidRPr="00B830BB">
        <w:rPr>
          <w:rFonts w:cs="Arial"/>
          <w:szCs w:val="22"/>
          <w:lang w:val="hr-HR"/>
        </w:rPr>
        <w:t xml:space="preserve">Voltaireu, filozofu 17. stoljeća. </w:t>
      </w:r>
      <w:r w:rsidR="008C29FD" w:rsidRPr="00B830BB">
        <w:rPr>
          <w:rFonts w:cs="Arial"/>
          <w:szCs w:val="22"/>
          <w:lang w:val="hr-HR"/>
        </w:rPr>
        <w:t xml:space="preserve">Iako prvobitno plemenite konotacije, tema ovog rada problematizira njenu pravnu i moralnu vrijednost </w:t>
      </w:r>
      <w:r w:rsidR="004165F9" w:rsidRPr="00B830BB">
        <w:rPr>
          <w:rFonts w:cs="Arial"/>
          <w:szCs w:val="22"/>
          <w:lang w:val="hr-HR"/>
        </w:rPr>
        <w:t xml:space="preserve">kada </w:t>
      </w:r>
      <w:r w:rsidR="008C29FD" w:rsidRPr="00B830BB">
        <w:rPr>
          <w:rFonts w:cs="Arial"/>
          <w:szCs w:val="22"/>
          <w:lang w:val="hr-HR"/>
        </w:rPr>
        <w:t xml:space="preserve">se radi o govoru mržnje. </w:t>
      </w:r>
    </w:p>
    <w:p w:rsidR="002D04EF" w:rsidRPr="00B830BB" w:rsidRDefault="00A35986" w:rsidP="00927D6E">
      <w:pPr>
        <w:spacing w:line="360" w:lineRule="auto"/>
        <w:ind w:firstLine="431"/>
        <w:jc w:val="both"/>
        <w:rPr>
          <w:rFonts w:cs="Arial"/>
          <w:szCs w:val="22"/>
          <w:lang w:val="hr-HR"/>
        </w:rPr>
      </w:pPr>
      <w:r w:rsidRPr="00B830BB">
        <w:rPr>
          <w:rFonts w:cs="Arial"/>
          <w:szCs w:val="22"/>
          <w:lang w:val="hr-HR"/>
        </w:rPr>
        <w:t xml:space="preserve">Premda govor mržnje nije novina današnjeg doba i tehnološkog razvoja, zadnjih godina pridaje mu se sve veća pozornost. </w:t>
      </w:r>
      <w:r w:rsidR="00927D6E">
        <w:rPr>
          <w:rFonts w:cs="Arial"/>
          <w:szCs w:val="22"/>
          <w:lang w:val="hr-HR"/>
        </w:rPr>
        <w:t>P</w:t>
      </w:r>
      <w:r w:rsidRPr="00B830BB">
        <w:rPr>
          <w:rFonts w:cs="Arial"/>
          <w:szCs w:val="22"/>
          <w:lang w:val="hr-HR"/>
        </w:rPr>
        <w:t>odrobnijim proučavanjem i razvijanjem ljudskih prava, svijest o njemu raste te sve više jačaju tendencije njegovog suzbijanja. Pojačana pažnja i diskusije karakteris</w:t>
      </w:r>
      <w:r w:rsidR="00791D4D">
        <w:rPr>
          <w:rFonts w:cs="Arial"/>
          <w:szCs w:val="22"/>
          <w:lang w:val="hr-HR"/>
        </w:rPr>
        <w:t>t</w:t>
      </w:r>
      <w:r w:rsidRPr="00B830BB">
        <w:rPr>
          <w:rFonts w:cs="Arial"/>
          <w:szCs w:val="22"/>
          <w:lang w:val="hr-HR"/>
        </w:rPr>
        <w:t>ike su i interneta - najutjecajnijeg medija suvremenog doba, čiju nedovoljno razvijenu regulaciju možemo pripisati upravo njegovom naglom i recentnom razvoju.</w:t>
      </w:r>
      <w:r w:rsidR="00F516F4" w:rsidRPr="00B830BB">
        <w:rPr>
          <w:rFonts w:cs="Arial"/>
          <w:szCs w:val="22"/>
          <w:lang w:val="hr-HR"/>
        </w:rPr>
        <w:t xml:space="preserve"> Ovaj rad objedinjuje oba </w:t>
      </w:r>
      <w:r w:rsidR="00301153" w:rsidRPr="00B830BB">
        <w:rPr>
          <w:rFonts w:cs="Arial"/>
          <w:szCs w:val="22"/>
          <w:lang w:val="hr-HR"/>
        </w:rPr>
        <w:t xml:space="preserve">spomenuta </w:t>
      </w:r>
      <w:r w:rsidR="00F516F4" w:rsidRPr="00B830BB">
        <w:rPr>
          <w:rFonts w:cs="Arial"/>
          <w:szCs w:val="22"/>
          <w:lang w:val="hr-HR"/>
        </w:rPr>
        <w:t xml:space="preserve">fenomena te pokušava dati odgovore na nekoliko, prema našem mišljenju, bitnih i </w:t>
      </w:r>
      <w:r w:rsidR="00301153" w:rsidRPr="00B830BB">
        <w:rPr>
          <w:rFonts w:cs="Arial"/>
          <w:szCs w:val="22"/>
          <w:lang w:val="hr-HR"/>
        </w:rPr>
        <w:t xml:space="preserve">gorućih </w:t>
      </w:r>
      <w:r w:rsidR="00F516F4" w:rsidRPr="00B830BB">
        <w:rPr>
          <w:rFonts w:cs="Arial"/>
          <w:szCs w:val="22"/>
          <w:lang w:val="hr-HR"/>
        </w:rPr>
        <w:t xml:space="preserve">pitanja. </w:t>
      </w:r>
    </w:p>
    <w:p w:rsidR="00766DE7" w:rsidRPr="00B830BB" w:rsidRDefault="002D04EF" w:rsidP="00F26C52">
      <w:pPr>
        <w:spacing w:line="360" w:lineRule="auto"/>
        <w:ind w:firstLine="432"/>
        <w:jc w:val="both"/>
        <w:rPr>
          <w:rFonts w:cs="Arial"/>
          <w:szCs w:val="22"/>
          <w:lang w:val="hr-HR"/>
        </w:rPr>
      </w:pPr>
      <w:r w:rsidRPr="00B830BB">
        <w:rPr>
          <w:rFonts w:cs="Arial"/>
          <w:szCs w:val="22"/>
          <w:lang w:val="hr-HR"/>
        </w:rPr>
        <w:t>Za govor mržnj</w:t>
      </w:r>
      <w:r w:rsidR="00927D6E">
        <w:rPr>
          <w:rFonts w:cs="Arial"/>
          <w:szCs w:val="22"/>
          <w:lang w:val="hr-HR"/>
        </w:rPr>
        <w:t>e ne postoji jedinstvena i opće</w:t>
      </w:r>
      <w:r w:rsidRPr="00B830BB">
        <w:rPr>
          <w:rFonts w:cs="Arial"/>
          <w:szCs w:val="22"/>
          <w:lang w:val="hr-HR"/>
        </w:rPr>
        <w:t>prihvaćena definicija. Međutim, većina ga zna prepoznati. Internet nam nudi slobodu, anonimnost, dostupnost bez prepreka u vidu granica.</w:t>
      </w:r>
      <w:r w:rsidR="008C6AC5" w:rsidRPr="00B830BB">
        <w:rPr>
          <w:rFonts w:cs="Arial"/>
          <w:szCs w:val="22"/>
          <w:lang w:val="hr-HR"/>
        </w:rPr>
        <w:t xml:space="preserve"> Dati</w:t>
      </w:r>
      <w:r w:rsidRPr="00B830BB">
        <w:rPr>
          <w:rFonts w:cs="Arial"/>
          <w:szCs w:val="22"/>
          <w:lang w:val="hr-HR"/>
        </w:rPr>
        <w:t xml:space="preserve"> definiciju koja će obuhvatiti sve moguće oblike, prema mnogim mišljenjima nemogući </w:t>
      </w:r>
      <w:r w:rsidR="008C6AC5" w:rsidRPr="00B830BB">
        <w:rPr>
          <w:rFonts w:cs="Arial"/>
          <w:szCs w:val="22"/>
          <w:lang w:val="hr-HR"/>
        </w:rPr>
        <w:t xml:space="preserve">je </w:t>
      </w:r>
      <w:r w:rsidRPr="00B830BB">
        <w:rPr>
          <w:rFonts w:cs="Arial"/>
          <w:szCs w:val="22"/>
          <w:lang w:val="hr-HR"/>
        </w:rPr>
        <w:t xml:space="preserve">zadatak. </w:t>
      </w:r>
      <w:r w:rsidR="00BD11D6" w:rsidRPr="00B830BB">
        <w:rPr>
          <w:rFonts w:cs="Arial"/>
          <w:szCs w:val="22"/>
          <w:lang w:val="hr-HR"/>
        </w:rPr>
        <w:t>Stoga, mogli bismo reći kako su d</w:t>
      </w:r>
      <w:r w:rsidRPr="00B830BB">
        <w:rPr>
          <w:rFonts w:cs="Arial"/>
          <w:szCs w:val="22"/>
          <w:lang w:val="hr-HR"/>
        </w:rPr>
        <w:t>osadašnj</w:t>
      </w:r>
      <w:r w:rsidR="00BD11D6" w:rsidRPr="00B830BB">
        <w:rPr>
          <w:rFonts w:cs="Arial"/>
          <w:szCs w:val="22"/>
          <w:lang w:val="hr-HR"/>
        </w:rPr>
        <w:t>a</w:t>
      </w:r>
      <w:r w:rsidRPr="00B830BB">
        <w:rPr>
          <w:rFonts w:cs="Arial"/>
          <w:szCs w:val="22"/>
          <w:lang w:val="hr-HR"/>
        </w:rPr>
        <w:t xml:space="preserve"> ljudsk</w:t>
      </w:r>
      <w:r w:rsidR="0009156B" w:rsidRPr="00B830BB">
        <w:rPr>
          <w:rFonts w:cs="Arial"/>
          <w:szCs w:val="22"/>
          <w:lang w:val="hr-HR"/>
        </w:rPr>
        <w:t>a</w:t>
      </w:r>
      <w:r w:rsidRPr="00B830BB">
        <w:rPr>
          <w:rFonts w:cs="Arial"/>
          <w:szCs w:val="22"/>
          <w:lang w:val="hr-HR"/>
        </w:rPr>
        <w:t xml:space="preserve"> i tehnološk</w:t>
      </w:r>
      <w:r w:rsidR="0009156B" w:rsidRPr="00B830BB">
        <w:rPr>
          <w:rFonts w:cs="Arial"/>
          <w:szCs w:val="22"/>
          <w:lang w:val="hr-HR"/>
        </w:rPr>
        <w:t>a</w:t>
      </w:r>
      <w:r w:rsidRPr="00B830BB">
        <w:rPr>
          <w:rFonts w:cs="Arial"/>
          <w:szCs w:val="22"/>
          <w:lang w:val="hr-HR"/>
        </w:rPr>
        <w:t xml:space="preserve"> </w:t>
      </w:r>
      <w:r w:rsidR="00590554" w:rsidRPr="00B830BB">
        <w:rPr>
          <w:rFonts w:cs="Arial"/>
          <w:szCs w:val="22"/>
          <w:lang w:val="hr-HR"/>
        </w:rPr>
        <w:t xml:space="preserve">nastojanja </w:t>
      </w:r>
      <w:r w:rsidR="0009156B" w:rsidRPr="00B830BB">
        <w:rPr>
          <w:rFonts w:cs="Arial"/>
          <w:szCs w:val="22"/>
          <w:lang w:val="hr-HR"/>
        </w:rPr>
        <w:t xml:space="preserve">urodila tek </w:t>
      </w:r>
      <w:r w:rsidRPr="00B830BB">
        <w:rPr>
          <w:rFonts w:cs="Arial"/>
          <w:szCs w:val="22"/>
          <w:lang w:val="hr-HR"/>
        </w:rPr>
        <w:t xml:space="preserve">određenim povojima regulacije takvog govora na internetu. </w:t>
      </w:r>
      <w:r w:rsidR="00CA7E2F" w:rsidRPr="00B830BB">
        <w:rPr>
          <w:rFonts w:cs="Arial"/>
          <w:szCs w:val="22"/>
          <w:lang w:val="hr-HR"/>
        </w:rPr>
        <w:t xml:space="preserve">Kampanja Vijeća Europe „Ne mržnji“ koja se trenutno provodi u gotovo svim državama članicama Vijeća Europe, a odnedavno i u Republici Hrvatskog pod nazivom „Dislajkam mržnju“, najnoviji je primjer. </w:t>
      </w:r>
    </w:p>
    <w:p w:rsidR="00741C57" w:rsidRPr="00741C57" w:rsidRDefault="00766DE7" w:rsidP="00741C57">
      <w:pPr>
        <w:spacing w:line="360" w:lineRule="auto"/>
        <w:ind w:firstLine="432"/>
        <w:jc w:val="both"/>
        <w:rPr>
          <w:rFonts w:cs="Arial"/>
          <w:szCs w:val="22"/>
          <w:lang w:val="hr-HR"/>
        </w:rPr>
      </w:pPr>
      <w:r w:rsidRPr="00B830BB">
        <w:rPr>
          <w:rFonts w:cs="Arial"/>
          <w:szCs w:val="22"/>
          <w:lang w:val="hr-HR"/>
        </w:rPr>
        <w:t xml:space="preserve">Rad započinjemo </w:t>
      </w:r>
      <w:r w:rsidR="00EB5E87">
        <w:rPr>
          <w:rFonts w:cs="Arial"/>
          <w:szCs w:val="22"/>
          <w:lang w:val="hr-HR"/>
        </w:rPr>
        <w:t>pitanjem balansiranja između prava na slobodu izražavanja i prava ne biti diskriminiran, predstavljajući time srž polemika o govoru mržnje. Nastavljamo</w:t>
      </w:r>
      <w:r w:rsidRPr="00B830BB">
        <w:rPr>
          <w:rFonts w:cs="Arial"/>
          <w:szCs w:val="22"/>
          <w:lang w:val="hr-HR"/>
        </w:rPr>
        <w:t xml:space="preserve"> pregledom poteškoća u </w:t>
      </w:r>
      <w:r w:rsidR="00F65DEE" w:rsidRPr="00B830BB">
        <w:rPr>
          <w:rFonts w:cs="Arial"/>
          <w:szCs w:val="22"/>
          <w:lang w:val="hr-HR"/>
        </w:rPr>
        <w:t xml:space="preserve">vezanih uz </w:t>
      </w:r>
      <w:r w:rsidRPr="00B830BB">
        <w:rPr>
          <w:rFonts w:cs="Arial"/>
          <w:szCs w:val="22"/>
          <w:lang w:val="hr-HR"/>
        </w:rPr>
        <w:t>definiranj</w:t>
      </w:r>
      <w:r w:rsidR="00F65DEE" w:rsidRPr="00B830BB">
        <w:rPr>
          <w:rFonts w:cs="Arial"/>
          <w:szCs w:val="22"/>
          <w:lang w:val="hr-HR"/>
        </w:rPr>
        <w:t>e</w:t>
      </w:r>
      <w:r w:rsidRPr="00B830BB">
        <w:rPr>
          <w:rFonts w:cs="Arial"/>
          <w:szCs w:val="22"/>
          <w:lang w:val="hr-HR"/>
        </w:rPr>
        <w:t xml:space="preserve"> te prikazom trenutnih, pomoćnih rješenja. Pojavnost govora mržnje na internetu </w:t>
      </w:r>
      <w:r w:rsidR="00F649E4" w:rsidRPr="00B830BB">
        <w:rPr>
          <w:rFonts w:cs="Arial"/>
          <w:szCs w:val="22"/>
          <w:lang w:val="hr-HR"/>
        </w:rPr>
        <w:t xml:space="preserve">otvorila </w:t>
      </w:r>
      <w:r w:rsidR="00F65DEE" w:rsidRPr="00B830BB">
        <w:rPr>
          <w:rFonts w:cs="Arial"/>
          <w:szCs w:val="22"/>
          <w:lang w:val="hr-HR"/>
        </w:rPr>
        <w:t xml:space="preserve">je </w:t>
      </w:r>
      <w:r w:rsidR="00F649E4" w:rsidRPr="00B830BB">
        <w:rPr>
          <w:rFonts w:cs="Arial"/>
          <w:szCs w:val="22"/>
          <w:lang w:val="hr-HR"/>
        </w:rPr>
        <w:t xml:space="preserve">mnoga pitanja u </w:t>
      </w:r>
      <w:r w:rsidR="00F65DEE" w:rsidRPr="00B830BB">
        <w:rPr>
          <w:rFonts w:cs="Arial"/>
          <w:szCs w:val="22"/>
          <w:lang w:val="hr-HR"/>
        </w:rPr>
        <w:t xml:space="preserve">pogledu </w:t>
      </w:r>
      <w:r w:rsidR="00F649E4" w:rsidRPr="00B830BB">
        <w:rPr>
          <w:rFonts w:cs="Arial"/>
          <w:szCs w:val="22"/>
          <w:lang w:val="hr-HR"/>
        </w:rPr>
        <w:t xml:space="preserve">identifikacije i odgovornosti različitih aktera. </w:t>
      </w:r>
      <w:r w:rsidR="00EB5E87">
        <w:rPr>
          <w:rFonts w:cs="Arial"/>
          <w:szCs w:val="22"/>
          <w:lang w:val="hr-HR"/>
        </w:rPr>
        <w:t>U tom smislu</w:t>
      </w:r>
      <w:r w:rsidR="005B5173">
        <w:rPr>
          <w:rFonts w:cs="Arial"/>
          <w:szCs w:val="22"/>
          <w:lang w:val="hr-HR"/>
        </w:rPr>
        <w:t>, analizirat</w:t>
      </w:r>
      <w:r w:rsidR="00F649E4" w:rsidRPr="00B830BB">
        <w:rPr>
          <w:rFonts w:cs="Arial"/>
          <w:szCs w:val="22"/>
          <w:lang w:val="hr-HR"/>
        </w:rPr>
        <w:t xml:space="preserve"> ćemo kako </w:t>
      </w:r>
      <w:r w:rsidR="003206C6" w:rsidRPr="00B830BB">
        <w:rPr>
          <w:rFonts w:cs="Arial"/>
          <w:szCs w:val="22"/>
          <w:lang w:val="hr-HR"/>
        </w:rPr>
        <w:t>postojeći</w:t>
      </w:r>
      <w:r w:rsidR="00F649E4" w:rsidRPr="00B830BB">
        <w:rPr>
          <w:rFonts w:cs="Arial"/>
          <w:szCs w:val="22"/>
          <w:lang w:val="hr-HR"/>
        </w:rPr>
        <w:t xml:space="preserve"> međunarodn</w:t>
      </w:r>
      <w:r w:rsidR="00F26C52" w:rsidRPr="00B830BB">
        <w:rPr>
          <w:rFonts w:cs="Arial"/>
          <w:szCs w:val="22"/>
          <w:lang w:val="hr-HR"/>
        </w:rPr>
        <w:t>i</w:t>
      </w:r>
      <w:r w:rsidR="00F649E4" w:rsidRPr="00B830BB">
        <w:rPr>
          <w:rFonts w:cs="Arial"/>
          <w:szCs w:val="22"/>
          <w:lang w:val="hr-HR"/>
        </w:rPr>
        <w:t xml:space="preserve">, odnosno nacionalni sustavi </w:t>
      </w:r>
      <w:r w:rsidR="005B5173">
        <w:rPr>
          <w:rFonts w:cs="Arial"/>
          <w:szCs w:val="22"/>
          <w:lang w:val="hr-HR"/>
        </w:rPr>
        <w:t xml:space="preserve">trenutno </w:t>
      </w:r>
      <w:r w:rsidR="00F649E4" w:rsidRPr="00B830BB">
        <w:rPr>
          <w:rFonts w:cs="Arial"/>
          <w:szCs w:val="22"/>
          <w:lang w:val="hr-HR"/>
        </w:rPr>
        <w:t>(ne)funkcioniraju.</w:t>
      </w:r>
      <w:r w:rsidR="00FC28E3">
        <w:rPr>
          <w:rFonts w:cs="Arial"/>
          <w:szCs w:val="22"/>
          <w:lang w:val="hr-HR"/>
        </w:rPr>
        <w:t xml:space="preserve"> </w:t>
      </w:r>
      <w:r w:rsidR="00EB5E87">
        <w:rPr>
          <w:rFonts w:cs="Arial"/>
          <w:szCs w:val="22"/>
          <w:lang w:val="hr-HR"/>
        </w:rPr>
        <w:t>Osim toga, dat ćemo i pregled nekoliko relevantnih presuda poredbenih i n</w:t>
      </w:r>
      <w:r w:rsidR="005B5173">
        <w:rPr>
          <w:rFonts w:cs="Arial"/>
          <w:szCs w:val="22"/>
          <w:lang w:val="hr-HR"/>
        </w:rPr>
        <w:t xml:space="preserve">acionalnih sudova te prikazati </w:t>
      </w:r>
      <w:r w:rsidR="002E2218">
        <w:rPr>
          <w:rFonts w:cs="Arial"/>
          <w:szCs w:val="22"/>
          <w:lang w:val="hr-HR"/>
        </w:rPr>
        <w:t>problematik</w:t>
      </w:r>
      <w:r w:rsidR="005B5173">
        <w:rPr>
          <w:rFonts w:cs="Arial"/>
          <w:szCs w:val="22"/>
          <w:lang w:val="hr-HR"/>
        </w:rPr>
        <w:t>u određenja</w:t>
      </w:r>
      <w:r w:rsidR="002E2218">
        <w:rPr>
          <w:rFonts w:cs="Arial"/>
          <w:szCs w:val="22"/>
          <w:lang w:val="hr-HR"/>
        </w:rPr>
        <w:t xml:space="preserve"> jurisdikcije s obzirom na specifičnost interneta.</w:t>
      </w:r>
      <w:r w:rsidR="00F649E4" w:rsidRPr="00B830BB">
        <w:rPr>
          <w:rFonts w:cs="Arial"/>
          <w:szCs w:val="22"/>
          <w:lang w:val="hr-HR"/>
        </w:rPr>
        <w:t xml:space="preserve"> </w:t>
      </w:r>
      <w:r w:rsidR="004D46B3" w:rsidRPr="00B830BB">
        <w:rPr>
          <w:rFonts w:cs="Arial"/>
          <w:szCs w:val="22"/>
          <w:lang w:val="hr-HR"/>
        </w:rPr>
        <w:t>Vjerujemo kako je od posebne važnosti posvetiti ovaj rad</w:t>
      </w:r>
      <w:r w:rsidR="001037DC" w:rsidRPr="00B830BB">
        <w:rPr>
          <w:rFonts w:cs="Arial"/>
          <w:szCs w:val="22"/>
          <w:lang w:val="hr-HR"/>
        </w:rPr>
        <w:t xml:space="preserve"> važećim </w:t>
      </w:r>
      <w:r w:rsidR="004D46B3" w:rsidRPr="00B830BB">
        <w:rPr>
          <w:rFonts w:cs="Arial"/>
          <w:szCs w:val="22"/>
          <w:lang w:val="hr-HR"/>
        </w:rPr>
        <w:t>nacionalnim rješenjima, ukazati na nedostatke te izložiti prijedloge osmišljene temeljem sveobuhvatne dubinske analize</w:t>
      </w:r>
      <w:r w:rsidR="00C74D2F">
        <w:rPr>
          <w:rFonts w:cs="Arial"/>
          <w:szCs w:val="22"/>
          <w:lang w:val="hr-HR"/>
        </w:rPr>
        <w:t xml:space="preserve">, što ćemo pokušati </w:t>
      </w:r>
      <w:r w:rsidR="00C75099">
        <w:rPr>
          <w:rFonts w:cs="Arial"/>
          <w:szCs w:val="22"/>
          <w:lang w:val="hr-HR"/>
        </w:rPr>
        <w:t xml:space="preserve">i </w:t>
      </w:r>
      <w:r w:rsidR="00C74D2F">
        <w:rPr>
          <w:rFonts w:cs="Arial"/>
          <w:szCs w:val="22"/>
          <w:lang w:val="hr-HR"/>
        </w:rPr>
        <w:t>učiniti</w:t>
      </w:r>
      <w:r w:rsidR="00EB5E87" w:rsidRPr="00B830BB">
        <w:rPr>
          <w:rFonts w:cs="Arial"/>
          <w:szCs w:val="22"/>
          <w:lang w:val="hr-HR"/>
        </w:rPr>
        <w:t>.</w:t>
      </w:r>
      <w:r w:rsidR="00C74D2F">
        <w:rPr>
          <w:rFonts w:cs="Arial"/>
          <w:szCs w:val="22"/>
          <w:lang w:val="hr-HR"/>
        </w:rPr>
        <w:t xml:space="preserve"> </w:t>
      </w:r>
      <w:r w:rsidR="00483754">
        <w:rPr>
          <w:rFonts w:cs="Arial"/>
          <w:szCs w:val="22"/>
          <w:lang w:val="hr-HR"/>
        </w:rPr>
        <w:t>Stoga,</w:t>
      </w:r>
      <w:r w:rsidR="00C74D2F">
        <w:rPr>
          <w:rFonts w:cs="Arial"/>
          <w:szCs w:val="22"/>
          <w:lang w:val="hr-HR"/>
        </w:rPr>
        <w:t xml:space="preserve"> poseban </w:t>
      </w:r>
      <w:r w:rsidR="00483754">
        <w:rPr>
          <w:rFonts w:cs="Arial"/>
          <w:szCs w:val="22"/>
          <w:lang w:val="hr-HR"/>
        </w:rPr>
        <w:t xml:space="preserve">ćemo </w:t>
      </w:r>
      <w:r w:rsidR="00C74D2F">
        <w:rPr>
          <w:rFonts w:cs="Arial"/>
          <w:szCs w:val="22"/>
          <w:lang w:val="hr-HR"/>
        </w:rPr>
        <w:t xml:space="preserve">naglasak </w:t>
      </w:r>
      <w:r w:rsidR="00AD0793">
        <w:rPr>
          <w:rFonts w:cs="Arial"/>
          <w:szCs w:val="22"/>
          <w:lang w:val="hr-HR"/>
        </w:rPr>
        <w:t xml:space="preserve">stavit mehanizme </w:t>
      </w:r>
      <w:r w:rsidR="00C74D2F">
        <w:rPr>
          <w:rFonts w:cs="Arial"/>
          <w:szCs w:val="22"/>
          <w:lang w:val="hr-HR"/>
        </w:rPr>
        <w:t>zaštit</w:t>
      </w:r>
      <w:r w:rsidR="00AD0793">
        <w:rPr>
          <w:rFonts w:cs="Arial"/>
          <w:szCs w:val="22"/>
          <w:lang w:val="hr-HR"/>
        </w:rPr>
        <w:t>e</w:t>
      </w:r>
      <w:r w:rsidR="00C74D2F">
        <w:rPr>
          <w:rFonts w:cs="Arial"/>
          <w:szCs w:val="22"/>
          <w:lang w:val="hr-HR"/>
        </w:rPr>
        <w:t xml:space="preserve"> ljudskih prava</w:t>
      </w:r>
      <w:r w:rsidR="00C75099">
        <w:rPr>
          <w:rFonts w:cs="Arial"/>
          <w:szCs w:val="22"/>
          <w:lang w:val="hr-HR"/>
        </w:rPr>
        <w:t>, a u tom smislu</w:t>
      </w:r>
      <w:r w:rsidR="00483754">
        <w:rPr>
          <w:rFonts w:cs="Arial"/>
          <w:szCs w:val="22"/>
          <w:lang w:val="hr-HR"/>
        </w:rPr>
        <w:t xml:space="preserve"> b</w:t>
      </w:r>
      <w:r w:rsidR="00F26C52" w:rsidRPr="00741C57">
        <w:rPr>
          <w:rFonts w:cs="Arial"/>
          <w:szCs w:val="22"/>
          <w:lang w:val="hr-HR"/>
        </w:rPr>
        <w:t>it će dan i prikaz</w:t>
      </w:r>
      <w:r w:rsidR="00E62F08" w:rsidRPr="00741C57">
        <w:rPr>
          <w:rFonts w:cs="Arial"/>
          <w:szCs w:val="22"/>
          <w:lang w:val="hr-HR"/>
        </w:rPr>
        <w:t xml:space="preserve"> sudske prakse Europskog suda za ljudska prava čija najrecentnija praksa već sad uzrokuje velike polemike. </w:t>
      </w:r>
      <w:bookmarkStart w:id="5" w:name="_Toc386567286"/>
      <w:bookmarkStart w:id="6" w:name="_Toc386567287"/>
      <w:bookmarkStart w:id="7" w:name="_Toc386285768"/>
      <w:bookmarkStart w:id="8" w:name="_Toc386498299"/>
      <w:bookmarkStart w:id="9" w:name="_Toc386563044"/>
      <w:bookmarkStart w:id="10" w:name="_Toc386567206"/>
      <w:bookmarkEnd w:id="5"/>
      <w:bookmarkEnd w:id="6"/>
    </w:p>
    <w:p w:rsidR="002F0385" w:rsidRPr="00B830BB" w:rsidRDefault="00823362" w:rsidP="005B4E9F">
      <w:pPr>
        <w:pStyle w:val="Heading1"/>
        <w:rPr>
          <w:rFonts w:cs="Arial"/>
          <w:lang w:val="hr-HR"/>
        </w:rPr>
      </w:pPr>
      <w:bookmarkStart w:id="11" w:name="_Toc386619598"/>
      <w:r w:rsidRPr="00B830BB">
        <w:rPr>
          <w:rFonts w:cs="Arial"/>
          <w:lang w:val="hr-HR"/>
        </w:rPr>
        <w:lastRenderedPageBreak/>
        <w:t>Pojam govora mržnje na internetu</w:t>
      </w:r>
      <w:bookmarkEnd w:id="7"/>
      <w:bookmarkEnd w:id="8"/>
      <w:bookmarkEnd w:id="9"/>
      <w:bookmarkEnd w:id="10"/>
      <w:bookmarkEnd w:id="11"/>
    </w:p>
    <w:p w:rsidR="00823362" w:rsidRDefault="00823362" w:rsidP="00823362">
      <w:pPr>
        <w:rPr>
          <w:rFonts w:cs="Arial"/>
          <w:lang w:val="hr-HR"/>
        </w:rPr>
      </w:pPr>
    </w:p>
    <w:p w:rsidR="0044317F" w:rsidRPr="00B830BB" w:rsidRDefault="0044317F" w:rsidP="00823362">
      <w:pPr>
        <w:rPr>
          <w:rFonts w:cs="Arial"/>
          <w:lang w:val="hr-HR"/>
        </w:rPr>
      </w:pPr>
    </w:p>
    <w:p w:rsidR="00A73EE0" w:rsidRPr="00B830BB" w:rsidRDefault="00B97472" w:rsidP="002064C2">
      <w:pPr>
        <w:spacing w:line="360" w:lineRule="auto"/>
        <w:ind w:firstLine="432"/>
        <w:jc w:val="both"/>
        <w:rPr>
          <w:rFonts w:cs="Arial"/>
          <w:szCs w:val="22"/>
          <w:lang w:val="hr-HR"/>
        </w:rPr>
      </w:pPr>
      <w:r>
        <w:rPr>
          <w:rFonts w:cs="Arial"/>
          <w:szCs w:val="22"/>
          <w:lang w:val="hr-HR"/>
        </w:rPr>
        <w:t>Prema našem mišljenju</w:t>
      </w:r>
      <w:r w:rsidR="009D2270">
        <w:rPr>
          <w:rFonts w:cs="Arial"/>
          <w:szCs w:val="22"/>
          <w:lang w:val="hr-HR"/>
        </w:rPr>
        <w:t>,</w:t>
      </w:r>
      <w:r>
        <w:rPr>
          <w:rFonts w:cs="Arial"/>
          <w:szCs w:val="22"/>
          <w:lang w:val="hr-HR"/>
        </w:rPr>
        <w:t xml:space="preserve"> g</w:t>
      </w:r>
      <w:r w:rsidR="00EA7775" w:rsidRPr="00B830BB">
        <w:rPr>
          <w:rFonts w:cs="Arial"/>
          <w:szCs w:val="22"/>
          <w:lang w:val="hr-HR"/>
        </w:rPr>
        <w:t>ovor</w:t>
      </w:r>
      <w:r w:rsidR="00310265" w:rsidRPr="00B830BB">
        <w:rPr>
          <w:rFonts w:cs="Arial"/>
          <w:szCs w:val="22"/>
          <w:lang w:val="hr-HR"/>
        </w:rPr>
        <w:t xml:space="preserve"> mržnje podvrsta </w:t>
      </w:r>
      <w:r w:rsidR="00656132" w:rsidRPr="00B830BB">
        <w:rPr>
          <w:rFonts w:cs="Arial"/>
          <w:szCs w:val="22"/>
          <w:lang w:val="hr-HR"/>
        </w:rPr>
        <w:t xml:space="preserve">je </w:t>
      </w:r>
      <w:r w:rsidR="00310265" w:rsidRPr="00B830BB">
        <w:rPr>
          <w:rFonts w:cs="Arial"/>
          <w:szCs w:val="22"/>
          <w:lang w:val="hr-HR"/>
        </w:rPr>
        <w:t>govora odnosno izražavanja</w:t>
      </w:r>
      <w:r w:rsidR="00A73EE0" w:rsidRPr="00B830BB">
        <w:rPr>
          <w:rFonts w:cs="Arial"/>
          <w:szCs w:val="22"/>
          <w:lang w:val="hr-HR"/>
        </w:rPr>
        <w:t xml:space="preserve"> temeljena na iznošenju diskriminatornih stavova prema određenim društvenim skupinama</w:t>
      </w:r>
      <w:r w:rsidR="00310265" w:rsidRPr="00B830BB">
        <w:rPr>
          <w:rFonts w:cs="Arial"/>
          <w:szCs w:val="22"/>
          <w:lang w:val="hr-HR"/>
        </w:rPr>
        <w:t>. Kako bism</w:t>
      </w:r>
      <w:r w:rsidR="002064C2" w:rsidRPr="00B830BB">
        <w:rPr>
          <w:rFonts w:cs="Arial"/>
          <w:szCs w:val="22"/>
          <w:lang w:val="hr-HR"/>
        </w:rPr>
        <w:t>o valjano objasnili implikacije</w:t>
      </w:r>
      <w:r w:rsidR="00310265" w:rsidRPr="00B830BB">
        <w:rPr>
          <w:rFonts w:cs="Arial"/>
          <w:szCs w:val="22"/>
          <w:lang w:val="hr-HR"/>
        </w:rPr>
        <w:t xml:space="preserve"> govora mržnje na </w:t>
      </w:r>
      <w:r w:rsidR="00B504CE">
        <w:rPr>
          <w:rFonts w:cs="Arial"/>
          <w:szCs w:val="22"/>
          <w:lang w:val="hr-HR"/>
        </w:rPr>
        <w:t>i</w:t>
      </w:r>
      <w:r w:rsidR="00310265" w:rsidRPr="00B830BB">
        <w:rPr>
          <w:rFonts w:cs="Arial"/>
          <w:szCs w:val="22"/>
          <w:lang w:val="hr-HR"/>
        </w:rPr>
        <w:t xml:space="preserve">nternetu, potrebno je </w:t>
      </w:r>
      <w:r w:rsidR="008A6A58">
        <w:rPr>
          <w:rFonts w:cs="Arial"/>
          <w:szCs w:val="22"/>
          <w:lang w:val="hr-HR"/>
        </w:rPr>
        <w:t>ponajprije razum</w:t>
      </w:r>
      <w:r w:rsidR="00A73EE0" w:rsidRPr="00B830BB">
        <w:rPr>
          <w:rFonts w:cs="Arial"/>
          <w:szCs w:val="22"/>
          <w:lang w:val="hr-HR"/>
        </w:rPr>
        <w:t xml:space="preserve">jeti kako suština </w:t>
      </w:r>
      <w:r w:rsidR="00025D60" w:rsidRPr="00B830BB">
        <w:rPr>
          <w:rFonts w:cs="Arial"/>
          <w:szCs w:val="22"/>
          <w:lang w:val="hr-HR"/>
        </w:rPr>
        <w:t>problema leži u suprotstavljenosti dvaju temeljnih ljudskih prava – naime, prava ne biti diskriminiran, s jedne strane</w:t>
      </w:r>
      <w:r w:rsidR="00CF0A1D">
        <w:rPr>
          <w:rFonts w:cs="Arial"/>
          <w:szCs w:val="22"/>
          <w:lang w:val="hr-HR"/>
        </w:rPr>
        <w:t>,</w:t>
      </w:r>
      <w:r w:rsidR="00025D60" w:rsidRPr="00B830BB">
        <w:rPr>
          <w:rFonts w:cs="Arial"/>
          <w:szCs w:val="22"/>
          <w:lang w:val="hr-HR"/>
        </w:rPr>
        <w:t xml:space="preserve"> te prava na slobodu izražavanja, s druge strane.</w:t>
      </w:r>
      <w:r w:rsidR="002064C2" w:rsidRPr="00B830BB">
        <w:rPr>
          <w:rFonts w:cs="Arial"/>
          <w:szCs w:val="22"/>
          <w:lang w:val="hr-HR"/>
        </w:rPr>
        <w:t xml:space="preserve"> U svrhu očuvanja jednakosti i dostojanstva svakog čovjeka, što je interes skriven iza prava ne biti diskriminiran, u određenim situacijama ograničava se pravo na slobodu izražavanja.</w:t>
      </w:r>
    </w:p>
    <w:p w:rsidR="00310265" w:rsidRPr="00B830BB" w:rsidRDefault="00241A36" w:rsidP="00F84EB8">
      <w:pPr>
        <w:spacing w:after="240" w:line="360" w:lineRule="auto"/>
        <w:ind w:firstLine="432"/>
        <w:jc w:val="both"/>
        <w:rPr>
          <w:rFonts w:cs="Arial"/>
          <w:szCs w:val="22"/>
          <w:lang w:val="hr-HR"/>
        </w:rPr>
      </w:pPr>
      <w:r w:rsidRPr="00B830BB">
        <w:rPr>
          <w:rFonts w:cs="Arial"/>
          <w:szCs w:val="22"/>
          <w:lang w:val="hr-HR"/>
        </w:rPr>
        <w:t xml:space="preserve">Iz tog razloga izložit ćemo, prije svega, osnovne </w:t>
      </w:r>
      <w:r w:rsidR="00342357" w:rsidRPr="00B830BB">
        <w:rPr>
          <w:rFonts w:cs="Arial"/>
          <w:szCs w:val="22"/>
          <w:lang w:val="hr-HR"/>
        </w:rPr>
        <w:t>odrednice</w:t>
      </w:r>
      <w:r w:rsidRPr="00B830BB">
        <w:rPr>
          <w:rFonts w:cs="Arial"/>
          <w:szCs w:val="22"/>
          <w:lang w:val="hr-HR"/>
        </w:rPr>
        <w:t xml:space="preserve"> svakog od tih dvaju sukobljenih prava te pritom pokušati </w:t>
      </w:r>
      <w:r w:rsidR="00310265" w:rsidRPr="00B830BB">
        <w:rPr>
          <w:rFonts w:cs="Arial"/>
          <w:szCs w:val="22"/>
          <w:lang w:val="hr-HR"/>
        </w:rPr>
        <w:t>razjasniti</w:t>
      </w:r>
      <w:r w:rsidRPr="00B830BB">
        <w:rPr>
          <w:rFonts w:cs="Arial"/>
          <w:szCs w:val="22"/>
          <w:lang w:val="hr-HR"/>
        </w:rPr>
        <w:t xml:space="preserve"> značenje</w:t>
      </w:r>
      <w:r w:rsidR="00310265" w:rsidRPr="00B830BB">
        <w:rPr>
          <w:rFonts w:cs="Arial"/>
          <w:szCs w:val="22"/>
          <w:lang w:val="hr-HR"/>
        </w:rPr>
        <w:t xml:space="preserve"> tri ključna </w:t>
      </w:r>
      <w:r w:rsidR="00342357" w:rsidRPr="00B830BB">
        <w:rPr>
          <w:rFonts w:cs="Arial"/>
          <w:szCs w:val="22"/>
          <w:lang w:val="hr-HR"/>
        </w:rPr>
        <w:t xml:space="preserve">elementa </w:t>
      </w:r>
      <w:r w:rsidR="00310265" w:rsidRPr="00B830BB">
        <w:rPr>
          <w:rFonts w:cs="Arial"/>
          <w:szCs w:val="22"/>
          <w:lang w:val="hr-HR"/>
        </w:rPr>
        <w:t>pojma</w:t>
      </w:r>
      <w:r w:rsidRPr="00B830BB">
        <w:rPr>
          <w:rFonts w:cs="Arial"/>
          <w:szCs w:val="22"/>
          <w:lang w:val="hr-HR"/>
        </w:rPr>
        <w:t xml:space="preserve"> govora mržnje na internetu</w:t>
      </w:r>
      <w:r w:rsidR="00310265" w:rsidRPr="00B830BB">
        <w:rPr>
          <w:rFonts w:cs="Arial"/>
          <w:szCs w:val="22"/>
          <w:lang w:val="hr-HR"/>
        </w:rPr>
        <w:t xml:space="preserve"> – govor, </w:t>
      </w:r>
      <w:r w:rsidR="00A500E3" w:rsidRPr="00B830BB">
        <w:rPr>
          <w:rFonts w:cs="Arial"/>
          <w:szCs w:val="22"/>
          <w:lang w:val="hr-HR"/>
        </w:rPr>
        <w:t xml:space="preserve">govor </w:t>
      </w:r>
      <w:r w:rsidR="00310265" w:rsidRPr="00B830BB">
        <w:rPr>
          <w:rFonts w:cs="Arial"/>
          <w:szCs w:val="22"/>
          <w:lang w:val="hr-HR"/>
        </w:rPr>
        <w:t>mržnj</w:t>
      </w:r>
      <w:r w:rsidR="00A500E3" w:rsidRPr="00B830BB">
        <w:rPr>
          <w:rFonts w:cs="Arial"/>
          <w:szCs w:val="22"/>
          <w:lang w:val="hr-HR"/>
        </w:rPr>
        <w:t>e</w:t>
      </w:r>
      <w:r w:rsidR="00310265" w:rsidRPr="00B830BB">
        <w:rPr>
          <w:rFonts w:cs="Arial"/>
          <w:szCs w:val="22"/>
          <w:lang w:val="hr-HR"/>
        </w:rPr>
        <w:t xml:space="preserve"> te Internet. </w:t>
      </w:r>
    </w:p>
    <w:p w:rsidR="00F84EB8" w:rsidRPr="00B830BB" w:rsidRDefault="00F84EB8" w:rsidP="00F84EB8">
      <w:pPr>
        <w:pStyle w:val="Heading2"/>
        <w:spacing w:after="240"/>
        <w:rPr>
          <w:rFonts w:cs="Arial"/>
        </w:rPr>
      </w:pPr>
      <w:bookmarkStart w:id="12" w:name="_Toc386285769"/>
      <w:bookmarkStart w:id="13" w:name="_Toc386498300"/>
      <w:bookmarkStart w:id="14" w:name="_Toc386563045"/>
      <w:bookmarkStart w:id="15" w:name="_Toc386567207"/>
      <w:bookmarkStart w:id="16" w:name="_Toc386619599"/>
      <w:r w:rsidRPr="00B830BB">
        <w:rPr>
          <w:rFonts w:cs="Arial"/>
        </w:rPr>
        <w:t>Zabrana diskriminacije</w:t>
      </w:r>
      <w:bookmarkEnd w:id="12"/>
      <w:bookmarkEnd w:id="13"/>
      <w:bookmarkEnd w:id="14"/>
      <w:bookmarkEnd w:id="15"/>
      <w:bookmarkEnd w:id="16"/>
    </w:p>
    <w:p w:rsidR="00F84EB8" w:rsidRPr="00B830BB" w:rsidRDefault="00F84EB8" w:rsidP="00A12BBB">
      <w:pPr>
        <w:spacing w:line="360" w:lineRule="auto"/>
        <w:ind w:firstLine="576"/>
        <w:jc w:val="both"/>
        <w:rPr>
          <w:rFonts w:cs="Arial"/>
          <w:lang w:val="hr-HR"/>
        </w:rPr>
      </w:pPr>
      <w:r w:rsidRPr="00B830BB">
        <w:rPr>
          <w:rFonts w:cs="Arial"/>
          <w:lang w:val="hr-HR"/>
        </w:rPr>
        <w:t xml:space="preserve">Pojam jednakosti supstanca je zaštite ljudskih prava. Propust usklađivanja „jednakosti“ prava, </w:t>
      </w:r>
      <w:r w:rsidR="008F0DC9" w:rsidRPr="00B830BB">
        <w:rPr>
          <w:rFonts w:cs="Arial"/>
          <w:lang w:val="hr-HR"/>
        </w:rPr>
        <w:t xml:space="preserve">bez opravdanog </w:t>
      </w:r>
      <w:r w:rsidRPr="00B830BB">
        <w:rPr>
          <w:rFonts w:cs="Arial"/>
          <w:lang w:val="hr-HR"/>
        </w:rPr>
        <w:t xml:space="preserve">razloga, izostanak je jamčenja ljudskih prava. </w:t>
      </w:r>
      <w:r w:rsidR="008F0DC9" w:rsidRPr="00B830BB">
        <w:rPr>
          <w:rFonts w:cs="Arial"/>
          <w:lang w:val="hr-HR"/>
        </w:rPr>
        <w:t xml:space="preserve">Već u Preambuli </w:t>
      </w:r>
      <w:r w:rsidRPr="00B830BB">
        <w:rPr>
          <w:rFonts w:cs="Arial"/>
          <w:lang w:val="hr-HR"/>
        </w:rPr>
        <w:t>Opće deklara</w:t>
      </w:r>
      <w:r w:rsidR="008F0DC9" w:rsidRPr="00B830BB">
        <w:rPr>
          <w:rFonts w:cs="Arial"/>
          <w:lang w:val="hr-HR"/>
        </w:rPr>
        <w:t>cije o ljudskim pravima</w:t>
      </w:r>
      <w:r w:rsidR="008F0DC9" w:rsidRPr="00B830BB">
        <w:rPr>
          <w:rStyle w:val="FootnoteReference"/>
          <w:rFonts w:cs="Arial"/>
          <w:lang w:val="hr-HR"/>
        </w:rPr>
        <w:footnoteReference w:id="1"/>
      </w:r>
      <w:r w:rsidR="008F0DC9" w:rsidRPr="00B830BB">
        <w:rPr>
          <w:rFonts w:cs="Arial"/>
          <w:lang w:val="hr-HR"/>
        </w:rPr>
        <w:t xml:space="preserve"> najavljen</w:t>
      </w:r>
      <w:r w:rsidRPr="00B830BB">
        <w:rPr>
          <w:rFonts w:cs="Arial"/>
          <w:lang w:val="hr-HR"/>
        </w:rPr>
        <w:t xml:space="preserve"> je značaj jednakosti: „priznanje prirođenog dostojanstva i jednakih i neotuđivih prava svakog člana ljudske obitelji temelj je slobode, pravde i mira u svi</w:t>
      </w:r>
      <w:r w:rsidR="008F0DC9" w:rsidRPr="00B830BB">
        <w:rPr>
          <w:rFonts w:cs="Arial"/>
          <w:lang w:val="hr-HR"/>
        </w:rPr>
        <w:t xml:space="preserve">jetu.“ Jednakost nije tek teorijski pojam – uskraćivanje </w:t>
      </w:r>
      <w:r w:rsidRPr="00B830BB">
        <w:rPr>
          <w:rFonts w:cs="Arial"/>
          <w:lang w:val="hr-HR"/>
        </w:rPr>
        <w:t>jednakih prava ima</w:t>
      </w:r>
    </w:p>
    <w:p w:rsidR="00864D46" w:rsidRDefault="00F84EB8" w:rsidP="00F84EB8">
      <w:pPr>
        <w:spacing w:line="360" w:lineRule="auto"/>
        <w:jc w:val="both"/>
        <w:rPr>
          <w:rFonts w:cs="Arial"/>
          <w:lang w:val="hr-HR"/>
        </w:rPr>
      </w:pPr>
      <w:r w:rsidRPr="00B830BB">
        <w:rPr>
          <w:rFonts w:cs="Arial"/>
          <w:lang w:val="hr-HR"/>
        </w:rPr>
        <w:t>ozbiljne praktične učinke na dobrobit ljudi. Diskriminacija utječe na svaki vid ljudskih života</w:t>
      </w:r>
      <w:r w:rsidR="00527CDB" w:rsidRPr="00B830BB">
        <w:rPr>
          <w:rFonts w:cs="Arial"/>
          <w:lang w:val="hr-HR"/>
        </w:rPr>
        <w:t xml:space="preserve"> uzrokujući</w:t>
      </w:r>
      <w:r w:rsidRPr="00B830BB">
        <w:rPr>
          <w:rFonts w:cs="Arial"/>
          <w:lang w:val="hr-HR"/>
        </w:rPr>
        <w:t xml:space="preserve"> </w:t>
      </w:r>
      <w:r w:rsidR="008F0DC9" w:rsidRPr="00B830BB">
        <w:rPr>
          <w:rFonts w:cs="Arial"/>
          <w:lang w:val="hr-HR"/>
        </w:rPr>
        <w:t>isključivanje, marginalizaciju</w:t>
      </w:r>
      <w:r w:rsidRPr="00B830BB">
        <w:rPr>
          <w:rFonts w:cs="Arial"/>
          <w:lang w:val="hr-HR"/>
        </w:rPr>
        <w:t xml:space="preserve"> i dehumanizaciju.</w:t>
      </w:r>
      <w:r w:rsidR="00624755" w:rsidRPr="00B830BB">
        <w:rPr>
          <w:rStyle w:val="FootnoteReference"/>
          <w:rFonts w:cs="Arial"/>
          <w:lang w:val="hr-HR"/>
        </w:rPr>
        <w:footnoteReference w:id="2"/>
      </w:r>
      <w:r w:rsidRPr="00B830BB">
        <w:rPr>
          <w:rFonts w:cs="Arial"/>
          <w:lang w:val="hr-HR"/>
        </w:rPr>
        <w:t xml:space="preserve"> </w:t>
      </w:r>
      <w:r w:rsidR="00C3637F">
        <w:rPr>
          <w:rFonts w:cs="Arial"/>
          <w:lang w:val="hr-HR"/>
        </w:rPr>
        <w:t xml:space="preserve">Štoviše, i Europski sud za ljudska prava u predmetu </w:t>
      </w:r>
      <w:r w:rsidR="00C3637F" w:rsidRPr="00C3637F">
        <w:rPr>
          <w:rFonts w:cs="Arial"/>
          <w:i/>
          <w:lang w:val="hr-HR"/>
        </w:rPr>
        <w:t>Erbakan protiv Turske</w:t>
      </w:r>
      <w:r w:rsidR="00C3637F">
        <w:rPr>
          <w:rFonts w:cs="Arial"/>
          <w:lang w:val="hr-HR"/>
        </w:rPr>
        <w:t xml:space="preserve"> naglasio je kako tolerancija i poš</w:t>
      </w:r>
      <w:r w:rsidR="008A6A58">
        <w:rPr>
          <w:rFonts w:cs="Arial"/>
          <w:lang w:val="hr-HR"/>
        </w:rPr>
        <w:t>t</w:t>
      </w:r>
      <w:r w:rsidR="00C3637F">
        <w:rPr>
          <w:rFonts w:cs="Arial"/>
          <w:lang w:val="hr-HR"/>
        </w:rPr>
        <w:t>ivanje jednakog dostojanstva svih ljudskih bića sačinjavaju temelje demokratskog, pluralističkog društva.</w:t>
      </w:r>
      <w:r w:rsidR="00C3637F">
        <w:rPr>
          <w:rStyle w:val="FootnoteReference"/>
          <w:rFonts w:cs="Arial"/>
          <w:lang w:val="hr-HR"/>
        </w:rPr>
        <w:footnoteReference w:id="3"/>
      </w:r>
      <w:r w:rsidR="00C3637F">
        <w:rPr>
          <w:rFonts w:cs="Arial"/>
          <w:lang w:val="hr-HR"/>
        </w:rPr>
        <w:t xml:space="preserve"> Dakle, z</w:t>
      </w:r>
      <w:r w:rsidRPr="00B830BB">
        <w:rPr>
          <w:rFonts w:cs="Arial"/>
          <w:lang w:val="hr-HR"/>
        </w:rPr>
        <w:t>abrana diskriminacije i načelo jednakosti smatraju se o</w:t>
      </w:r>
      <w:r w:rsidR="00CF0A1D">
        <w:rPr>
          <w:rFonts w:cs="Arial"/>
          <w:lang w:val="hr-HR"/>
        </w:rPr>
        <w:t>snovama zaštite ljudskih prava te</w:t>
      </w:r>
      <w:r w:rsidRPr="00B830BB">
        <w:rPr>
          <w:rFonts w:cs="Arial"/>
          <w:lang w:val="hr-HR"/>
        </w:rPr>
        <w:t xml:space="preserve"> su sadržan</w:t>
      </w:r>
      <w:r w:rsidR="00CF0A1D">
        <w:rPr>
          <w:rFonts w:cs="Arial"/>
          <w:lang w:val="hr-HR"/>
        </w:rPr>
        <w:t>i</w:t>
      </w:r>
      <w:r w:rsidRPr="00B830BB">
        <w:rPr>
          <w:rFonts w:cs="Arial"/>
          <w:lang w:val="hr-HR"/>
        </w:rPr>
        <w:t xml:space="preserve"> u mnogobroj</w:t>
      </w:r>
      <w:r w:rsidR="008A6A58">
        <w:rPr>
          <w:rFonts w:cs="Arial"/>
          <w:lang w:val="hr-HR"/>
        </w:rPr>
        <w:t>n</w:t>
      </w:r>
      <w:r w:rsidRPr="00B830BB">
        <w:rPr>
          <w:rFonts w:cs="Arial"/>
          <w:lang w:val="hr-HR"/>
        </w:rPr>
        <w:t>im međunarodnim i regionalnim instrumentima</w:t>
      </w:r>
      <w:r w:rsidR="00744827">
        <w:rPr>
          <w:rFonts w:cs="Arial"/>
          <w:lang w:val="hr-HR"/>
        </w:rPr>
        <w:t xml:space="preserve"> (više </w:t>
      </w:r>
      <w:r w:rsidR="00744827" w:rsidRPr="00744827">
        <w:rPr>
          <w:rFonts w:cs="Arial"/>
          <w:i/>
          <w:lang w:val="hr-HR"/>
        </w:rPr>
        <w:t>infra ad.</w:t>
      </w:r>
      <w:r w:rsidR="00744827">
        <w:rPr>
          <w:rFonts w:cs="Arial"/>
          <w:lang w:val="hr-HR"/>
        </w:rPr>
        <w:t xml:space="preserve"> 3)</w:t>
      </w:r>
      <w:r w:rsidRPr="00B830BB">
        <w:rPr>
          <w:rFonts w:cs="Arial"/>
          <w:lang w:val="hr-HR"/>
        </w:rPr>
        <w:t>.</w:t>
      </w:r>
    </w:p>
    <w:p w:rsidR="00864D46" w:rsidRDefault="00864D46">
      <w:pPr>
        <w:spacing w:after="200" w:line="276" w:lineRule="auto"/>
        <w:rPr>
          <w:rFonts w:cs="Arial"/>
          <w:lang w:val="hr-HR"/>
        </w:rPr>
      </w:pPr>
      <w:r>
        <w:rPr>
          <w:rFonts w:cs="Arial"/>
          <w:lang w:val="hr-HR"/>
        </w:rPr>
        <w:br w:type="page"/>
      </w:r>
    </w:p>
    <w:p w:rsidR="00CA1A3B" w:rsidRPr="00B830BB" w:rsidRDefault="00CA1A3B" w:rsidP="00F84EB8">
      <w:pPr>
        <w:pStyle w:val="Heading2"/>
        <w:spacing w:after="240"/>
        <w:rPr>
          <w:rFonts w:cs="Arial"/>
        </w:rPr>
      </w:pPr>
      <w:bookmarkStart w:id="17" w:name="_Toc386285770"/>
      <w:bookmarkStart w:id="18" w:name="_Toc386498301"/>
      <w:bookmarkStart w:id="19" w:name="_Toc386563046"/>
      <w:bookmarkStart w:id="20" w:name="_Toc386567208"/>
      <w:bookmarkStart w:id="21" w:name="_Toc386619600"/>
      <w:r w:rsidRPr="00B830BB">
        <w:rPr>
          <w:rFonts w:cs="Arial"/>
        </w:rPr>
        <w:lastRenderedPageBreak/>
        <w:t xml:space="preserve">Pravo na </w:t>
      </w:r>
      <w:r w:rsidR="00001B0F" w:rsidRPr="00B830BB">
        <w:rPr>
          <w:rFonts w:cs="Arial"/>
        </w:rPr>
        <w:t xml:space="preserve">slobodu </w:t>
      </w:r>
      <w:r w:rsidRPr="00B830BB">
        <w:rPr>
          <w:rFonts w:cs="Arial"/>
        </w:rPr>
        <w:t>izražavanj</w:t>
      </w:r>
      <w:r w:rsidR="00001B0F" w:rsidRPr="00B830BB">
        <w:rPr>
          <w:rFonts w:cs="Arial"/>
        </w:rPr>
        <w:t>a</w:t>
      </w:r>
      <w:bookmarkEnd w:id="17"/>
      <w:bookmarkEnd w:id="18"/>
      <w:bookmarkEnd w:id="19"/>
      <w:bookmarkEnd w:id="20"/>
      <w:bookmarkEnd w:id="21"/>
    </w:p>
    <w:p w:rsidR="00F44229" w:rsidRPr="00B830BB" w:rsidRDefault="00CA73E2" w:rsidP="00F44229">
      <w:pPr>
        <w:spacing w:line="360" w:lineRule="auto"/>
        <w:ind w:left="576"/>
        <w:jc w:val="both"/>
        <w:rPr>
          <w:rFonts w:cs="Arial"/>
          <w:szCs w:val="22"/>
          <w:lang w:val="hr-HR"/>
        </w:rPr>
      </w:pPr>
      <w:r w:rsidRPr="00B830BB">
        <w:rPr>
          <w:rFonts w:cs="Arial"/>
          <w:szCs w:val="22"/>
          <w:lang w:val="hr-HR"/>
        </w:rPr>
        <w:t xml:space="preserve">Razvojem ljudskih prava, pravo na izražavanje postalo </w:t>
      </w:r>
      <w:r w:rsidR="00CF0A1D" w:rsidRPr="00B830BB">
        <w:rPr>
          <w:rFonts w:cs="Arial"/>
          <w:szCs w:val="22"/>
          <w:lang w:val="hr-HR"/>
        </w:rPr>
        <w:t xml:space="preserve">je </w:t>
      </w:r>
      <w:r w:rsidR="00F44229" w:rsidRPr="00B830BB">
        <w:rPr>
          <w:rFonts w:cs="Arial"/>
          <w:szCs w:val="22"/>
          <w:lang w:val="hr-HR"/>
        </w:rPr>
        <w:t>jasan skup pravnih standarda</w:t>
      </w:r>
    </w:p>
    <w:p w:rsidR="00CA1A3B" w:rsidRPr="00B830BB" w:rsidRDefault="00CA73E2" w:rsidP="00F44229">
      <w:pPr>
        <w:spacing w:line="360" w:lineRule="auto"/>
        <w:jc w:val="both"/>
        <w:rPr>
          <w:rFonts w:cs="Arial"/>
          <w:szCs w:val="22"/>
          <w:lang w:val="hr-HR"/>
        </w:rPr>
      </w:pPr>
      <w:r w:rsidRPr="00B830BB">
        <w:rPr>
          <w:rFonts w:cs="Arial"/>
          <w:szCs w:val="22"/>
          <w:lang w:val="hr-HR"/>
        </w:rPr>
        <w:t>utvrđen obvezatnim konvencijama, a ne samo politička deklaracija</w:t>
      </w:r>
      <w:r w:rsidR="0044317F">
        <w:rPr>
          <w:rFonts w:cs="Arial"/>
          <w:szCs w:val="22"/>
          <w:lang w:val="hr-HR"/>
        </w:rPr>
        <w:t>.</w:t>
      </w:r>
      <w:r w:rsidRPr="00B830BB">
        <w:rPr>
          <w:rStyle w:val="FootnoteReference"/>
          <w:rFonts w:cs="Arial"/>
          <w:lang w:val="hr-HR"/>
        </w:rPr>
        <w:footnoteReference w:id="4"/>
      </w:r>
      <w:r w:rsidRPr="00B830BB">
        <w:rPr>
          <w:rFonts w:cs="Arial"/>
          <w:lang w:val="hr-HR"/>
        </w:rPr>
        <w:t xml:space="preserve"> </w:t>
      </w:r>
      <w:r w:rsidR="00F44229" w:rsidRPr="00B830BB">
        <w:rPr>
          <w:rFonts w:cs="Arial"/>
          <w:lang w:val="hr-HR"/>
        </w:rPr>
        <w:t xml:space="preserve">Tako </w:t>
      </w:r>
      <w:r w:rsidR="00DA70AD" w:rsidRPr="00B830BB">
        <w:rPr>
          <w:rFonts w:cs="Arial"/>
          <w:lang w:val="hr-HR"/>
        </w:rPr>
        <w:t xml:space="preserve">i </w:t>
      </w:r>
      <w:r w:rsidR="00F44229" w:rsidRPr="00B830BB">
        <w:rPr>
          <w:rFonts w:cs="Arial"/>
          <w:lang w:val="hr-HR"/>
        </w:rPr>
        <w:t>č</w:t>
      </w:r>
      <w:r w:rsidR="009C3AF3" w:rsidRPr="00B830BB">
        <w:rPr>
          <w:rFonts w:cs="Arial"/>
          <w:szCs w:val="22"/>
          <w:lang w:val="hr-HR"/>
        </w:rPr>
        <w:t>l.</w:t>
      </w:r>
      <w:r w:rsidR="00F44229" w:rsidRPr="00B830BB">
        <w:rPr>
          <w:rFonts w:cs="Arial"/>
          <w:szCs w:val="22"/>
          <w:lang w:val="hr-HR"/>
        </w:rPr>
        <w:t xml:space="preserve"> 10</w:t>
      </w:r>
      <w:r w:rsidR="00DA70AD" w:rsidRPr="00B830BB">
        <w:rPr>
          <w:rFonts w:cs="Arial"/>
          <w:szCs w:val="22"/>
          <w:lang w:val="hr-HR"/>
        </w:rPr>
        <w:t xml:space="preserve">. </w:t>
      </w:r>
      <w:r w:rsidR="009C3AF3" w:rsidRPr="00B830BB">
        <w:rPr>
          <w:rFonts w:cs="Arial"/>
          <w:szCs w:val="22"/>
          <w:lang w:val="hr-HR"/>
        </w:rPr>
        <w:t xml:space="preserve">st. 1. </w:t>
      </w:r>
      <w:r w:rsidR="00CA1A3B" w:rsidRPr="00B830BB">
        <w:rPr>
          <w:rFonts w:cs="Arial"/>
          <w:szCs w:val="22"/>
          <w:lang w:val="hr-HR"/>
        </w:rPr>
        <w:t>Europsk</w:t>
      </w:r>
      <w:r w:rsidR="00DA70AD" w:rsidRPr="00B830BB">
        <w:rPr>
          <w:rFonts w:cs="Arial"/>
          <w:szCs w:val="22"/>
          <w:lang w:val="hr-HR"/>
        </w:rPr>
        <w:t>e</w:t>
      </w:r>
      <w:r w:rsidR="00CA1A3B" w:rsidRPr="00B830BB">
        <w:rPr>
          <w:rFonts w:cs="Arial"/>
          <w:szCs w:val="22"/>
          <w:lang w:val="hr-HR"/>
        </w:rPr>
        <w:t xml:space="preserve"> konvencij</w:t>
      </w:r>
      <w:r w:rsidR="00DA70AD" w:rsidRPr="00B830BB">
        <w:rPr>
          <w:rFonts w:cs="Arial"/>
          <w:szCs w:val="22"/>
          <w:lang w:val="hr-HR"/>
        </w:rPr>
        <w:t>e</w:t>
      </w:r>
      <w:r w:rsidR="00CA1A3B" w:rsidRPr="00B830BB">
        <w:rPr>
          <w:rFonts w:cs="Arial"/>
          <w:szCs w:val="22"/>
          <w:lang w:val="hr-HR"/>
        </w:rPr>
        <w:t xml:space="preserve"> o zaštiti ljudskih prava i temeljnih sloboda</w:t>
      </w:r>
      <w:r w:rsidR="00CA1A3B" w:rsidRPr="00B830BB">
        <w:rPr>
          <w:rStyle w:val="FootnoteReference"/>
          <w:rFonts w:cs="Arial"/>
          <w:lang w:val="hr-HR"/>
        </w:rPr>
        <w:footnoteReference w:id="5"/>
      </w:r>
      <w:r w:rsidR="00CA1A3B" w:rsidRPr="00B830BB">
        <w:rPr>
          <w:rFonts w:cs="Arial"/>
          <w:szCs w:val="22"/>
          <w:lang w:val="hr-HR"/>
        </w:rPr>
        <w:t xml:space="preserve"> </w:t>
      </w:r>
      <w:r w:rsidR="00DA70AD" w:rsidRPr="00B830BB">
        <w:rPr>
          <w:rFonts w:cs="Arial"/>
          <w:szCs w:val="22"/>
          <w:lang w:val="hr-HR"/>
        </w:rPr>
        <w:t xml:space="preserve">jamči to pravo. </w:t>
      </w:r>
    </w:p>
    <w:p w:rsidR="002F0186" w:rsidRDefault="00864D46" w:rsidP="002F0186">
      <w:pPr>
        <w:spacing w:line="360" w:lineRule="auto"/>
        <w:ind w:firstLine="708"/>
        <w:jc w:val="both"/>
        <w:rPr>
          <w:rFonts w:cs="Arial"/>
          <w:szCs w:val="22"/>
          <w:lang w:val="hr-HR"/>
        </w:rPr>
      </w:pPr>
      <w:r w:rsidRPr="00864D46">
        <w:rPr>
          <w:rFonts w:cs="Arial"/>
          <w:caps/>
          <w:szCs w:val="22"/>
          <w:lang w:val="hr-HR"/>
        </w:rPr>
        <w:t>č</w:t>
      </w:r>
      <w:r w:rsidRPr="00B830BB">
        <w:rPr>
          <w:rFonts w:cs="Arial"/>
          <w:szCs w:val="22"/>
          <w:lang w:val="hr-HR"/>
        </w:rPr>
        <w:t>l</w:t>
      </w:r>
      <w:r w:rsidR="002F0186">
        <w:rPr>
          <w:rFonts w:cs="Arial"/>
          <w:szCs w:val="22"/>
          <w:lang w:val="hr-HR"/>
        </w:rPr>
        <w:t>. 10. štiti se sloboda medija, sloboda</w:t>
      </w:r>
      <w:r w:rsidR="002F0186" w:rsidRPr="002F0186">
        <w:rPr>
          <w:rFonts w:cs="Arial"/>
          <w:szCs w:val="22"/>
          <w:lang w:val="hr-HR"/>
        </w:rPr>
        <w:t xml:space="preserve"> govora i</w:t>
      </w:r>
      <w:r w:rsidR="002F0186">
        <w:rPr>
          <w:rFonts w:cs="Arial"/>
          <w:szCs w:val="22"/>
          <w:lang w:val="hr-HR"/>
        </w:rPr>
        <w:t xml:space="preserve"> javnog nastupa, ali i pravo izražavanja svakog pojedinca, a</w:t>
      </w:r>
      <w:r w:rsidR="002F0186" w:rsidRPr="002F0186">
        <w:rPr>
          <w:rFonts w:cs="Arial"/>
          <w:szCs w:val="22"/>
          <w:lang w:val="hr-HR"/>
        </w:rPr>
        <w:t xml:space="preserve"> od osobite je važnosti kak</w:t>
      </w:r>
      <w:r w:rsidR="002F0186">
        <w:rPr>
          <w:rFonts w:cs="Arial"/>
          <w:szCs w:val="22"/>
          <w:lang w:val="hr-HR"/>
        </w:rPr>
        <w:t xml:space="preserve">o za individualne osobe </w:t>
      </w:r>
      <w:r w:rsidR="002F0186" w:rsidRPr="002F0186">
        <w:rPr>
          <w:rFonts w:cs="Arial"/>
          <w:szCs w:val="22"/>
          <w:lang w:val="hr-HR"/>
        </w:rPr>
        <w:t xml:space="preserve">tako i za društvo u cjelini. </w:t>
      </w:r>
      <w:r w:rsidR="0026056D">
        <w:rPr>
          <w:rFonts w:cs="Arial"/>
          <w:szCs w:val="22"/>
          <w:lang w:val="hr-HR"/>
        </w:rPr>
        <w:t>Iako</w:t>
      </w:r>
      <w:r w:rsidR="002F0186">
        <w:rPr>
          <w:rFonts w:cs="Arial"/>
          <w:szCs w:val="22"/>
          <w:lang w:val="hr-HR"/>
        </w:rPr>
        <w:t xml:space="preserve"> se njime jamči sloboda izražavanja svima</w:t>
      </w:r>
      <w:r w:rsidR="002F0186" w:rsidRPr="002F0186">
        <w:rPr>
          <w:rFonts w:cs="Arial"/>
          <w:szCs w:val="22"/>
          <w:lang w:val="hr-HR"/>
        </w:rPr>
        <w:t>, najčešće se tiče novinarske profesije, ali štite se i druge forme izražavanje:</w:t>
      </w:r>
      <w:r w:rsidR="002F0186">
        <w:rPr>
          <w:rFonts w:cs="Arial"/>
          <w:szCs w:val="22"/>
          <w:lang w:val="hr-HR"/>
        </w:rPr>
        <w:t xml:space="preserve"> </w:t>
      </w:r>
      <w:r w:rsidR="002F0186" w:rsidRPr="002F0186">
        <w:rPr>
          <w:rFonts w:cs="Arial"/>
          <w:szCs w:val="22"/>
          <w:lang w:val="hr-HR"/>
        </w:rPr>
        <w:t>napisana riječ, slike, filmovi, tiskani materijali i sl.</w:t>
      </w:r>
      <w:r w:rsidR="0092007F">
        <w:rPr>
          <w:rStyle w:val="FootnoteReference"/>
          <w:rFonts w:cs="Arial"/>
          <w:szCs w:val="22"/>
          <w:lang w:val="hr-HR"/>
        </w:rPr>
        <w:footnoteReference w:id="6"/>
      </w:r>
    </w:p>
    <w:p w:rsidR="009916F8" w:rsidRDefault="00FB181A" w:rsidP="0036009C">
      <w:pPr>
        <w:spacing w:line="360" w:lineRule="auto"/>
        <w:ind w:firstLine="708"/>
        <w:jc w:val="both"/>
        <w:rPr>
          <w:rFonts w:cs="Arial"/>
          <w:szCs w:val="22"/>
          <w:lang w:val="hr-HR"/>
        </w:rPr>
      </w:pPr>
      <w:r>
        <w:rPr>
          <w:rFonts w:cs="Arial"/>
          <w:szCs w:val="22"/>
          <w:lang w:val="hr-HR"/>
        </w:rPr>
        <w:t>Pravo na izražavanje</w:t>
      </w:r>
      <w:r w:rsidR="00CA1A3B" w:rsidRPr="00B830BB">
        <w:rPr>
          <w:rFonts w:cs="Arial"/>
          <w:szCs w:val="22"/>
          <w:lang w:val="hr-HR"/>
        </w:rPr>
        <w:t xml:space="preserve"> obuhvaća slobodu mišljenja i slobodu primanja i širenja informacija i ideja bez </w:t>
      </w:r>
      <w:r w:rsidR="00CF0A1D">
        <w:rPr>
          <w:rFonts w:cs="Arial"/>
          <w:szCs w:val="22"/>
          <w:lang w:val="hr-HR"/>
        </w:rPr>
        <w:t>miješanje</w:t>
      </w:r>
      <w:r w:rsidR="00CA1A3B" w:rsidRPr="00B830BB">
        <w:rPr>
          <w:rFonts w:cs="Arial"/>
          <w:szCs w:val="22"/>
          <w:lang w:val="hr-HR"/>
        </w:rPr>
        <w:t xml:space="preserve"> javne vlasti i bez obzira na granice.</w:t>
      </w:r>
      <w:r w:rsidR="00E50AA5" w:rsidRPr="00B830BB">
        <w:rPr>
          <w:rFonts w:cs="Arial"/>
          <w:szCs w:val="22"/>
          <w:lang w:val="hr-HR"/>
        </w:rPr>
        <w:t xml:space="preserve"> Od značaja je naglasiti kako</w:t>
      </w:r>
      <w:r w:rsidR="001C6290" w:rsidRPr="00B830BB">
        <w:rPr>
          <w:rFonts w:cs="Arial"/>
          <w:szCs w:val="22"/>
          <w:lang w:val="hr-HR"/>
        </w:rPr>
        <w:t>,</w:t>
      </w:r>
      <w:r w:rsidR="00E50AA5" w:rsidRPr="00B830BB">
        <w:rPr>
          <w:rFonts w:cs="Arial"/>
          <w:szCs w:val="22"/>
          <w:lang w:val="hr-HR"/>
        </w:rPr>
        <w:t xml:space="preserve"> suprotno mnogim zaključcima, pravo na izražavanj</w:t>
      </w:r>
      <w:r w:rsidR="001C6290" w:rsidRPr="00B830BB">
        <w:rPr>
          <w:rFonts w:cs="Arial"/>
          <w:szCs w:val="22"/>
          <w:lang w:val="hr-HR"/>
        </w:rPr>
        <w:t>e</w:t>
      </w:r>
      <w:r w:rsidR="00E50AA5" w:rsidRPr="00B830BB">
        <w:rPr>
          <w:rFonts w:cs="Arial"/>
          <w:szCs w:val="22"/>
          <w:lang w:val="hr-HR"/>
        </w:rPr>
        <w:t xml:space="preserve"> zapravo sumira tri elementa</w:t>
      </w:r>
      <w:r w:rsidR="00EA7775" w:rsidRPr="00B830BB">
        <w:rPr>
          <w:rFonts w:cs="Arial"/>
          <w:szCs w:val="22"/>
          <w:lang w:val="hr-HR"/>
        </w:rPr>
        <w:t>:</w:t>
      </w:r>
      <w:r w:rsidR="00E50AA5" w:rsidRPr="00B830BB">
        <w:rPr>
          <w:rFonts w:cs="Arial"/>
          <w:szCs w:val="22"/>
          <w:lang w:val="hr-HR"/>
        </w:rPr>
        <w:t xml:space="preserve"> pravo na mišljenje, pravo na primanje te pravo na širenje informacija</w:t>
      </w:r>
      <w:r w:rsidRPr="00B830BB">
        <w:rPr>
          <w:rFonts w:cs="Arial"/>
          <w:szCs w:val="22"/>
          <w:lang w:val="hr-HR"/>
        </w:rPr>
        <w:t>.</w:t>
      </w:r>
      <w:r w:rsidR="00E50AA5" w:rsidRPr="00B830BB">
        <w:rPr>
          <w:rStyle w:val="FootnoteReference"/>
          <w:rFonts w:cs="Arial"/>
          <w:szCs w:val="22"/>
          <w:lang w:val="hr-HR"/>
        </w:rPr>
        <w:footnoteReference w:id="7"/>
      </w:r>
      <w:r w:rsidR="00E50AA5" w:rsidRPr="00B830BB">
        <w:rPr>
          <w:rFonts w:cs="Arial"/>
          <w:szCs w:val="22"/>
          <w:lang w:val="hr-HR"/>
        </w:rPr>
        <w:t xml:space="preserve">  </w:t>
      </w:r>
    </w:p>
    <w:p w:rsidR="00D249C7" w:rsidRPr="002F0186" w:rsidRDefault="00D249C7" w:rsidP="0036009C">
      <w:pPr>
        <w:spacing w:line="360" w:lineRule="auto"/>
        <w:ind w:firstLine="708"/>
        <w:jc w:val="both"/>
        <w:rPr>
          <w:lang w:val="hr-HR"/>
        </w:rPr>
      </w:pPr>
      <w:r w:rsidRPr="00B830BB">
        <w:rPr>
          <w:rFonts w:cs="Arial"/>
          <w:szCs w:val="22"/>
          <w:lang w:val="hr-HR"/>
        </w:rPr>
        <w:t>Pitanje koje se postavlja prilikom procjene govora mržnje jest potpada li on i dalje pod pravo na izražava</w:t>
      </w:r>
      <w:r w:rsidR="001242FD" w:rsidRPr="00B830BB">
        <w:rPr>
          <w:rFonts w:cs="Arial"/>
          <w:szCs w:val="22"/>
          <w:lang w:val="hr-HR"/>
        </w:rPr>
        <w:t xml:space="preserve">nje zajamčeno, između ostalih, gore citiranim čl. 10. st. </w:t>
      </w:r>
      <w:r w:rsidR="005149DD">
        <w:rPr>
          <w:rFonts w:cs="Arial"/>
          <w:szCs w:val="22"/>
          <w:lang w:val="hr-HR"/>
        </w:rPr>
        <w:t>1.</w:t>
      </w:r>
      <w:r w:rsidR="001242FD" w:rsidRPr="00B830BB">
        <w:rPr>
          <w:rFonts w:cs="Arial"/>
          <w:szCs w:val="22"/>
          <w:lang w:val="hr-HR"/>
        </w:rPr>
        <w:t xml:space="preserve"> Konvencije ili ipak podliježe </w:t>
      </w:r>
      <w:r w:rsidR="00BC7B27" w:rsidRPr="00B830BB">
        <w:rPr>
          <w:rFonts w:cs="Arial"/>
          <w:szCs w:val="22"/>
          <w:lang w:val="hr-HR"/>
        </w:rPr>
        <w:t xml:space="preserve">određenim </w:t>
      </w:r>
      <w:r w:rsidR="001242FD" w:rsidRPr="00B830BB">
        <w:rPr>
          <w:rFonts w:cs="Arial"/>
          <w:szCs w:val="22"/>
          <w:lang w:val="hr-HR"/>
        </w:rPr>
        <w:t>ograničenjima</w:t>
      </w:r>
      <w:r w:rsidR="00BC7B27" w:rsidRPr="00B830BB">
        <w:rPr>
          <w:rFonts w:cs="Arial"/>
          <w:szCs w:val="22"/>
          <w:lang w:val="hr-HR"/>
        </w:rPr>
        <w:t xml:space="preserve">, kao </w:t>
      </w:r>
      <w:r w:rsidR="001242FD" w:rsidRPr="00B830BB">
        <w:rPr>
          <w:rFonts w:cs="Arial"/>
          <w:szCs w:val="22"/>
          <w:lang w:val="hr-HR"/>
        </w:rPr>
        <w:t>što su ona iz čl. 10. st. 2.</w:t>
      </w:r>
      <w:r w:rsidR="00223D3E">
        <w:rPr>
          <w:rFonts w:cs="Arial"/>
          <w:szCs w:val="22"/>
          <w:lang w:val="hr-HR"/>
        </w:rPr>
        <w:t xml:space="preserve"> (vidi </w:t>
      </w:r>
      <w:r w:rsidR="00223D3E" w:rsidRPr="00223D3E">
        <w:rPr>
          <w:rFonts w:cs="Arial"/>
          <w:i/>
          <w:szCs w:val="22"/>
          <w:lang w:val="hr-HR"/>
        </w:rPr>
        <w:t>infra ad.</w:t>
      </w:r>
      <w:r w:rsidR="0044317F">
        <w:rPr>
          <w:rFonts w:cs="Arial"/>
          <w:szCs w:val="22"/>
          <w:lang w:val="hr-HR"/>
        </w:rPr>
        <w:t xml:space="preserve"> 3</w:t>
      </w:r>
      <w:r w:rsidR="00223D3E">
        <w:rPr>
          <w:rFonts w:cs="Arial"/>
          <w:szCs w:val="22"/>
          <w:lang w:val="hr-HR"/>
        </w:rPr>
        <w:t>.</w:t>
      </w:r>
      <w:r w:rsidR="0044317F">
        <w:rPr>
          <w:rFonts w:cs="Arial"/>
          <w:szCs w:val="22"/>
          <w:lang w:val="hr-HR"/>
        </w:rPr>
        <w:t>2</w:t>
      </w:r>
      <w:r w:rsidR="00223D3E">
        <w:rPr>
          <w:rFonts w:cs="Arial"/>
          <w:szCs w:val="22"/>
          <w:lang w:val="hr-HR"/>
        </w:rPr>
        <w:t>.</w:t>
      </w:r>
      <w:r w:rsidR="0044317F">
        <w:rPr>
          <w:rFonts w:cs="Arial"/>
          <w:szCs w:val="22"/>
          <w:lang w:val="hr-HR"/>
        </w:rPr>
        <w:t>1</w:t>
      </w:r>
      <w:r w:rsidR="00223D3E">
        <w:rPr>
          <w:rFonts w:cs="Arial"/>
          <w:szCs w:val="22"/>
          <w:lang w:val="hr-HR"/>
        </w:rPr>
        <w:t>.</w:t>
      </w:r>
      <w:r w:rsidR="0044317F">
        <w:rPr>
          <w:rFonts w:cs="Arial"/>
          <w:szCs w:val="22"/>
          <w:lang w:val="hr-HR"/>
        </w:rPr>
        <w:t>2</w:t>
      </w:r>
      <w:r w:rsidR="00223D3E">
        <w:rPr>
          <w:rFonts w:cs="Arial"/>
          <w:szCs w:val="22"/>
          <w:lang w:val="hr-HR"/>
        </w:rPr>
        <w:t xml:space="preserve">). </w:t>
      </w:r>
      <w:r w:rsidR="00BC7B27" w:rsidRPr="00B830BB">
        <w:rPr>
          <w:rFonts w:cs="Arial"/>
          <w:szCs w:val="22"/>
          <w:lang w:val="hr-HR"/>
        </w:rPr>
        <w:t xml:space="preserve"> </w:t>
      </w:r>
    </w:p>
    <w:p w:rsidR="0090280A" w:rsidRPr="00B830BB" w:rsidRDefault="009C3AF3" w:rsidP="0090280A">
      <w:pPr>
        <w:spacing w:line="360" w:lineRule="auto"/>
        <w:ind w:firstLine="708"/>
        <w:jc w:val="both"/>
        <w:rPr>
          <w:rFonts w:cs="Arial"/>
          <w:szCs w:val="22"/>
          <w:lang w:val="hr-HR"/>
        </w:rPr>
      </w:pPr>
      <w:r w:rsidRPr="00B830BB">
        <w:rPr>
          <w:rFonts w:cs="Arial"/>
          <w:szCs w:val="22"/>
          <w:lang w:val="hr-HR"/>
        </w:rPr>
        <w:t>Z</w:t>
      </w:r>
      <w:r w:rsidR="00412957" w:rsidRPr="00B830BB">
        <w:rPr>
          <w:rFonts w:cs="Arial"/>
          <w:szCs w:val="22"/>
          <w:lang w:val="hr-HR"/>
        </w:rPr>
        <w:t>bog iznimne važnosti prava na slobodu izražavanja, mogućnost njegova ograničenja restriktivno se tumači te mu se nastoji pružiti što je moguće šira zaštita. Tako, u</w:t>
      </w:r>
      <w:r w:rsidR="00204A56" w:rsidRPr="00B830BB">
        <w:rPr>
          <w:rFonts w:cs="Arial"/>
          <w:szCs w:val="22"/>
          <w:lang w:val="hr-HR"/>
        </w:rPr>
        <w:t xml:space="preserve"> prvom slučaju</w:t>
      </w:r>
      <w:r w:rsidR="002E29E8" w:rsidRPr="00B830BB">
        <w:rPr>
          <w:rFonts w:cs="Arial"/>
          <w:szCs w:val="22"/>
          <w:lang w:val="hr-HR"/>
        </w:rPr>
        <w:t xml:space="preserve"> u kojem se tražio odgovor na pitanje ograničenja prava na izražavanje</w:t>
      </w:r>
      <w:r w:rsidR="00204A56" w:rsidRPr="00B830BB">
        <w:rPr>
          <w:rFonts w:cs="Arial"/>
          <w:szCs w:val="22"/>
          <w:lang w:val="hr-HR"/>
        </w:rPr>
        <w:t xml:space="preserve">, </w:t>
      </w:r>
      <w:r w:rsidR="00204A56" w:rsidRPr="00B830BB">
        <w:rPr>
          <w:rFonts w:cs="Arial"/>
          <w:i/>
          <w:szCs w:val="22"/>
          <w:lang w:val="hr-HR"/>
        </w:rPr>
        <w:t>Handyside protiv Ujedinjenog Kraljevstva</w:t>
      </w:r>
      <w:r w:rsidR="00204A56" w:rsidRPr="00B830BB">
        <w:rPr>
          <w:rFonts w:cs="Arial"/>
          <w:szCs w:val="22"/>
          <w:lang w:val="hr-HR"/>
        </w:rPr>
        <w:t>, Europski sud</w:t>
      </w:r>
      <w:r w:rsidR="0090280A">
        <w:rPr>
          <w:rFonts w:cs="Arial"/>
          <w:szCs w:val="22"/>
          <w:lang w:val="hr-HR"/>
        </w:rPr>
        <w:t xml:space="preserve"> za ljudska prava</w:t>
      </w:r>
      <w:r w:rsidR="00204A56" w:rsidRPr="00B830BB">
        <w:rPr>
          <w:rFonts w:cs="Arial"/>
          <w:szCs w:val="22"/>
          <w:lang w:val="hr-HR"/>
        </w:rPr>
        <w:t xml:space="preserve"> </w:t>
      </w:r>
      <w:r w:rsidR="00412957" w:rsidRPr="00B830BB">
        <w:rPr>
          <w:rFonts w:cs="Arial"/>
          <w:szCs w:val="22"/>
          <w:lang w:val="hr-HR"/>
        </w:rPr>
        <w:t xml:space="preserve">je </w:t>
      </w:r>
      <w:r w:rsidR="00204A56" w:rsidRPr="00B830BB">
        <w:rPr>
          <w:rFonts w:cs="Arial"/>
          <w:szCs w:val="22"/>
          <w:lang w:val="hr-HR"/>
        </w:rPr>
        <w:t>zaključio</w:t>
      </w:r>
      <w:r w:rsidR="00412957" w:rsidRPr="00B830BB">
        <w:rPr>
          <w:rFonts w:cs="Arial"/>
          <w:szCs w:val="22"/>
          <w:lang w:val="hr-HR"/>
        </w:rPr>
        <w:t xml:space="preserve"> </w:t>
      </w:r>
      <w:r w:rsidR="00204A56" w:rsidRPr="00B830BB">
        <w:rPr>
          <w:rFonts w:cs="Arial"/>
          <w:szCs w:val="22"/>
          <w:lang w:val="hr-HR"/>
        </w:rPr>
        <w:t>kako pravo na izražavanje konstituira jednu od osnov</w:t>
      </w:r>
      <w:r w:rsidR="00C75584">
        <w:rPr>
          <w:rFonts w:cs="Arial"/>
          <w:szCs w:val="22"/>
          <w:lang w:val="hr-HR"/>
        </w:rPr>
        <w:t>a</w:t>
      </w:r>
      <w:r w:rsidR="00204A56" w:rsidRPr="00B830BB">
        <w:rPr>
          <w:rFonts w:cs="Arial"/>
          <w:szCs w:val="22"/>
          <w:lang w:val="hr-HR"/>
        </w:rPr>
        <w:t xml:space="preserve"> društva, jed</w:t>
      </w:r>
      <w:r w:rsidR="00AC4E4B" w:rsidRPr="00B830BB">
        <w:rPr>
          <w:rFonts w:cs="Arial"/>
          <w:szCs w:val="22"/>
          <w:lang w:val="hr-HR"/>
        </w:rPr>
        <w:t>a</w:t>
      </w:r>
      <w:r w:rsidR="00204A56" w:rsidRPr="00B830BB">
        <w:rPr>
          <w:rFonts w:cs="Arial"/>
          <w:szCs w:val="22"/>
          <w:lang w:val="hr-HR"/>
        </w:rPr>
        <w:t xml:space="preserve">n je od glavnih uvjeta za razvoj društva </w:t>
      </w:r>
      <w:r w:rsidR="00AC4E4B" w:rsidRPr="00B830BB">
        <w:rPr>
          <w:rFonts w:cs="Arial"/>
          <w:szCs w:val="22"/>
          <w:lang w:val="hr-HR"/>
        </w:rPr>
        <w:t xml:space="preserve">kao i </w:t>
      </w:r>
      <w:r w:rsidR="00204A56" w:rsidRPr="00B830BB">
        <w:rPr>
          <w:rFonts w:cs="Arial"/>
          <w:szCs w:val="22"/>
          <w:lang w:val="hr-HR"/>
        </w:rPr>
        <w:t xml:space="preserve">za razvoj svake osobe. </w:t>
      </w:r>
      <w:r w:rsidR="004E5C28" w:rsidRPr="00B830BB">
        <w:rPr>
          <w:rFonts w:cs="Arial"/>
          <w:szCs w:val="22"/>
          <w:lang w:val="hr-HR"/>
        </w:rPr>
        <w:t>Štoviše, takvo pravo</w:t>
      </w:r>
      <w:r w:rsidR="00062652" w:rsidRPr="00B830BB">
        <w:rPr>
          <w:rFonts w:cs="Arial"/>
          <w:szCs w:val="22"/>
          <w:lang w:val="hr-HR"/>
        </w:rPr>
        <w:t xml:space="preserve"> </w:t>
      </w:r>
      <w:r w:rsidR="00AC4E4B" w:rsidRPr="00B830BB">
        <w:rPr>
          <w:rFonts w:cs="Arial"/>
          <w:szCs w:val="22"/>
          <w:lang w:val="hr-HR"/>
        </w:rPr>
        <w:t>za</w:t>
      </w:r>
      <w:r w:rsidR="004E5C28" w:rsidRPr="00B830BB">
        <w:rPr>
          <w:rFonts w:cs="Arial"/>
          <w:szCs w:val="22"/>
          <w:lang w:val="hr-HR"/>
        </w:rPr>
        <w:t>garantir</w:t>
      </w:r>
      <w:r w:rsidR="00AC4E4B" w:rsidRPr="00B830BB">
        <w:rPr>
          <w:rFonts w:cs="Arial"/>
          <w:szCs w:val="22"/>
          <w:lang w:val="hr-HR"/>
        </w:rPr>
        <w:t>ano</w:t>
      </w:r>
      <w:r w:rsidR="004E5C28" w:rsidRPr="00B830BB">
        <w:rPr>
          <w:rFonts w:cs="Arial"/>
          <w:szCs w:val="22"/>
          <w:lang w:val="hr-HR"/>
        </w:rPr>
        <w:t xml:space="preserve"> </w:t>
      </w:r>
      <w:r w:rsidR="00AC4E4B" w:rsidRPr="00B830BB">
        <w:rPr>
          <w:rFonts w:cs="Arial"/>
          <w:szCs w:val="22"/>
          <w:lang w:val="hr-HR"/>
        </w:rPr>
        <w:t xml:space="preserve">je </w:t>
      </w:r>
      <w:r w:rsidR="004E5C28" w:rsidRPr="00B830BB">
        <w:rPr>
          <w:rFonts w:cs="Arial"/>
          <w:szCs w:val="22"/>
          <w:lang w:val="hr-HR"/>
        </w:rPr>
        <w:t>i onda kada</w:t>
      </w:r>
      <w:r w:rsidR="00AC4E4B" w:rsidRPr="00B830BB">
        <w:rPr>
          <w:rFonts w:cs="Arial"/>
          <w:szCs w:val="22"/>
          <w:lang w:val="hr-HR"/>
        </w:rPr>
        <w:t xml:space="preserve"> ono što se izražava </w:t>
      </w:r>
      <w:r w:rsidR="004E5C28" w:rsidRPr="00B830BB">
        <w:rPr>
          <w:rFonts w:cs="Arial"/>
          <w:szCs w:val="22"/>
          <w:lang w:val="hr-HR"/>
        </w:rPr>
        <w:t>vrijeđa, šokira ili uznemiruje državu ili neki dio njene populacije, budući da to zaht</w:t>
      </w:r>
      <w:r w:rsidR="00AC4E4B" w:rsidRPr="00B830BB">
        <w:rPr>
          <w:rFonts w:cs="Arial"/>
          <w:szCs w:val="22"/>
          <w:lang w:val="hr-HR"/>
        </w:rPr>
        <w:t>i</w:t>
      </w:r>
      <w:r w:rsidR="004E5C28" w:rsidRPr="00B830BB">
        <w:rPr>
          <w:rFonts w:cs="Arial"/>
          <w:szCs w:val="22"/>
          <w:lang w:val="hr-HR"/>
        </w:rPr>
        <w:t>jevaju pluralizam, tolerancija te širokoum</w:t>
      </w:r>
      <w:r w:rsidR="004272A5" w:rsidRPr="00B830BB">
        <w:rPr>
          <w:rFonts w:cs="Arial"/>
          <w:szCs w:val="22"/>
          <w:lang w:val="hr-HR"/>
        </w:rPr>
        <w:t>nost</w:t>
      </w:r>
      <w:r w:rsidR="004E5C28" w:rsidRPr="00B830BB">
        <w:rPr>
          <w:rFonts w:cs="Arial"/>
          <w:szCs w:val="22"/>
          <w:lang w:val="hr-HR"/>
        </w:rPr>
        <w:t xml:space="preserve"> bez kojih ne bi postojalo demokratsko</w:t>
      </w:r>
      <w:r w:rsidR="00C824C0" w:rsidRPr="00B830BB">
        <w:rPr>
          <w:rFonts w:cs="Arial"/>
          <w:szCs w:val="22"/>
          <w:lang w:val="hr-HR"/>
        </w:rPr>
        <w:t xml:space="preserve"> </w:t>
      </w:r>
      <w:r w:rsidR="004E5C28" w:rsidRPr="00B830BB">
        <w:rPr>
          <w:rFonts w:cs="Arial"/>
          <w:szCs w:val="22"/>
          <w:lang w:val="hr-HR"/>
        </w:rPr>
        <w:lastRenderedPageBreak/>
        <w:t>društvo</w:t>
      </w:r>
      <w:r w:rsidR="004272A5" w:rsidRPr="00B830BB">
        <w:rPr>
          <w:rFonts w:cs="Arial"/>
          <w:szCs w:val="22"/>
          <w:lang w:val="hr-HR"/>
        </w:rPr>
        <w:t>.</w:t>
      </w:r>
      <w:r w:rsidR="004272A5" w:rsidRPr="00B830BB">
        <w:rPr>
          <w:rStyle w:val="FootnoteReference"/>
          <w:rFonts w:cs="Arial"/>
          <w:i/>
          <w:szCs w:val="22"/>
          <w:lang w:val="hr-HR"/>
        </w:rPr>
        <w:footnoteReference w:id="8"/>
      </w:r>
      <w:r w:rsidR="004E5C28" w:rsidRPr="00B830BB">
        <w:rPr>
          <w:rFonts w:cs="Arial"/>
          <w:szCs w:val="22"/>
          <w:lang w:val="hr-HR"/>
        </w:rPr>
        <w:t xml:space="preserve"> </w:t>
      </w:r>
      <w:r w:rsidR="00613FA2" w:rsidRPr="00B830BB">
        <w:rPr>
          <w:rFonts w:cs="Arial"/>
          <w:szCs w:val="22"/>
          <w:lang w:val="hr-HR"/>
        </w:rPr>
        <w:t>Uistinu, „bez slobodnih debata i prava na izražavanje mišljenja, demokracija ne bi mogla napredovati ili jednostavno ne bi postojala.“</w:t>
      </w:r>
      <w:r w:rsidR="00613FA2" w:rsidRPr="00B830BB">
        <w:rPr>
          <w:rFonts w:cs="Arial"/>
          <w:vertAlign w:val="superscript"/>
          <w:lang w:val="hr-HR"/>
        </w:rPr>
        <w:footnoteReference w:id="9"/>
      </w:r>
    </w:p>
    <w:p w:rsidR="009C3AF3" w:rsidRPr="00B830BB" w:rsidRDefault="009C3AF3" w:rsidP="00412957">
      <w:pPr>
        <w:spacing w:line="360" w:lineRule="auto"/>
        <w:ind w:firstLine="708"/>
        <w:jc w:val="both"/>
        <w:rPr>
          <w:rFonts w:cs="Arial"/>
          <w:szCs w:val="22"/>
          <w:lang w:val="hr-HR"/>
        </w:rPr>
      </w:pPr>
      <w:r w:rsidRPr="00B830BB">
        <w:rPr>
          <w:rFonts w:cs="Arial"/>
          <w:szCs w:val="22"/>
          <w:lang w:val="hr-HR"/>
        </w:rPr>
        <w:t xml:space="preserve">Ipak, u predmetu </w:t>
      </w:r>
      <w:r w:rsidRPr="00B830BB">
        <w:rPr>
          <w:rFonts w:cs="Arial"/>
          <w:i/>
          <w:szCs w:val="22"/>
          <w:lang w:val="hr-HR"/>
        </w:rPr>
        <w:t>K.U. protiv Finske</w:t>
      </w:r>
      <w:r w:rsidRPr="00B830BB">
        <w:rPr>
          <w:rFonts w:cs="Arial"/>
          <w:szCs w:val="22"/>
          <w:lang w:val="hr-HR"/>
        </w:rPr>
        <w:t xml:space="preserve"> Sud je naglasio kako, usprkos velikoj važnosti slobode izražavanja na internetu i potrebi da s</w:t>
      </w:r>
      <w:r w:rsidR="00F74ABF" w:rsidRPr="00B830BB">
        <w:rPr>
          <w:rFonts w:cs="Arial"/>
          <w:szCs w:val="22"/>
          <w:lang w:val="hr-HR"/>
        </w:rPr>
        <w:t xml:space="preserve">e poštuje pravo korisnika interneta </w:t>
      </w:r>
      <w:r w:rsidRPr="00B830BB">
        <w:rPr>
          <w:rFonts w:cs="Arial"/>
          <w:szCs w:val="22"/>
          <w:lang w:val="hr-HR"/>
        </w:rPr>
        <w:t xml:space="preserve">na slobodu izražavanja, </w:t>
      </w:r>
      <w:r w:rsidR="00F74ABF" w:rsidRPr="00B830BB">
        <w:rPr>
          <w:rFonts w:cs="Arial"/>
          <w:szCs w:val="22"/>
          <w:lang w:val="hr-HR"/>
        </w:rPr>
        <w:t>to pravo nije apsolutno te se u određenim slučajevim</w:t>
      </w:r>
      <w:r w:rsidR="00A61EFE">
        <w:rPr>
          <w:rFonts w:cs="Arial"/>
          <w:szCs w:val="22"/>
          <w:lang w:val="hr-HR"/>
        </w:rPr>
        <w:t>a</w:t>
      </w:r>
      <w:r w:rsidR="00F74ABF" w:rsidRPr="00B830BB">
        <w:rPr>
          <w:rFonts w:cs="Arial"/>
          <w:szCs w:val="22"/>
          <w:lang w:val="hr-HR"/>
        </w:rPr>
        <w:t xml:space="preserve"> mora prepustiti prvenstvo nekim drugim legitimnim interesima, kao što je zaštita prava i sloboda drugih.</w:t>
      </w:r>
      <w:r w:rsidRPr="00B830BB">
        <w:rPr>
          <w:rStyle w:val="FootnoteReference"/>
          <w:rFonts w:cs="Arial"/>
        </w:rPr>
        <w:footnoteReference w:id="10"/>
      </w:r>
    </w:p>
    <w:p w:rsidR="0036009C" w:rsidRDefault="009C3AF3" w:rsidP="00412957">
      <w:pPr>
        <w:spacing w:line="360" w:lineRule="auto"/>
        <w:ind w:firstLine="708"/>
        <w:jc w:val="both"/>
        <w:rPr>
          <w:rFonts w:cs="Arial"/>
          <w:szCs w:val="22"/>
          <w:lang w:val="hr-HR"/>
        </w:rPr>
      </w:pPr>
      <w:r w:rsidRPr="00B830BB">
        <w:rPr>
          <w:rFonts w:cs="Arial"/>
          <w:szCs w:val="22"/>
          <w:lang w:val="hr-HR"/>
        </w:rPr>
        <w:t>Prema tome</w:t>
      </w:r>
      <w:r w:rsidR="00412957" w:rsidRPr="00B830BB">
        <w:rPr>
          <w:rFonts w:cs="Arial"/>
          <w:szCs w:val="22"/>
          <w:lang w:val="hr-HR"/>
        </w:rPr>
        <w:t xml:space="preserve">, </w:t>
      </w:r>
      <w:r w:rsidRPr="00B830BB">
        <w:rPr>
          <w:rFonts w:cs="Arial"/>
          <w:szCs w:val="22"/>
          <w:lang w:val="hr-HR"/>
        </w:rPr>
        <w:t xml:space="preserve">jasno je da </w:t>
      </w:r>
      <w:r w:rsidR="00412957" w:rsidRPr="00B830BB">
        <w:rPr>
          <w:rFonts w:cs="Arial"/>
          <w:szCs w:val="22"/>
          <w:lang w:val="hr-HR"/>
        </w:rPr>
        <w:t xml:space="preserve">određene granice ipak postoje te je potrebno u svakom pojedinom slučaju pomno provedenim vrednovanjem utvrditi nije li možda </w:t>
      </w:r>
      <w:r w:rsidRPr="00B830BB">
        <w:rPr>
          <w:rFonts w:cs="Arial"/>
          <w:szCs w:val="22"/>
          <w:lang w:val="hr-HR"/>
        </w:rPr>
        <w:t xml:space="preserve">razmatrani </w:t>
      </w:r>
      <w:r w:rsidR="00412957" w:rsidRPr="00B830BB">
        <w:rPr>
          <w:rFonts w:cs="Arial"/>
          <w:szCs w:val="22"/>
          <w:lang w:val="hr-HR"/>
        </w:rPr>
        <w:t>govor</w:t>
      </w:r>
      <w:r w:rsidRPr="00B830BB">
        <w:rPr>
          <w:rFonts w:cs="Arial"/>
          <w:szCs w:val="22"/>
          <w:lang w:val="hr-HR"/>
        </w:rPr>
        <w:t xml:space="preserve"> </w:t>
      </w:r>
      <w:r w:rsidR="00412957" w:rsidRPr="00B830BB">
        <w:rPr>
          <w:rFonts w:cs="Arial"/>
          <w:szCs w:val="22"/>
          <w:lang w:val="hr-HR"/>
        </w:rPr>
        <w:t>prešao okvire dopuštenosti jer</w:t>
      </w:r>
      <w:r w:rsidR="008676A7" w:rsidRPr="00B830BB">
        <w:rPr>
          <w:rFonts w:cs="Arial"/>
          <w:szCs w:val="22"/>
          <w:lang w:val="hr-HR"/>
        </w:rPr>
        <w:t xml:space="preserve"> </w:t>
      </w:r>
      <w:r w:rsidR="00412957" w:rsidRPr="00B830BB">
        <w:rPr>
          <w:rFonts w:cs="Arial"/>
          <w:szCs w:val="22"/>
          <w:lang w:val="hr-HR"/>
        </w:rPr>
        <w:t xml:space="preserve">tamo gdje </w:t>
      </w:r>
      <w:r w:rsidRPr="00B830BB">
        <w:rPr>
          <w:rFonts w:cs="Arial"/>
          <w:szCs w:val="22"/>
          <w:lang w:val="hr-HR"/>
        </w:rPr>
        <w:t>zabranjeni g</w:t>
      </w:r>
      <w:r w:rsidR="00412957" w:rsidRPr="00B830BB">
        <w:rPr>
          <w:rFonts w:cs="Arial"/>
          <w:szCs w:val="22"/>
          <w:lang w:val="hr-HR"/>
        </w:rPr>
        <w:t>ovor mržnje</w:t>
      </w:r>
      <w:r w:rsidRPr="00B830BB">
        <w:rPr>
          <w:rFonts w:cs="Arial"/>
          <w:szCs w:val="22"/>
          <w:lang w:val="hr-HR"/>
        </w:rPr>
        <w:t xml:space="preserve"> počinje</w:t>
      </w:r>
      <w:r w:rsidR="00412957" w:rsidRPr="00B830BB">
        <w:rPr>
          <w:rFonts w:cs="Arial"/>
          <w:szCs w:val="22"/>
          <w:lang w:val="hr-HR"/>
        </w:rPr>
        <w:t>, tu sloboda izražavanja prestaje.</w:t>
      </w:r>
    </w:p>
    <w:p w:rsidR="007D5FFE" w:rsidRPr="00B830BB" w:rsidRDefault="007D5FFE" w:rsidP="00412957">
      <w:pPr>
        <w:spacing w:line="360" w:lineRule="auto"/>
        <w:ind w:firstLine="708"/>
        <w:jc w:val="both"/>
        <w:rPr>
          <w:rFonts w:cs="Arial"/>
          <w:szCs w:val="22"/>
          <w:lang w:val="hr-HR"/>
        </w:rPr>
      </w:pPr>
    </w:p>
    <w:p w:rsidR="00523F74" w:rsidRPr="00B830BB" w:rsidRDefault="00D31A84" w:rsidP="00523F74">
      <w:pPr>
        <w:pStyle w:val="Heading3"/>
      </w:pPr>
      <w:bookmarkStart w:id="22" w:name="_Toc386285771"/>
      <w:bookmarkStart w:id="23" w:name="_Toc386498302"/>
      <w:bookmarkStart w:id="24" w:name="_Toc386563047"/>
      <w:bookmarkStart w:id="25" w:name="_Toc386567209"/>
      <w:bookmarkStart w:id="26" w:name="_Toc386619601"/>
      <w:r w:rsidRPr="00B830BB">
        <w:t>Polemika – treba li kriminalizirati govor mržnje</w:t>
      </w:r>
      <w:bookmarkEnd w:id="22"/>
      <w:bookmarkEnd w:id="23"/>
      <w:bookmarkEnd w:id="24"/>
      <w:bookmarkEnd w:id="25"/>
      <w:bookmarkEnd w:id="26"/>
      <w:r w:rsidRPr="00B830BB">
        <w:t xml:space="preserve"> </w:t>
      </w:r>
    </w:p>
    <w:p w:rsidR="00523F74" w:rsidRPr="00B830BB" w:rsidRDefault="00523F74" w:rsidP="00523F74">
      <w:pPr>
        <w:pStyle w:val="Heading2"/>
        <w:numPr>
          <w:ilvl w:val="0"/>
          <w:numId w:val="0"/>
        </w:numPr>
        <w:ind w:left="576"/>
        <w:rPr>
          <w:rFonts w:cs="Arial"/>
        </w:rPr>
      </w:pPr>
    </w:p>
    <w:p w:rsidR="00523F74" w:rsidRPr="00B830BB" w:rsidRDefault="008A3D36" w:rsidP="00523F74">
      <w:pPr>
        <w:spacing w:line="360" w:lineRule="auto"/>
        <w:ind w:firstLine="576"/>
        <w:jc w:val="both"/>
        <w:rPr>
          <w:rFonts w:cs="Arial"/>
          <w:szCs w:val="22"/>
          <w:lang w:val="hr-HR"/>
        </w:rPr>
      </w:pPr>
      <w:r w:rsidRPr="00B830BB">
        <w:rPr>
          <w:rFonts w:cs="Arial"/>
          <w:szCs w:val="22"/>
          <w:lang w:val="hr-HR"/>
        </w:rPr>
        <w:t xml:space="preserve">Citat Voltairea iz uvoda najbolje opisuje glavno pitanje o kojem se polemizira(lo) pri </w:t>
      </w:r>
      <w:r w:rsidR="004B5C52">
        <w:rPr>
          <w:rFonts w:cs="Arial"/>
          <w:szCs w:val="22"/>
          <w:lang w:val="hr-HR"/>
        </w:rPr>
        <w:t>postavljanju mogućih ograničenja</w:t>
      </w:r>
      <w:r w:rsidRPr="00B830BB">
        <w:rPr>
          <w:rFonts w:cs="Arial"/>
          <w:szCs w:val="22"/>
          <w:lang w:val="hr-HR"/>
        </w:rPr>
        <w:t xml:space="preserve"> prava na izražavanje. Treba </w:t>
      </w:r>
      <w:r w:rsidR="00523F74" w:rsidRPr="00B830BB">
        <w:rPr>
          <w:rFonts w:cs="Arial"/>
          <w:szCs w:val="22"/>
          <w:lang w:val="hr-HR"/>
        </w:rPr>
        <w:t xml:space="preserve">li govor mržnje biti kriminaliziran? Ako da, treba li </w:t>
      </w:r>
      <w:r w:rsidR="00523F74" w:rsidRPr="00B830BB">
        <w:rPr>
          <w:rFonts w:cs="Arial"/>
          <w:i/>
          <w:szCs w:val="22"/>
          <w:lang w:val="hr-HR"/>
        </w:rPr>
        <w:t>svaki</w:t>
      </w:r>
      <w:r w:rsidR="00523F74" w:rsidRPr="00B830BB">
        <w:rPr>
          <w:rFonts w:cs="Arial"/>
          <w:szCs w:val="22"/>
          <w:lang w:val="hr-HR"/>
        </w:rPr>
        <w:t xml:space="preserve"> govor mržnje </w:t>
      </w:r>
      <w:r w:rsidR="00A5602F" w:rsidRPr="00B830BB">
        <w:rPr>
          <w:rFonts w:cs="Arial"/>
          <w:szCs w:val="22"/>
          <w:lang w:val="hr-HR"/>
        </w:rPr>
        <w:t xml:space="preserve"> biti </w:t>
      </w:r>
      <w:r w:rsidR="00523F74" w:rsidRPr="00B830BB">
        <w:rPr>
          <w:rFonts w:cs="Arial"/>
          <w:szCs w:val="22"/>
          <w:lang w:val="hr-HR"/>
        </w:rPr>
        <w:t xml:space="preserve">kriminaliziran, a time i nezakonit? </w:t>
      </w:r>
      <w:r w:rsidR="0086311E" w:rsidRPr="00B830BB">
        <w:rPr>
          <w:rFonts w:cs="Arial"/>
          <w:szCs w:val="22"/>
          <w:lang w:val="hr-HR"/>
        </w:rPr>
        <w:t>Za potrebe ovog rada dat ćemo kratak  prikaz dva diskursa razmišljanja.</w:t>
      </w:r>
      <w:r w:rsidR="00FB4126">
        <w:rPr>
          <w:rStyle w:val="FootnoteReference"/>
          <w:rFonts w:cs="Arial"/>
          <w:szCs w:val="22"/>
          <w:lang w:val="hr-HR"/>
        </w:rPr>
        <w:footnoteReference w:id="11"/>
      </w:r>
    </w:p>
    <w:p w:rsidR="00523F74" w:rsidRPr="00B830BB" w:rsidRDefault="00523F74" w:rsidP="0086311E">
      <w:pPr>
        <w:spacing w:line="360" w:lineRule="auto"/>
        <w:ind w:firstLine="576"/>
        <w:jc w:val="both"/>
        <w:rPr>
          <w:rFonts w:cs="Arial"/>
          <w:szCs w:val="22"/>
          <w:lang w:val="hr-HR"/>
        </w:rPr>
      </w:pPr>
      <w:r w:rsidRPr="00B830BB">
        <w:rPr>
          <w:rFonts w:cs="Arial"/>
          <w:szCs w:val="22"/>
          <w:lang w:val="hr-HR"/>
        </w:rPr>
        <w:t>Protivnici kriminalizacije navode kako</w:t>
      </w:r>
      <w:r w:rsidR="003302AB" w:rsidRPr="00B830BB">
        <w:rPr>
          <w:rFonts w:cs="Arial"/>
          <w:szCs w:val="22"/>
          <w:lang w:val="hr-HR"/>
        </w:rPr>
        <w:t>,</w:t>
      </w:r>
      <w:r w:rsidRPr="00B830BB">
        <w:rPr>
          <w:rFonts w:cs="Arial"/>
          <w:szCs w:val="22"/>
          <w:lang w:val="hr-HR"/>
        </w:rPr>
        <w:t xml:space="preserve"> </w:t>
      </w:r>
      <w:r w:rsidR="00CA0F9C" w:rsidRPr="00B830BB">
        <w:rPr>
          <w:rFonts w:cs="Arial"/>
          <w:szCs w:val="22"/>
          <w:lang w:val="hr-HR"/>
        </w:rPr>
        <w:t xml:space="preserve">kada je </w:t>
      </w:r>
      <w:r w:rsidRPr="00B830BB">
        <w:rPr>
          <w:rFonts w:cs="Arial"/>
          <w:szCs w:val="22"/>
          <w:lang w:val="hr-HR"/>
        </w:rPr>
        <w:t xml:space="preserve">riječ o pravu na izražavanje, </w:t>
      </w:r>
      <w:r w:rsidR="003302AB" w:rsidRPr="00B830BB">
        <w:rPr>
          <w:rFonts w:cs="Arial"/>
          <w:szCs w:val="22"/>
          <w:lang w:val="hr-HR"/>
        </w:rPr>
        <w:t>ograničenja</w:t>
      </w:r>
      <w:r w:rsidRPr="00B830BB">
        <w:rPr>
          <w:rFonts w:cs="Arial"/>
          <w:szCs w:val="22"/>
          <w:lang w:val="hr-HR"/>
        </w:rPr>
        <w:t xml:space="preserve"> ne bi </w:t>
      </w:r>
      <w:r w:rsidR="003302AB" w:rsidRPr="00B830BB">
        <w:rPr>
          <w:rFonts w:cs="Arial"/>
          <w:szCs w:val="22"/>
          <w:lang w:val="hr-HR"/>
        </w:rPr>
        <w:t>ni trebala postojati</w:t>
      </w:r>
      <w:r w:rsidRPr="00B830BB">
        <w:rPr>
          <w:rFonts w:cs="Arial"/>
          <w:szCs w:val="22"/>
          <w:lang w:val="hr-HR"/>
        </w:rPr>
        <w:t xml:space="preserve"> budući da se njime prvenstveno verbalizira nečije mišljenje. Nije moguće, a i moralno je upitno, ograničavati pravo na određeni način razmišljanja. Također, ukoliko se radi samo o verbaliziranoj misli, a koja nije imala ozbiljnije reperkusije, postavlja </w:t>
      </w:r>
      <w:r w:rsidRPr="00B830BB">
        <w:rPr>
          <w:rFonts w:cs="Arial"/>
          <w:szCs w:val="22"/>
          <w:lang w:val="hr-HR"/>
        </w:rPr>
        <w:lastRenderedPageBreak/>
        <w:t xml:space="preserve">se i pitanje oportunosti provođenja postupka, imajući na umu sentencu koja je i danas iznimno bitna, </w:t>
      </w:r>
      <w:r w:rsidRPr="00B830BB">
        <w:rPr>
          <w:rFonts w:cs="Arial"/>
          <w:i/>
          <w:szCs w:val="22"/>
          <w:lang w:val="hr-HR"/>
        </w:rPr>
        <w:t>de minimis non curat praetor</w:t>
      </w:r>
      <w:r w:rsidRPr="00B830BB">
        <w:rPr>
          <w:rFonts w:cs="Arial"/>
          <w:szCs w:val="22"/>
          <w:lang w:val="hr-HR"/>
        </w:rPr>
        <w:t xml:space="preserve">. </w:t>
      </w:r>
    </w:p>
    <w:p w:rsidR="00523F74" w:rsidRPr="00B830BB" w:rsidRDefault="00523F74" w:rsidP="0086311E">
      <w:pPr>
        <w:spacing w:line="360" w:lineRule="auto"/>
        <w:ind w:firstLine="576"/>
        <w:jc w:val="both"/>
        <w:rPr>
          <w:rFonts w:cs="Arial"/>
          <w:szCs w:val="22"/>
          <w:lang w:val="hr-HR"/>
        </w:rPr>
      </w:pPr>
      <w:r w:rsidRPr="00B830BB">
        <w:rPr>
          <w:rFonts w:cs="Arial"/>
          <w:szCs w:val="22"/>
          <w:lang w:val="hr-HR"/>
        </w:rPr>
        <w:t xml:space="preserve">Druga struja koja sudjeluje u raspravi zastupa stav da se govor mržnje treba kriminalizirati, </w:t>
      </w:r>
      <w:r w:rsidR="00F80E2F" w:rsidRPr="00B830BB">
        <w:rPr>
          <w:rFonts w:cs="Arial"/>
          <w:szCs w:val="22"/>
          <w:lang w:val="hr-HR"/>
        </w:rPr>
        <w:t xml:space="preserve">s </w:t>
      </w:r>
      <w:r w:rsidRPr="00B830BB">
        <w:rPr>
          <w:rFonts w:cs="Arial"/>
          <w:szCs w:val="22"/>
          <w:lang w:val="hr-HR"/>
        </w:rPr>
        <w:t xml:space="preserve">čime se </w:t>
      </w:r>
      <w:r w:rsidR="00F80E2F" w:rsidRPr="00B830BB">
        <w:rPr>
          <w:rFonts w:cs="Arial"/>
          <w:szCs w:val="22"/>
          <w:lang w:val="hr-HR"/>
        </w:rPr>
        <w:t xml:space="preserve">složio </w:t>
      </w:r>
      <w:r w:rsidRPr="00B830BB">
        <w:rPr>
          <w:rFonts w:cs="Arial"/>
          <w:szCs w:val="22"/>
          <w:lang w:val="hr-HR"/>
        </w:rPr>
        <w:t>i naš zakonodavac. Logika argumenata proizlazi iz premis</w:t>
      </w:r>
      <w:r w:rsidR="004B6A72">
        <w:rPr>
          <w:rFonts w:cs="Arial"/>
          <w:szCs w:val="22"/>
          <w:lang w:val="hr-HR"/>
        </w:rPr>
        <w:t>e</w:t>
      </w:r>
      <w:r w:rsidRPr="00B830BB">
        <w:rPr>
          <w:rFonts w:cs="Arial"/>
          <w:szCs w:val="22"/>
          <w:lang w:val="hr-HR"/>
        </w:rPr>
        <w:t xml:space="preserve"> kako životne </w:t>
      </w:r>
      <w:r w:rsidR="00F80E2F" w:rsidRPr="00B830BB">
        <w:rPr>
          <w:rFonts w:cs="Arial"/>
          <w:szCs w:val="22"/>
          <w:lang w:val="hr-HR"/>
        </w:rPr>
        <w:t xml:space="preserve">konzekvence </w:t>
      </w:r>
      <w:r w:rsidRPr="00B830BB">
        <w:rPr>
          <w:rFonts w:cs="Arial"/>
          <w:szCs w:val="22"/>
          <w:lang w:val="hr-HR"/>
        </w:rPr>
        <w:t xml:space="preserve">koje </w:t>
      </w:r>
      <w:r w:rsidR="006E4C4B" w:rsidRPr="00B830BB">
        <w:rPr>
          <w:rFonts w:cs="Arial"/>
          <w:szCs w:val="22"/>
          <w:lang w:val="hr-HR"/>
        </w:rPr>
        <w:t xml:space="preserve">takav govor može prouzrokovati mogu biti izrazito teške. Osim toga, iza nas je i Domovinski rat, a još uvijek se puno resursa ulaže u pomirbu, s naročitom pažnjom na manjine. </w:t>
      </w:r>
    </w:p>
    <w:p w:rsidR="007903CB" w:rsidRPr="00B830BB" w:rsidRDefault="00D010DC" w:rsidP="007903CB">
      <w:pPr>
        <w:spacing w:line="360" w:lineRule="auto"/>
        <w:ind w:firstLine="576"/>
        <w:jc w:val="both"/>
        <w:rPr>
          <w:rFonts w:cs="Arial"/>
          <w:szCs w:val="22"/>
          <w:lang w:val="hr-HR"/>
        </w:rPr>
      </w:pPr>
      <w:r w:rsidRPr="00B830BB">
        <w:rPr>
          <w:rFonts w:cs="Arial"/>
          <w:szCs w:val="22"/>
          <w:lang w:val="hr-HR"/>
        </w:rPr>
        <w:t xml:space="preserve">Potrebno je napomenuti kako </w:t>
      </w:r>
      <w:r w:rsidR="00C362B7" w:rsidRPr="00B830BB">
        <w:rPr>
          <w:rFonts w:cs="Arial"/>
          <w:szCs w:val="22"/>
          <w:lang w:val="hr-HR"/>
        </w:rPr>
        <w:t>se usko s kriminalizacijom govora mržnje veže i provedba takvih zakona. Tako je</w:t>
      </w:r>
      <w:r w:rsidRPr="00B830BB">
        <w:rPr>
          <w:rFonts w:cs="Arial"/>
          <w:szCs w:val="22"/>
          <w:lang w:val="hr-HR"/>
        </w:rPr>
        <w:t xml:space="preserve"> UN-ov posebni izvjestitelj za promoviranje i zaštitu prava na slobodu mišljenja i izražavanja, Frank La Rue, u svibnju 2011. godine u svojem izvještaju </w:t>
      </w:r>
      <w:r w:rsidR="00A4079B" w:rsidRPr="00B830BB">
        <w:rPr>
          <w:rFonts w:cs="Arial"/>
          <w:szCs w:val="22"/>
          <w:lang w:val="hr-HR"/>
        </w:rPr>
        <w:t xml:space="preserve"> izrazio zabrinutost o primjenjivanju zakona kojima se kriminaliziraju određeni oblici izražavanja.</w:t>
      </w:r>
      <w:r w:rsidR="00E342A9">
        <w:rPr>
          <w:rStyle w:val="FootnoteReference"/>
          <w:rFonts w:cs="Arial"/>
          <w:szCs w:val="22"/>
          <w:lang w:val="hr-HR"/>
        </w:rPr>
        <w:footnoteReference w:id="12"/>
      </w:r>
      <w:r w:rsidR="00A4079B" w:rsidRPr="00B830BB">
        <w:rPr>
          <w:rFonts w:cs="Arial"/>
          <w:szCs w:val="22"/>
          <w:lang w:val="hr-HR"/>
        </w:rPr>
        <w:t xml:space="preserve"> U praksi</w:t>
      </w:r>
      <w:r w:rsidR="00AC6915">
        <w:rPr>
          <w:rFonts w:cs="Arial"/>
          <w:szCs w:val="22"/>
          <w:lang w:val="hr-HR"/>
        </w:rPr>
        <w:t>,</w:t>
      </w:r>
      <w:r w:rsidR="00A4079B" w:rsidRPr="00B830BB">
        <w:rPr>
          <w:rFonts w:cs="Arial"/>
          <w:szCs w:val="22"/>
          <w:lang w:val="hr-HR"/>
        </w:rPr>
        <w:t xml:space="preserve"> često se zabranjivanje određenog </w:t>
      </w:r>
      <w:r w:rsidR="00A4079B" w:rsidRPr="00B16B0B">
        <w:rPr>
          <w:rFonts w:cs="Arial"/>
          <w:i/>
          <w:szCs w:val="22"/>
          <w:lang w:val="hr-HR"/>
        </w:rPr>
        <w:t xml:space="preserve">online </w:t>
      </w:r>
      <w:r w:rsidR="00A4079B" w:rsidRPr="00B830BB">
        <w:rPr>
          <w:rFonts w:cs="Arial"/>
          <w:szCs w:val="22"/>
          <w:lang w:val="hr-HR"/>
        </w:rPr>
        <w:t>govora kriminalizira kroz već postojeće kaznene zakone ili se donose novi koji su isključivo usmjereni na kri</w:t>
      </w:r>
      <w:r w:rsidR="006C4E3E">
        <w:rPr>
          <w:rFonts w:cs="Arial"/>
          <w:szCs w:val="22"/>
          <w:lang w:val="hr-HR"/>
        </w:rPr>
        <w:t>minalizaciju</w:t>
      </w:r>
      <w:r w:rsidR="00A4079B" w:rsidRPr="00B830BB">
        <w:rPr>
          <w:rFonts w:cs="Arial"/>
          <w:szCs w:val="22"/>
          <w:lang w:val="hr-HR"/>
        </w:rPr>
        <w:t xml:space="preserve"> izražavanja na internetu. Izvjestitelj tvrdi da, iako se takvi zakoni temelje na zaštiti reputacije pojedinca, nacionalne sigurnosti ili borbe protiv terorizma, pri njihovoj primjeni oni </w:t>
      </w:r>
      <w:r w:rsidR="00CE7998" w:rsidRPr="00B830BB">
        <w:rPr>
          <w:rFonts w:cs="Arial"/>
          <w:szCs w:val="22"/>
          <w:lang w:val="hr-HR"/>
        </w:rPr>
        <w:t>se zapravo koriste u svrhu cenzure</w:t>
      </w:r>
      <w:r w:rsidR="00A4079B" w:rsidRPr="00B830BB">
        <w:rPr>
          <w:rFonts w:cs="Arial"/>
          <w:szCs w:val="22"/>
          <w:lang w:val="hr-HR"/>
        </w:rPr>
        <w:t xml:space="preserve"> sadržaja s </w:t>
      </w:r>
      <w:r w:rsidR="00565FEC">
        <w:rPr>
          <w:rFonts w:cs="Arial"/>
          <w:szCs w:val="22"/>
          <w:lang w:val="hr-HR"/>
        </w:rPr>
        <w:t>koji</w:t>
      </w:r>
      <w:r w:rsidR="00A4079B" w:rsidRPr="00B830BB">
        <w:rPr>
          <w:rFonts w:cs="Arial"/>
          <w:szCs w:val="22"/>
          <w:lang w:val="hr-HR"/>
        </w:rPr>
        <w:t>m</w:t>
      </w:r>
      <w:r w:rsidR="00565FEC">
        <w:rPr>
          <w:rFonts w:cs="Arial"/>
          <w:szCs w:val="22"/>
          <w:lang w:val="hr-HR"/>
        </w:rPr>
        <w:t>a</w:t>
      </w:r>
      <w:r w:rsidR="00A4079B" w:rsidRPr="00B830BB">
        <w:rPr>
          <w:rFonts w:cs="Arial"/>
          <w:szCs w:val="22"/>
          <w:lang w:val="hr-HR"/>
        </w:rPr>
        <w:t xml:space="preserve"> se vlade tih država ili druga moćna državna tijela ne slažu.</w:t>
      </w:r>
      <w:r w:rsidR="00A4079B" w:rsidRPr="00B830BB">
        <w:rPr>
          <w:rStyle w:val="FootnoteReference"/>
          <w:rFonts w:cs="Arial"/>
          <w:szCs w:val="22"/>
          <w:lang w:val="hr-HR"/>
        </w:rPr>
        <w:footnoteReference w:id="13"/>
      </w:r>
      <w:r w:rsidR="00A4079B" w:rsidRPr="00B830BB">
        <w:rPr>
          <w:rFonts w:cs="Arial"/>
          <w:szCs w:val="22"/>
          <w:lang w:val="hr-HR"/>
        </w:rPr>
        <w:t xml:space="preserve"> </w:t>
      </w:r>
      <w:r w:rsidR="007903CB">
        <w:rPr>
          <w:rFonts w:cs="Arial"/>
          <w:szCs w:val="22"/>
          <w:lang w:val="hr-HR"/>
        </w:rPr>
        <w:t>Ta</w:t>
      </w:r>
      <w:r w:rsidR="002E7478">
        <w:rPr>
          <w:rFonts w:cs="Arial"/>
          <w:szCs w:val="22"/>
          <w:lang w:val="hr-HR"/>
        </w:rPr>
        <w:t>k</w:t>
      </w:r>
      <w:r w:rsidR="007903CB">
        <w:rPr>
          <w:rFonts w:cs="Arial"/>
          <w:szCs w:val="22"/>
          <w:lang w:val="hr-HR"/>
        </w:rPr>
        <w:t>vo a</w:t>
      </w:r>
      <w:r w:rsidR="007903CB" w:rsidRPr="00B830BB">
        <w:rPr>
          <w:rFonts w:cs="Arial"/>
          <w:szCs w:val="22"/>
          <w:lang w:val="hr-HR"/>
        </w:rPr>
        <w:t xml:space="preserve">rbitrarno odlučivanje kojim se legitiman govor kriminalizira i uklanja, dovodi ne samo </w:t>
      </w:r>
      <w:r w:rsidR="007903CB">
        <w:rPr>
          <w:rFonts w:cs="Arial"/>
          <w:szCs w:val="22"/>
          <w:lang w:val="hr-HR"/>
        </w:rPr>
        <w:t xml:space="preserve">tzv. </w:t>
      </w:r>
      <w:r w:rsidR="007903CB" w:rsidRPr="00B830BB">
        <w:rPr>
          <w:rFonts w:cs="Arial"/>
          <w:i/>
          <w:szCs w:val="22"/>
          <w:lang w:val="hr-HR"/>
        </w:rPr>
        <w:t xml:space="preserve">chilling </w:t>
      </w:r>
      <w:r w:rsidR="000E20E8">
        <w:rPr>
          <w:rFonts w:cs="Arial"/>
          <w:i/>
          <w:szCs w:val="22"/>
          <w:lang w:val="hr-HR"/>
        </w:rPr>
        <w:t>efekt</w:t>
      </w:r>
      <w:r w:rsidR="007903CB">
        <w:rPr>
          <w:i/>
          <w:lang w:val="hr-HR"/>
        </w:rPr>
        <w:t xml:space="preserve"> </w:t>
      </w:r>
      <w:r w:rsidR="007903CB" w:rsidRPr="00B830BB">
        <w:rPr>
          <w:rFonts w:cs="Arial"/>
          <w:szCs w:val="22"/>
          <w:lang w:val="hr-HR"/>
        </w:rPr>
        <w:t xml:space="preserve">nego i do kršenja drugih ljudskih prava. </w:t>
      </w:r>
    </w:p>
    <w:p w:rsidR="002E7478" w:rsidRDefault="002E7478" w:rsidP="00C40D2A">
      <w:pPr>
        <w:spacing w:line="360" w:lineRule="auto"/>
        <w:ind w:firstLine="578"/>
        <w:jc w:val="both"/>
        <w:rPr>
          <w:rFonts w:cs="Arial"/>
          <w:szCs w:val="22"/>
          <w:lang w:val="hr-HR"/>
        </w:rPr>
      </w:pPr>
      <w:r>
        <w:rPr>
          <w:rFonts w:cs="Arial"/>
          <w:szCs w:val="22"/>
          <w:lang w:val="hr-HR"/>
        </w:rPr>
        <w:t>Ukratko ćemo se osvrnuti na</w:t>
      </w:r>
      <w:r w:rsidRPr="00B830BB">
        <w:rPr>
          <w:rFonts w:cs="Arial"/>
          <w:szCs w:val="22"/>
          <w:lang w:val="hr-HR"/>
        </w:rPr>
        <w:t xml:space="preserve"> </w:t>
      </w:r>
      <w:r w:rsidRPr="00B830BB">
        <w:rPr>
          <w:rFonts w:cs="Arial"/>
          <w:i/>
          <w:szCs w:val="22"/>
          <w:lang w:val="hr-HR"/>
        </w:rPr>
        <w:t>chilling e</w:t>
      </w:r>
      <w:r w:rsidR="000E20E8">
        <w:rPr>
          <w:rFonts w:cs="Arial"/>
          <w:i/>
          <w:szCs w:val="22"/>
          <w:lang w:val="hr-HR"/>
        </w:rPr>
        <w:t>fekt</w:t>
      </w:r>
      <w:r>
        <w:rPr>
          <w:rFonts w:cs="Arial"/>
          <w:szCs w:val="22"/>
          <w:lang w:val="hr-HR"/>
        </w:rPr>
        <w:t xml:space="preserve">. Doktrina tog efekta razvila se u SAD-u, a u Europi ju je usvojio Europski sud za ljudska prava, koji </w:t>
      </w:r>
      <w:r w:rsidR="00B16B0B">
        <w:rPr>
          <w:rFonts w:cs="Arial"/>
          <w:szCs w:val="22"/>
          <w:lang w:val="hr-HR"/>
        </w:rPr>
        <w:t xml:space="preserve">ga je </w:t>
      </w:r>
      <w:r>
        <w:rPr>
          <w:rFonts w:cs="Arial"/>
          <w:szCs w:val="22"/>
          <w:lang w:val="hr-HR"/>
        </w:rPr>
        <w:t xml:space="preserve">prvi put spomenuo u presudi </w:t>
      </w:r>
      <w:r w:rsidRPr="00F0031B">
        <w:rPr>
          <w:rFonts w:cs="Arial"/>
          <w:i/>
          <w:szCs w:val="22"/>
          <w:lang w:val="hr-HR"/>
        </w:rPr>
        <w:t xml:space="preserve">Goodwin protiv Ujedinjenog </w:t>
      </w:r>
      <w:r w:rsidR="000E20E8">
        <w:rPr>
          <w:rFonts w:cs="Arial"/>
          <w:i/>
          <w:szCs w:val="22"/>
          <w:lang w:val="hr-HR"/>
        </w:rPr>
        <w:t>K</w:t>
      </w:r>
      <w:r w:rsidRPr="00F0031B">
        <w:rPr>
          <w:rFonts w:cs="Arial"/>
          <w:i/>
          <w:szCs w:val="22"/>
          <w:lang w:val="hr-HR"/>
        </w:rPr>
        <w:t>raljevstva</w:t>
      </w:r>
      <w:r>
        <w:rPr>
          <w:rFonts w:cs="Arial"/>
          <w:i/>
          <w:szCs w:val="22"/>
          <w:lang w:val="hr-HR"/>
        </w:rPr>
        <w:t>.</w:t>
      </w:r>
      <w:r>
        <w:rPr>
          <w:rStyle w:val="FootnoteReference"/>
          <w:rFonts w:cs="Arial"/>
          <w:szCs w:val="22"/>
          <w:lang w:val="hr-HR"/>
        </w:rPr>
        <w:footnoteReference w:id="14"/>
      </w:r>
      <w:r w:rsidR="00B16B0B">
        <w:rPr>
          <w:rFonts w:cs="Arial"/>
          <w:i/>
          <w:szCs w:val="22"/>
          <w:lang w:val="hr-HR"/>
        </w:rPr>
        <w:t xml:space="preserve"> </w:t>
      </w:r>
      <w:r>
        <w:rPr>
          <w:rFonts w:cs="Arial"/>
          <w:szCs w:val="22"/>
          <w:lang w:val="hr-HR"/>
        </w:rPr>
        <w:t xml:space="preserve">Do </w:t>
      </w:r>
      <w:r>
        <w:rPr>
          <w:rFonts w:cs="Arial"/>
          <w:i/>
          <w:szCs w:val="22"/>
          <w:lang w:val="hr-HR"/>
        </w:rPr>
        <w:t>c</w:t>
      </w:r>
      <w:r w:rsidRPr="002A462B">
        <w:rPr>
          <w:rFonts w:cs="Arial"/>
          <w:i/>
          <w:szCs w:val="22"/>
          <w:lang w:val="hr-HR"/>
        </w:rPr>
        <w:t>hilling ef</w:t>
      </w:r>
      <w:r w:rsidR="000E20E8">
        <w:rPr>
          <w:rFonts w:cs="Arial"/>
          <w:i/>
          <w:szCs w:val="22"/>
          <w:lang w:val="hr-HR"/>
        </w:rPr>
        <w:t>ekta</w:t>
      </w:r>
      <w:r>
        <w:rPr>
          <w:rFonts w:cs="Arial"/>
          <w:szCs w:val="22"/>
          <w:lang w:val="hr-HR"/>
        </w:rPr>
        <w:t xml:space="preserve"> dolazi kada </w:t>
      </w:r>
      <w:r w:rsidR="009E73ED">
        <w:rPr>
          <w:rFonts w:cs="Arial"/>
          <w:szCs w:val="22"/>
          <w:lang w:val="hr-HR"/>
        </w:rPr>
        <w:t xml:space="preserve">se </w:t>
      </w:r>
      <w:r>
        <w:rPr>
          <w:rFonts w:cs="Arial"/>
          <w:szCs w:val="22"/>
          <w:lang w:val="hr-HR"/>
        </w:rPr>
        <w:t xml:space="preserve">zbog toga što postoje sankcije, čak i one blage, osobe uzdržavaju od </w:t>
      </w:r>
      <w:r w:rsidR="00B85BAA">
        <w:rPr>
          <w:rFonts w:cs="Arial"/>
          <w:szCs w:val="22"/>
          <w:lang w:val="hr-HR"/>
        </w:rPr>
        <w:t>namjeravanog</w:t>
      </w:r>
      <w:r>
        <w:rPr>
          <w:rFonts w:cs="Arial"/>
          <w:szCs w:val="22"/>
          <w:lang w:val="hr-HR"/>
        </w:rPr>
        <w:t xml:space="preserve"> prakticiranja prava na izražavanje zbog straha od sankcija.</w:t>
      </w:r>
      <w:r>
        <w:rPr>
          <w:rStyle w:val="FootnoteReference"/>
          <w:rFonts w:cs="Arial"/>
          <w:szCs w:val="22"/>
          <w:lang w:val="hr-HR"/>
        </w:rPr>
        <w:footnoteReference w:id="15"/>
      </w:r>
      <w:r>
        <w:rPr>
          <w:rFonts w:cs="Arial"/>
          <w:szCs w:val="22"/>
          <w:lang w:val="hr-HR"/>
        </w:rPr>
        <w:t xml:space="preserve"> Do njega najčešće dolazi u pravnim sustavima u </w:t>
      </w:r>
      <w:r>
        <w:rPr>
          <w:rFonts w:cs="Arial"/>
          <w:szCs w:val="22"/>
          <w:lang w:val="hr-HR"/>
        </w:rPr>
        <w:lastRenderedPageBreak/>
        <w:t>koj</w:t>
      </w:r>
      <w:r w:rsidR="00C40D2A">
        <w:rPr>
          <w:rFonts w:cs="Arial"/>
          <w:szCs w:val="22"/>
          <w:lang w:val="hr-HR"/>
        </w:rPr>
        <w:t>ima</w:t>
      </w:r>
      <w:r>
        <w:rPr>
          <w:rFonts w:cs="Arial"/>
          <w:szCs w:val="22"/>
          <w:lang w:val="hr-HR"/>
        </w:rPr>
        <w:t xml:space="preserve"> je pravo na izražavanje striktno regulirano </w:t>
      </w:r>
      <w:r w:rsidR="000C00C1">
        <w:rPr>
          <w:rFonts w:cs="Arial"/>
          <w:szCs w:val="22"/>
          <w:lang w:val="hr-HR"/>
        </w:rPr>
        <w:t xml:space="preserve">znatno </w:t>
      </w:r>
      <w:r>
        <w:rPr>
          <w:rFonts w:cs="Arial"/>
          <w:szCs w:val="22"/>
          <w:lang w:val="hr-HR"/>
        </w:rPr>
        <w:t>sužavajući opseg zaštićenog govora. Prema nekim autorima</w:t>
      </w:r>
      <w:r w:rsidR="000D7580">
        <w:rPr>
          <w:rFonts w:cs="Arial"/>
          <w:szCs w:val="22"/>
          <w:lang w:val="hr-HR"/>
        </w:rPr>
        <w:t>,</w:t>
      </w:r>
      <w:r>
        <w:rPr>
          <w:rFonts w:cs="Arial"/>
          <w:szCs w:val="22"/>
          <w:lang w:val="hr-HR"/>
        </w:rPr>
        <w:t xml:space="preserve"> aplikacija te doktrine u praksi Europskog suda</w:t>
      </w:r>
      <w:r w:rsidR="00C75584">
        <w:rPr>
          <w:rFonts w:cs="Arial"/>
          <w:szCs w:val="22"/>
          <w:lang w:val="hr-HR"/>
        </w:rPr>
        <w:t xml:space="preserve"> za ljudska prava</w:t>
      </w:r>
      <w:r>
        <w:rPr>
          <w:rFonts w:cs="Arial"/>
          <w:szCs w:val="22"/>
          <w:lang w:val="hr-HR"/>
        </w:rPr>
        <w:t>, svjedoči o važnosti koju taj Sud pridaje pravu na izražavanje.</w:t>
      </w:r>
      <w:r>
        <w:rPr>
          <w:rStyle w:val="FootnoteReference"/>
          <w:rFonts w:cs="Arial"/>
          <w:szCs w:val="22"/>
          <w:lang w:val="hr-HR"/>
        </w:rPr>
        <w:footnoteReference w:id="16"/>
      </w:r>
      <w:r>
        <w:rPr>
          <w:rFonts w:cs="Arial"/>
          <w:szCs w:val="22"/>
          <w:lang w:val="hr-HR"/>
        </w:rPr>
        <w:t xml:space="preserve"> </w:t>
      </w:r>
    </w:p>
    <w:p w:rsidR="002E7478" w:rsidRPr="002A462B" w:rsidRDefault="002E7478" w:rsidP="00C40D2A">
      <w:pPr>
        <w:spacing w:line="360" w:lineRule="auto"/>
        <w:ind w:firstLine="578"/>
        <w:jc w:val="both"/>
        <w:rPr>
          <w:rFonts w:cs="Arial"/>
          <w:szCs w:val="22"/>
          <w:lang w:val="hr-HR"/>
        </w:rPr>
      </w:pPr>
      <w:r>
        <w:rPr>
          <w:rFonts w:cs="Arial"/>
          <w:szCs w:val="22"/>
          <w:lang w:val="hr-HR"/>
        </w:rPr>
        <w:t xml:space="preserve">Već iz ovog kratkog prikaza vidljivo je kako pitanje kriminalizacije </w:t>
      </w:r>
      <w:r w:rsidR="000D7580">
        <w:rPr>
          <w:rFonts w:cs="Arial"/>
          <w:szCs w:val="22"/>
          <w:lang w:val="hr-HR"/>
        </w:rPr>
        <w:t xml:space="preserve">postavlja mnoge izazove </w:t>
      </w:r>
      <w:r w:rsidR="00C868F0">
        <w:rPr>
          <w:rFonts w:cs="Arial"/>
          <w:szCs w:val="22"/>
          <w:lang w:val="hr-HR"/>
        </w:rPr>
        <w:t>te kak</w:t>
      </w:r>
      <w:r>
        <w:rPr>
          <w:rFonts w:cs="Arial"/>
          <w:szCs w:val="22"/>
          <w:lang w:val="hr-HR"/>
        </w:rPr>
        <w:t>o su brojne stručne diskusije itekako potrebne. Trenutno se u europskim krugovima najviše zastupa stav kriminalizacije govora mržnje sa striktnijim uređenjem na način da se balansira između prava na izražavanje te drugih. Značajan korektiv ponašanja nacionalnih vlasti predstavlja Europski sud</w:t>
      </w:r>
      <w:r w:rsidR="00C75584">
        <w:rPr>
          <w:rFonts w:cs="Arial"/>
          <w:szCs w:val="22"/>
          <w:lang w:val="hr-HR"/>
        </w:rPr>
        <w:t xml:space="preserve"> za ljudska prava</w:t>
      </w:r>
      <w:r>
        <w:rPr>
          <w:rFonts w:cs="Arial"/>
          <w:szCs w:val="22"/>
          <w:lang w:val="hr-HR"/>
        </w:rPr>
        <w:t xml:space="preserve">, o čijoj će praksi više riječi biti kasnije (vidi </w:t>
      </w:r>
      <w:r w:rsidRPr="007E12DD">
        <w:rPr>
          <w:rFonts w:cs="Arial"/>
          <w:i/>
          <w:szCs w:val="22"/>
          <w:lang w:val="hr-HR"/>
        </w:rPr>
        <w:t>infra ad.</w:t>
      </w:r>
      <w:r>
        <w:rPr>
          <w:rFonts w:cs="Arial"/>
          <w:szCs w:val="22"/>
          <w:lang w:val="hr-HR"/>
        </w:rPr>
        <w:t xml:space="preserve"> </w:t>
      </w:r>
      <w:r w:rsidR="007E12DD" w:rsidRPr="00C5479D">
        <w:rPr>
          <w:rFonts w:cs="Arial"/>
          <w:szCs w:val="22"/>
          <w:lang w:val="hr-HR"/>
        </w:rPr>
        <w:t>7.</w:t>
      </w:r>
      <w:r w:rsidR="00C5479D" w:rsidRPr="00C5479D">
        <w:rPr>
          <w:rFonts w:cs="Arial"/>
          <w:szCs w:val="22"/>
          <w:lang w:val="hr-HR"/>
        </w:rPr>
        <w:t>1</w:t>
      </w:r>
      <w:r w:rsidR="007E12DD">
        <w:rPr>
          <w:rFonts w:cs="Arial"/>
          <w:szCs w:val="22"/>
          <w:lang w:val="hr-HR"/>
        </w:rPr>
        <w:t>).</w:t>
      </w:r>
    </w:p>
    <w:p w:rsidR="00F0031B" w:rsidRDefault="00F0031B" w:rsidP="00A4079B">
      <w:pPr>
        <w:spacing w:line="360" w:lineRule="auto"/>
        <w:ind w:firstLine="576"/>
        <w:jc w:val="both"/>
        <w:rPr>
          <w:rFonts w:cs="Arial"/>
          <w:szCs w:val="22"/>
          <w:lang w:val="hr-HR"/>
        </w:rPr>
      </w:pPr>
    </w:p>
    <w:p w:rsidR="00987883" w:rsidRPr="00B830BB" w:rsidRDefault="00987883" w:rsidP="00FF628F">
      <w:pPr>
        <w:pStyle w:val="Heading2"/>
        <w:spacing w:after="240"/>
        <w:rPr>
          <w:rFonts w:cs="Arial"/>
        </w:rPr>
      </w:pPr>
      <w:bookmarkStart w:id="27" w:name="_Toc386285772"/>
      <w:bookmarkStart w:id="28" w:name="_Toc386498303"/>
      <w:bookmarkStart w:id="29" w:name="_Toc386563048"/>
      <w:bookmarkStart w:id="30" w:name="_Toc386567210"/>
      <w:bookmarkStart w:id="31" w:name="_Toc386619602"/>
      <w:r w:rsidRPr="00B830BB">
        <w:rPr>
          <w:rFonts w:cs="Arial"/>
        </w:rPr>
        <w:t>Definicija g</w:t>
      </w:r>
      <w:r w:rsidR="00CA1A3B" w:rsidRPr="00B830BB">
        <w:rPr>
          <w:rFonts w:cs="Arial"/>
        </w:rPr>
        <w:t>ovor</w:t>
      </w:r>
      <w:r w:rsidRPr="00B830BB">
        <w:rPr>
          <w:rFonts w:cs="Arial"/>
        </w:rPr>
        <w:t>a</w:t>
      </w:r>
      <w:r w:rsidR="00CA1A3B" w:rsidRPr="00B830BB">
        <w:rPr>
          <w:rFonts w:cs="Arial"/>
        </w:rPr>
        <w:t xml:space="preserve"> mržnje</w:t>
      </w:r>
      <w:bookmarkEnd w:id="27"/>
      <w:bookmarkEnd w:id="28"/>
      <w:bookmarkEnd w:id="29"/>
      <w:bookmarkEnd w:id="30"/>
      <w:bookmarkEnd w:id="31"/>
      <w:r w:rsidR="00CA1A3B" w:rsidRPr="00B830BB">
        <w:rPr>
          <w:rFonts w:cs="Arial"/>
        </w:rPr>
        <w:t xml:space="preserve"> </w:t>
      </w:r>
    </w:p>
    <w:p w:rsidR="008A3D36" w:rsidRPr="00B830BB" w:rsidRDefault="008A3D36" w:rsidP="008A3D36">
      <w:pPr>
        <w:spacing w:line="360" w:lineRule="auto"/>
        <w:ind w:firstLine="576"/>
        <w:jc w:val="both"/>
        <w:rPr>
          <w:rFonts w:cs="Arial"/>
          <w:szCs w:val="22"/>
          <w:lang w:val="hr-HR"/>
        </w:rPr>
      </w:pPr>
      <w:r w:rsidRPr="00B830BB">
        <w:rPr>
          <w:rFonts w:cs="Arial"/>
          <w:szCs w:val="22"/>
          <w:lang w:val="hr-HR"/>
        </w:rPr>
        <w:t>Paralelno uz debate o kriminaliziranju govora mržnje, debata se vodi i o mogućoj definiciji. Što znači i koje pojavnosti treba supsumirati pod pojam govor</w:t>
      </w:r>
      <w:r w:rsidR="005441B7" w:rsidRPr="00B830BB">
        <w:rPr>
          <w:rFonts w:cs="Arial"/>
          <w:szCs w:val="22"/>
          <w:lang w:val="hr-HR"/>
        </w:rPr>
        <w:t>a</w:t>
      </w:r>
      <w:r w:rsidRPr="00B830BB">
        <w:rPr>
          <w:rFonts w:cs="Arial"/>
          <w:szCs w:val="22"/>
          <w:lang w:val="hr-HR"/>
        </w:rPr>
        <w:t xml:space="preserve"> mržnje? </w:t>
      </w:r>
    </w:p>
    <w:p w:rsidR="00A500E3" w:rsidRDefault="009916F8" w:rsidP="00987883">
      <w:pPr>
        <w:spacing w:line="360" w:lineRule="auto"/>
        <w:ind w:firstLine="576"/>
        <w:jc w:val="both"/>
        <w:rPr>
          <w:rFonts w:cs="Arial"/>
          <w:szCs w:val="22"/>
          <w:lang w:val="hr-HR"/>
        </w:rPr>
      </w:pPr>
      <w:r>
        <w:rPr>
          <w:rFonts w:cs="Arial"/>
          <w:szCs w:val="22"/>
          <w:lang w:val="hr-HR"/>
        </w:rPr>
        <w:t xml:space="preserve">Engleski je pisac Samuel Johnson rekao kako je </w:t>
      </w:r>
      <w:r w:rsidR="00A542A2">
        <w:rPr>
          <w:rFonts w:cs="Arial"/>
          <w:szCs w:val="22"/>
          <w:lang w:val="hr-HR"/>
        </w:rPr>
        <w:t xml:space="preserve">jezik odjeća misli. </w:t>
      </w:r>
      <w:r w:rsidR="00F95B66" w:rsidRPr="00B830BB">
        <w:rPr>
          <w:rFonts w:cs="Arial"/>
          <w:szCs w:val="22"/>
          <w:lang w:val="hr-HR"/>
        </w:rPr>
        <w:t xml:space="preserve">Govor mržnje </w:t>
      </w:r>
      <w:r w:rsidR="00AB1774">
        <w:rPr>
          <w:rFonts w:cs="Arial"/>
          <w:szCs w:val="22"/>
          <w:lang w:val="hr-HR"/>
        </w:rPr>
        <w:t xml:space="preserve">bi </w:t>
      </w:r>
      <w:r w:rsidR="00F95B66" w:rsidRPr="00B830BB">
        <w:rPr>
          <w:rFonts w:cs="Arial"/>
          <w:szCs w:val="22"/>
          <w:lang w:val="hr-HR"/>
        </w:rPr>
        <w:t xml:space="preserve">u svojoj srži </w:t>
      </w:r>
      <w:r w:rsidR="004B5C52">
        <w:rPr>
          <w:rFonts w:cs="Arial"/>
          <w:szCs w:val="22"/>
          <w:lang w:val="hr-HR"/>
        </w:rPr>
        <w:t>bi</w:t>
      </w:r>
      <w:r w:rsidR="00AB1774">
        <w:rPr>
          <w:rFonts w:cs="Arial"/>
          <w:szCs w:val="22"/>
          <w:lang w:val="hr-HR"/>
        </w:rPr>
        <w:t>o</w:t>
      </w:r>
      <w:r w:rsidR="00F95B66" w:rsidRPr="00B830BB">
        <w:rPr>
          <w:rFonts w:cs="Arial"/>
          <w:szCs w:val="22"/>
          <w:lang w:val="hr-HR"/>
        </w:rPr>
        <w:t xml:space="preserve"> izgovoreno ili napisano materijalno oživotvorenje ideje dis</w:t>
      </w:r>
      <w:r w:rsidR="00A5602F" w:rsidRPr="00B830BB">
        <w:rPr>
          <w:rFonts w:cs="Arial"/>
          <w:szCs w:val="22"/>
          <w:lang w:val="hr-HR"/>
        </w:rPr>
        <w:t>kriminacije. Uvijek je usmjeren</w:t>
      </w:r>
      <w:r w:rsidR="00F95B66" w:rsidRPr="00B830BB">
        <w:rPr>
          <w:rFonts w:cs="Arial"/>
          <w:szCs w:val="22"/>
          <w:lang w:val="hr-HR"/>
        </w:rPr>
        <w:t xml:space="preserve"> k ranjivim društvenim skupinama. Međutim, k</w:t>
      </w:r>
      <w:r w:rsidR="00A500E3" w:rsidRPr="00B830BB">
        <w:rPr>
          <w:rFonts w:cs="Arial"/>
          <w:szCs w:val="22"/>
          <w:lang w:val="hr-HR"/>
        </w:rPr>
        <w:t>on</w:t>
      </w:r>
      <w:r w:rsidR="00C63A9B" w:rsidRPr="00B830BB">
        <w:rPr>
          <w:rFonts w:cs="Arial"/>
          <w:szCs w:val="22"/>
          <w:lang w:val="hr-HR"/>
        </w:rPr>
        <w:t>s</w:t>
      </w:r>
      <w:r w:rsidR="00A500E3" w:rsidRPr="00B830BB">
        <w:rPr>
          <w:rFonts w:cs="Arial"/>
          <w:szCs w:val="22"/>
          <w:lang w:val="hr-HR"/>
        </w:rPr>
        <w:t>enzus o općeprihvaćenoj ili upotrebljavanoj definiciji govora mržnje nije postignut kako u najvišim zakonodavnim krugovima, tako nit</w:t>
      </w:r>
      <w:r w:rsidR="002B2F4D" w:rsidRPr="00B830BB">
        <w:rPr>
          <w:rFonts w:cs="Arial"/>
          <w:szCs w:val="22"/>
          <w:lang w:val="hr-HR"/>
        </w:rPr>
        <w:t>i unutar pravne znanosti. Postav</w:t>
      </w:r>
      <w:r w:rsidR="00C63A9B" w:rsidRPr="00B830BB">
        <w:rPr>
          <w:rFonts w:cs="Arial"/>
          <w:szCs w:val="22"/>
          <w:lang w:val="hr-HR"/>
        </w:rPr>
        <w:t>iti</w:t>
      </w:r>
      <w:r w:rsidR="002B2F4D" w:rsidRPr="00B830BB">
        <w:rPr>
          <w:rFonts w:cs="Arial"/>
          <w:szCs w:val="22"/>
          <w:lang w:val="hr-HR"/>
        </w:rPr>
        <w:t xml:space="preserve"> </w:t>
      </w:r>
      <w:r w:rsidR="00C77095" w:rsidRPr="00B830BB">
        <w:rPr>
          <w:rFonts w:cs="Arial"/>
          <w:szCs w:val="22"/>
          <w:lang w:val="hr-HR"/>
        </w:rPr>
        <w:t>definiciju</w:t>
      </w:r>
      <w:r w:rsidR="002B2F4D" w:rsidRPr="00B830BB">
        <w:rPr>
          <w:rFonts w:cs="Arial"/>
          <w:szCs w:val="22"/>
          <w:lang w:val="hr-HR"/>
        </w:rPr>
        <w:t xml:space="preserve"> znači unaprijed odrediti krug oblika govora pod koji će</w:t>
      </w:r>
      <w:r w:rsidR="00C63A9B" w:rsidRPr="00B830BB">
        <w:rPr>
          <w:rFonts w:cs="Arial"/>
          <w:szCs w:val="22"/>
          <w:lang w:val="hr-HR"/>
        </w:rPr>
        <w:t xml:space="preserve"> pod nju</w:t>
      </w:r>
      <w:r w:rsidR="002B2F4D" w:rsidRPr="00B830BB">
        <w:rPr>
          <w:rFonts w:cs="Arial"/>
          <w:szCs w:val="22"/>
          <w:lang w:val="hr-HR"/>
        </w:rPr>
        <w:t xml:space="preserve"> potpadati, a time i ograničiti </w:t>
      </w:r>
      <w:r w:rsidR="00BD4F8A">
        <w:rPr>
          <w:rFonts w:cs="Arial"/>
          <w:szCs w:val="22"/>
          <w:lang w:val="hr-HR"/>
        </w:rPr>
        <w:t xml:space="preserve">njen </w:t>
      </w:r>
      <w:r w:rsidR="002B2F4D" w:rsidRPr="00B830BB">
        <w:rPr>
          <w:rFonts w:cs="Arial"/>
          <w:szCs w:val="22"/>
          <w:lang w:val="hr-HR"/>
        </w:rPr>
        <w:t>opseg. Za govor mržnje postoji uvriježeno mišljenje kako bismo ga svi</w:t>
      </w:r>
      <w:r w:rsidR="00274BB0" w:rsidRPr="00B830BB">
        <w:rPr>
          <w:rFonts w:cs="Arial"/>
          <w:szCs w:val="22"/>
          <w:lang w:val="hr-HR"/>
        </w:rPr>
        <w:t xml:space="preserve"> znali prepoznati kada bismo </w:t>
      </w:r>
      <w:r w:rsidR="006F6229" w:rsidRPr="00B830BB">
        <w:rPr>
          <w:rFonts w:cs="Arial"/>
          <w:szCs w:val="22"/>
          <w:lang w:val="hr-HR"/>
        </w:rPr>
        <w:t xml:space="preserve">mu svjedočili, no </w:t>
      </w:r>
      <w:r w:rsidR="002B2F4D" w:rsidRPr="00B830BB">
        <w:rPr>
          <w:rFonts w:cs="Arial"/>
          <w:szCs w:val="22"/>
          <w:lang w:val="hr-HR"/>
        </w:rPr>
        <w:t xml:space="preserve">unatoč tome, pokušaju definiranja rijetko tko je na cjeloviti, holistički </w:t>
      </w:r>
      <w:r w:rsidR="00C63A9B" w:rsidRPr="00B830BB">
        <w:rPr>
          <w:rFonts w:cs="Arial"/>
          <w:szCs w:val="22"/>
          <w:lang w:val="hr-HR"/>
        </w:rPr>
        <w:t xml:space="preserve">način </w:t>
      </w:r>
      <w:r w:rsidR="002B2F4D" w:rsidRPr="00B830BB">
        <w:rPr>
          <w:rFonts w:cs="Arial"/>
          <w:szCs w:val="22"/>
          <w:lang w:val="hr-HR"/>
        </w:rPr>
        <w:t xml:space="preserve">pristupio. </w:t>
      </w:r>
      <w:r w:rsidR="00842D8A" w:rsidRPr="00B830BB">
        <w:rPr>
          <w:rFonts w:cs="Arial"/>
          <w:szCs w:val="22"/>
          <w:lang w:val="hr-HR"/>
        </w:rPr>
        <w:t xml:space="preserve">Štoviše, čak i Europski sud </w:t>
      </w:r>
      <w:r w:rsidR="004B5C52">
        <w:rPr>
          <w:rFonts w:cs="Arial"/>
          <w:szCs w:val="22"/>
          <w:lang w:val="hr-HR"/>
        </w:rPr>
        <w:t xml:space="preserve">za ljudska prava </w:t>
      </w:r>
      <w:r w:rsidR="00842D8A" w:rsidRPr="00B830BB">
        <w:rPr>
          <w:rFonts w:cs="Arial"/>
          <w:szCs w:val="22"/>
          <w:lang w:val="hr-HR"/>
        </w:rPr>
        <w:t xml:space="preserve">koji redovito koristi taj termin nikada </w:t>
      </w:r>
      <w:r w:rsidR="007C661F">
        <w:rPr>
          <w:rFonts w:cs="Arial"/>
          <w:szCs w:val="22"/>
          <w:lang w:val="hr-HR"/>
        </w:rPr>
        <w:t xml:space="preserve">ga </w:t>
      </w:r>
      <w:r w:rsidR="00842D8A" w:rsidRPr="00B830BB">
        <w:rPr>
          <w:rFonts w:cs="Arial"/>
          <w:szCs w:val="22"/>
          <w:lang w:val="hr-HR"/>
        </w:rPr>
        <w:t>ne definira ili obrazlaže</w:t>
      </w:r>
      <w:r w:rsidR="00974A46" w:rsidRPr="00B830BB">
        <w:rPr>
          <w:rFonts w:cs="Arial"/>
          <w:szCs w:val="22"/>
          <w:lang w:val="hr-HR"/>
        </w:rPr>
        <w:t xml:space="preserve">, </w:t>
      </w:r>
      <w:r w:rsidR="007C661F">
        <w:rPr>
          <w:rFonts w:cs="Arial"/>
          <w:szCs w:val="22"/>
          <w:lang w:val="hr-HR"/>
        </w:rPr>
        <w:t>već</w:t>
      </w:r>
      <w:r w:rsidR="00974A46" w:rsidRPr="00B830BB">
        <w:rPr>
          <w:rFonts w:cs="Arial"/>
          <w:szCs w:val="22"/>
          <w:lang w:val="hr-HR"/>
        </w:rPr>
        <w:t xml:space="preserve"> ga smatra autonomnim pojmom koji ne veže za (potencijalnu) definiciju nacionalnog zakonodavstva.</w:t>
      </w:r>
      <w:r w:rsidR="00842D8A" w:rsidRPr="00B830BB">
        <w:rPr>
          <w:rStyle w:val="FootnoteReference"/>
          <w:rFonts w:cs="Arial"/>
          <w:szCs w:val="22"/>
          <w:lang w:val="hr-HR"/>
        </w:rPr>
        <w:footnoteReference w:id="17"/>
      </w:r>
      <w:r w:rsidR="00842D8A" w:rsidRPr="00B830BB">
        <w:rPr>
          <w:rFonts w:cs="Arial"/>
          <w:szCs w:val="22"/>
          <w:lang w:val="hr-HR"/>
        </w:rPr>
        <w:t xml:space="preserve"> </w:t>
      </w:r>
    </w:p>
    <w:p w:rsidR="004D09A9" w:rsidRDefault="004D09A9" w:rsidP="00987883">
      <w:pPr>
        <w:spacing w:line="360" w:lineRule="auto"/>
        <w:ind w:firstLine="576"/>
        <w:jc w:val="both"/>
        <w:rPr>
          <w:rFonts w:cs="Arial"/>
          <w:szCs w:val="22"/>
          <w:lang w:val="hr-HR"/>
        </w:rPr>
      </w:pPr>
    </w:p>
    <w:p w:rsidR="004D09A9" w:rsidRDefault="004D09A9" w:rsidP="00987883">
      <w:pPr>
        <w:spacing w:line="360" w:lineRule="auto"/>
        <w:ind w:firstLine="576"/>
        <w:jc w:val="both"/>
        <w:rPr>
          <w:rFonts w:cs="Arial"/>
          <w:szCs w:val="22"/>
          <w:lang w:val="hr-HR"/>
        </w:rPr>
      </w:pPr>
    </w:p>
    <w:p w:rsidR="004D09A9" w:rsidRDefault="004D09A9" w:rsidP="00987883">
      <w:pPr>
        <w:spacing w:line="360" w:lineRule="auto"/>
        <w:ind w:firstLine="576"/>
        <w:jc w:val="both"/>
        <w:rPr>
          <w:rFonts w:cs="Arial"/>
          <w:szCs w:val="22"/>
          <w:lang w:val="hr-HR"/>
        </w:rPr>
      </w:pPr>
    </w:p>
    <w:p w:rsidR="004D09A9" w:rsidRDefault="004D09A9" w:rsidP="00987883">
      <w:pPr>
        <w:spacing w:line="360" w:lineRule="auto"/>
        <w:ind w:firstLine="576"/>
        <w:jc w:val="both"/>
        <w:rPr>
          <w:rFonts w:cs="Arial"/>
          <w:szCs w:val="22"/>
          <w:lang w:val="hr-HR"/>
        </w:rPr>
      </w:pPr>
    </w:p>
    <w:p w:rsidR="004D09A9" w:rsidRDefault="004D09A9" w:rsidP="00987883">
      <w:pPr>
        <w:spacing w:line="360" w:lineRule="auto"/>
        <w:ind w:firstLine="576"/>
        <w:jc w:val="both"/>
        <w:rPr>
          <w:rFonts w:cs="Arial"/>
          <w:szCs w:val="22"/>
          <w:lang w:val="hr-HR"/>
        </w:rPr>
      </w:pPr>
    </w:p>
    <w:p w:rsidR="004D09A9" w:rsidRDefault="004D09A9" w:rsidP="00987883">
      <w:pPr>
        <w:spacing w:line="360" w:lineRule="auto"/>
        <w:ind w:firstLine="576"/>
        <w:jc w:val="both"/>
        <w:rPr>
          <w:rFonts w:cs="Arial"/>
          <w:szCs w:val="22"/>
          <w:lang w:val="hr-HR"/>
        </w:rPr>
      </w:pPr>
    </w:p>
    <w:p w:rsidR="004D09A9" w:rsidRPr="00B830BB" w:rsidRDefault="004D09A9" w:rsidP="00987883">
      <w:pPr>
        <w:spacing w:line="360" w:lineRule="auto"/>
        <w:ind w:firstLine="576"/>
        <w:jc w:val="both"/>
        <w:rPr>
          <w:rFonts w:cs="Arial"/>
          <w:szCs w:val="22"/>
          <w:lang w:val="hr-HR"/>
        </w:rPr>
      </w:pPr>
    </w:p>
    <w:p w:rsidR="00342406" w:rsidRPr="00B830BB" w:rsidRDefault="00342406" w:rsidP="00987883">
      <w:pPr>
        <w:spacing w:line="360" w:lineRule="auto"/>
        <w:ind w:firstLine="576"/>
        <w:jc w:val="both"/>
        <w:rPr>
          <w:rFonts w:cs="Arial"/>
          <w:szCs w:val="22"/>
          <w:lang w:val="hr-HR"/>
        </w:rPr>
      </w:pPr>
    </w:p>
    <w:p w:rsidR="00342406" w:rsidRPr="00B830BB" w:rsidRDefault="00342406" w:rsidP="00342406">
      <w:pPr>
        <w:pStyle w:val="Heading1"/>
        <w:rPr>
          <w:rFonts w:cs="Arial"/>
          <w:lang w:val="hr-HR"/>
        </w:rPr>
      </w:pPr>
      <w:bookmarkStart w:id="32" w:name="_Toc386285773"/>
      <w:bookmarkStart w:id="33" w:name="_Toc386498304"/>
      <w:bookmarkStart w:id="34" w:name="_Toc386563049"/>
      <w:bookmarkStart w:id="35" w:name="_Toc386567211"/>
      <w:bookmarkStart w:id="36" w:name="_Toc386619603"/>
      <w:r w:rsidRPr="00B830BB">
        <w:rPr>
          <w:rFonts w:cs="Arial"/>
          <w:lang w:val="hr-HR"/>
        </w:rPr>
        <w:lastRenderedPageBreak/>
        <w:t>Međunarodni pravni okvir</w:t>
      </w:r>
      <w:bookmarkEnd w:id="32"/>
      <w:bookmarkEnd w:id="33"/>
      <w:bookmarkEnd w:id="34"/>
      <w:bookmarkEnd w:id="35"/>
      <w:bookmarkEnd w:id="36"/>
      <w:r w:rsidRPr="00B830BB">
        <w:rPr>
          <w:rFonts w:cs="Arial"/>
          <w:lang w:val="hr-HR"/>
        </w:rPr>
        <w:t xml:space="preserve"> </w:t>
      </w:r>
    </w:p>
    <w:p w:rsidR="00342406" w:rsidRPr="00B830BB" w:rsidRDefault="00342406" w:rsidP="00342406">
      <w:pPr>
        <w:pStyle w:val="Heading1"/>
        <w:numPr>
          <w:ilvl w:val="0"/>
          <w:numId w:val="0"/>
        </w:numPr>
        <w:ind w:left="432"/>
        <w:rPr>
          <w:rFonts w:cs="Arial"/>
          <w:lang w:val="hr-HR"/>
        </w:rPr>
      </w:pPr>
    </w:p>
    <w:p w:rsidR="00C91A49" w:rsidRPr="00B830BB" w:rsidRDefault="00C91A49" w:rsidP="00342406">
      <w:pPr>
        <w:pStyle w:val="Heading2"/>
        <w:rPr>
          <w:rFonts w:cs="Arial"/>
        </w:rPr>
      </w:pPr>
      <w:bookmarkStart w:id="37" w:name="_Toc386285774"/>
      <w:bookmarkStart w:id="38" w:name="_Toc386498305"/>
      <w:bookmarkStart w:id="39" w:name="_Toc386563050"/>
      <w:bookmarkStart w:id="40" w:name="_Toc386567212"/>
      <w:bookmarkStart w:id="41" w:name="_Toc386619604"/>
      <w:r w:rsidRPr="00B830BB">
        <w:rPr>
          <w:rFonts w:cs="Arial"/>
        </w:rPr>
        <w:t>Ujedinjeni narodi</w:t>
      </w:r>
      <w:bookmarkEnd w:id="37"/>
      <w:bookmarkEnd w:id="38"/>
      <w:bookmarkEnd w:id="39"/>
      <w:bookmarkEnd w:id="40"/>
      <w:bookmarkEnd w:id="41"/>
    </w:p>
    <w:p w:rsidR="00C91A49" w:rsidRPr="00B830BB" w:rsidRDefault="00C91A49" w:rsidP="00342406">
      <w:pPr>
        <w:pStyle w:val="Heading3"/>
      </w:pPr>
      <w:bookmarkStart w:id="42" w:name="_Toc386285775"/>
      <w:bookmarkStart w:id="43" w:name="_Toc386498306"/>
      <w:bookmarkStart w:id="44" w:name="_Toc386563051"/>
      <w:bookmarkStart w:id="45" w:name="_Toc386567213"/>
      <w:bookmarkStart w:id="46" w:name="_Toc386619605"/>
      <w:r w:rsidRPr="00B830BB">
        <w:t xml:space="preserve">Opća deklaracija o </w:t>
      </w:r>
      <w:r w:rsidR="008F0DC9" w:rsidRPr="00B830BB">
        <w:t xml:space="preserve">ljudskim </w:t>
      </w:r>
      <w:r w:rsidRPr="00B830BB">
        <w:t>pravima</w:t>
      </w:r>
      <w:bookmarkEnd w:id="42"/>
      <w:bookmarkEnd w:id="43"/>
      <w:bookmarkEnd w:id="44"/>
      <w:bookmarkEnd w:id="45"/>
      <w:bookmarkEnd w:id="46"/>
      <w:r w:rsidRPr="00B830BB">
        <w:t xml:space="preserve"> </w:t>
      </w:r>
    </w:p>
    <w:p w:rsidR="00C91A49" w:rsidRPr="00B830BB" w:rsidRDefault="00C91A49" w:rsidP="00C91A49">
      <w:pPr>
        <w:rPr>
          <w:rFonts w:cs="Arial"/>
          <w:lang w:val="hr-HR"/>
        </w:rPr>
      </w:pPr>
    </w:p>
    <w:p w:rsidR="00E342A9" w:rsidRDefault="006E5D66" w:rsidP="00240029">
      <w:pPr>
        <w:spacing w:line="360" w:lineRule="auto"/>
        <w:ind w:firstLine="576"/>
        <w:jc w:val="both"/>
        <w:rPr>
          <w:rFonts w:cs="Arial"/>
          <w:szCs w:val="22"/>
          <w:lang w:val="hr-HR"/>
        </w:rPr>
      </w:pPr>
      <w:r w:rsidRPr="00B830BB">
        <w:rPr>
          <w:rFonts w:cs="Arial"/>
          <w:szCs w:val="22"/>
          <w:lang w:val="hr-HR"/>
        </w:rPr>
        <w:t>Opća deklaracija o pravima čovjeka</w:t>
      </w:r>
      <w:r w:rsidR="007E2C58" w:rsidRPr="00B830BB">
        <w:rPr>
          <w:rStyle w:val="FootnoteReference"/>
        </w:rPr>
        <w:footnoteReference w:id="18"/>
      </w:r>
      <w:r w:rsidRPr="00B830BB">
        <w:rPr>
          <w:rFonts w:cs="Arial"/>
          <w:szCs w:val="22"/>
          <w:lang w:val="hr-HR"/>
        </w:rPr>
        <w:t xml:space="preserve"> je</w:t>
      </w:r>
      <w:r w:rsidR="00B9648D">
        <w:rPr>
          <w:rFonts w:cs="Arial"/>
          <w:szCs w:val="22"/>
          <w:lang w:val="hr-HR"/>
        </w:rPr>
        <w:t xml:space="preserve">dan je od temeljnih dokumenata </w:t>
      </w:r>
      <w:r w:rsidRPr="00B830BB">
        <w:rPr>
          <w:rFonts w:cs="Arial"/>
          <w:szCs w:val="22"/>
          <w:lang w:val="hr-HR"/>
        </w:rPr>
        <w:t xml:space="preserve">kojima se razvijala zaštita ljudskih prava. </w:t>
      </w:r>
      <w:r w:rsidR="00253891" w:rsidRPr="00B830BB">
        <w:rPr>
          <w:rFonts w:cs="Arial"/>
          <w:szCs w:val="22"/>
          <w:lang w:val="hr-HR"/>
        </w:rPr>
        <w:t xml:space="preserve">Člankom 19. </w:t>
      </w:r>
      <w:r w:rsidR="00FE2B34" w:rsidRPr="00B830BB">
        <w:rPr>
          <w:rFonts w:cs="Arial"/>
          <w:szCs w:val="22"/>
          <w:lang w:val="hr-HR"/>
        </w:rPr>
        <w:t>D</w:t>
      </w:r>
      <w:r w:rsidR="00253891" w:rsidRPr="00B830BB">
        <w:rPr>
          <w:rFonts w:cs="Arial"/>
          <w:szCs w:val="22"/>
          <w:lang w:val="hr-HR"/>
        </w:rPr>
        <w:t>eklaracije proklamira se sloboda izražavanja, a on glasi „Svatko ima pravo na slobodu mišljenja i izražavanja. To pravo obuhvaća slobodu zadržavanja mišljenja bez vanjskih pritisaka te slobodu traženja, primanja i širenja informacija i ideja putem bilo kojeg sredstva javnog priopćavanja i bez obzira na granice.“</w:t>
      </w:r>
      <w:r w:rsidR="00FE2B34" w:rsidRPr="00B830BB">
        <w:rPr>
          <w:rFonts w:cs="Arial"/>
          <w:szCs w:val="22"/>
          <w:lang w:val="hr-HR"/>
        </w:rPr>
        <w:t xml:space="preserve"> </w:t>
      </w:r>
    </w:p>
    <w:p w:rsidR="006E5D66" w:rsidRPr="00B830BB" w:rsidRDefault="00240029" w:rsidP="00240029">
      <w:pPr>
        <w:spacing w:line="360" w:lineRule="auto"/>
        <w:ind w:firstLine="576"/>
        <w:jc w:val="both"/>
        <w:rPr>
          <w:rFonts w:cs="Arial"/>
          <w:szCs w:val="22"/>
          <w:lang w:val="hr-HR"/>
        </w:rPr>
      </w:pPr>
      <w:r w:rsidRPr="00B830BB">
        <w:rPr>
          <w:rFonts w:cs="Arial"/>
          <w:szCs w:val="22"/>
          <w:lang w:val="hr-HR"/>
        </w:rPr>
        <w:t>Jed</w:t>
      </w:r>
      <w:r w:rsidR="00652239">
        <w:rPr>
          <w:rFonts w:cs="Arial"/>
          <w:szCs w:val="22"/>
          <w:lang w:val="hr-HR"/>
        </w:rPr>
        <w:t>n</w:t>
      </w:r>
      <w:r w:rsidR="004B5C52">
        <w:rPr>
          <w:rFonts w:cs="Arial"/>
          <w:szCs w:val="22"/>
          <w:lang w:val="hr-HR"/>
        </w:rPr>
        <w:t>ako tako, čl. 7. st. 2. jamči</w:t>
      </w:r>
      <w:r w:rsidRPr="00B830BB">
        <w:rPr>
          <w:rFonts w:cs="Arial"/>
          <w:szCs w:val="22"/>
          <w:lang w:val="hr-HR"/>
        </w:rPr>
        <w:t xml:space="preserve"> svima pravo na jednaku zaštitu od bilo kakve diskriminacije kojom se krši Deklaracija, kao i pravo na zaštitu od svakog poticanja na takvu diskriminaciju.</w:t>
      </w:r>
      <w:r w:rsidR="00652239">
        <w:rPr>
          <w:rFonts w:cs="Arial"/>
          <w:szCs w:val="22"/>
          <w:lang w:val="hr-HR"/>
        </w:rPr>
        <w:t xml:space="preserve"> </w:t>
      </w:r>
      <w:r w:rsidR="007C661F">
        <w:rPr>
          <w:rFonts w:cs="Arial"/>
          <w:szCs w:val="22"/>
          <w:lang w:val="hr-HR"/>
        </w:rPr>
        <w:t>Tumačene</w:t>
      </w:r>
      <w:r w:rsidR="007C661F" w:rsidRPr="00B830BB">
        <w:rPr>
          <w:rFonts w:cs="Arial"/>
          <w:szCs w:val="22"/>
          <w:lang w:val="hr-HR"/>
        </w:rPr>
        <w:t xml:space="preserve"> u skladu sa suvremenim društvenim kretanjima, navede</w:t>
      </w:r>
      <w:r w:rsidR="007C661F">
        <w:rPr>
          <w:rFonts w:cs="Arial"/>
          <w:szCs w:val="22"/>
          <w:lang w:val="hr-HR"/>
        </w:rPr>
        <w:t>ne odredbe</w:t>
      </w:r>
      <w:r w:rsidR="007C661F" w:rsidRPr="00B830BB">
        <w:rPr>
          <w:rFonts w:cs="Arial"/>
          <w:szCs w:val="22"/>
          <w:lang w:val="hr-HR"/>
        </w:rPr>
        <w:t xml:space="preserve"> svakako </w:t>
      </w:r>
      <w:r w:rsidR="007C661F">
        <w:rPr>
          <w:rFonts w:cs="Arial"/>
          <w:szCs w:val="22"/>
          <w:lang w:val="hr-HR"/>
        </w:rPr>
        <w:t>su primjenjive i na odnose i prava u digitalnom svijetu</w:t>
      </w:r>
      <w:r w:rsidR="007C661F" w:rsidRPr="00B830BB">
        <w:rPr>
          <w:rFonts w:cs="Arial"/>
          <w:szCs w:val="22"/>
          <w:lang w:val="hr-HR"/>
        </w:rPr>
        <w:t>.</w:t>
      </w:r>
    </w:p>
    <w:p w:rsidR="00833013" w:rsidRPr="00B830BB" w:rsidRDefault="00833013" w:rsidP="00833013">
      <w:pPr>
        <w:spacing w:line="360" w:lineRule="auto"/>
        <w:ind w:firstLine="576"/>
        <w:jc w:val="both"/>
        <w:rPr>
          <w:rFonts w:cs="Arial"/>
          <w:szCs w:val="22"/>
          <w:lang w:val="hr-HR"/>
        </w:rPr>
      </w:pPr>
    </w:p>
    <w:p w:rsidR="005F74E0" w:rsidRPr="00B830BB" w:rsidRDefault="005F74E0" w:rsidP="005B3B2C">
      <w:pPr>
        <w:pStyle w:val="Heading3"/>
        <w:spacing w:after="240"/>
        <w:rPr>
          <w:lang w:val="en-US"/>
        </w:rPr>
      </w:pPr>
      <w:bookmarkStart w:id="47" w:name="_Toc386285776"/>
      <w:bookmarkStart w:id="48" w:name="_Toc386498307"/>
      <w:bookmarkStart w:id="49" w:name="_Toc386563052"/>
      <w:bookmarkStart w:id="50" w:name="_Toc386567214"/>
      <w:bookmarkStart w:id="51" w:name="_Toc386619606"/>
      <w:r w:rsidRPr="00B830BB">
        <w:rPr>
          <w:lang w:val="en-US"/>
        </w:rPr>
        <w:t>Međunarodni pakt o građanskim i političkim pravima</w:t>
      </w:r>
      <w:bookmarkEnd w:id="47"/>
      <w:bookmarkEnd w:id="48"/>
      <w:bookmarkEnd w:id="49"/>
      <w:bookmarkEnd w:id="50"/>
      <w:bookmarkEnd w:id="51"/>
    </w:p>
    <w:p w:rsidR="00A5602F" w:rsidRDefault="005F74E0" w:rsidP="00E342A9">
      <w:pPr>
        <w:spacing w:line="360" w:lineRule="auto"/>
        <w:ind w:firstLine="708"/>
        <w:jc w:val="both"/>
        <w:rPr>
          <w:rFonts w:cs="Arial"/>
          <w:szCs w:val="22"/>
          <w:lang w:val="hr-HR"/>
        </w:rPr>
      </w:pPr>
      <w:r w:rsidRPr="00B830BB">
        <w:rPr>
          <w:rFonts w:cs="Arial"/>
          <w:szCs w:val="22"/>
          <w:lang w:val="hr-HR"/>
        </w:rPr>
        <w:t>Međunarodni pakt o građanskim i političkim pravima</w:t>
      </w:r>
      <w:r w:rsidR="007E2C58" w:rsidRPr="00B830BB">
        <w:rPr>
          <w:rStyle w:val="FootnoteReference"/>
        </w:rPr>
        <w:footnoteReference w:id="19"/>
      </w:r>
      <w:r w:rsidRPr="00B830BB">
        <w:rPr>
          <w:rFonts w:cs="Arial"/>
          <w:szCs w:val="22"/>
          <w:lang w:val="hr-HR"/>
        </w:rPr>
        <w:t xml:space="preserve"> </w:t>
      </w:r>
      <w:r w:rsidR="00B830BB">
        <w:rPr>
          <w:rFonts w:cs="Arial"/>
          <w:szCs w:val="22"/>
          <w:lang w:val="hr-HR"/>
        </w:rPr>
        <w:t xml:space="preserve">u svom </w:t>
      </w:r>
      <w:r w:rsidRPr="00B830BB">
        <w:rPr>
          <w:rFonts w:cs="Arial"/>
          <w:szCs w:val="22"/>
          <w:lang w:val="hr-HR"/>
        </w:rPr>
        <w:t>čl. 20. nalaže</w:t>
      </w:r>
      <w:r w:rsidR="00783C86" w:rsidRPr="00B830BB">
        <w:rPr>
          <w:rFonts w:cs="Arial"/>
          <w:szCs w:val="22"/>
          <w:lang w:val="hr-HR"/>
        </w:rPr>
        <w:t xml:space="preserve"> državama</w:t>
      </w:r>
      <w:r w:rsidRPr="00B830BB">
        <w:rPr>
          <w:rFonts w:cs="Arial"/>
          <w:szCs w:val="22"/>
          <w:lang w:val="hr-HR"/>
        </w:rPr>
        <w:t xml:space="preserve"> potpisnicama da "zakonom zabrane svaku ratnu propagandu" te "svako zagovaranje nacionalne, rasne ili vjerske mržnje koja predstavlja poticanje na diskriminaciju, neprijateljstvo ili nasilje". </w:t>
      </w:r>
      <w:r w:rsidR="00B830BB">
        <w:rPr>
          <w:rFonts w:cs="Arial"/>
          <w:szCs w:val="22"/>
          <w:lang w:val="hr-HR"/>
        </w:rPr>
        <w:t xml:space="preserve">Vidljivo je </w:t>
      </w:r>
      <w:r w:rsidR="002721E0">
        <w:rPr>
          <w:rFonts w:cs="Arial"/>
          <w:szCs w:val="22"/>
          <w:lang w:val="hr-HR"/>
        </w:rPr>
        <w:t>kako</w:t>
      </w:r>
      <w:r w:rsidR="00B830BB">
        <w:rPr>
          <w:rFonts w:cs="Arial"/>
          <w:szCs w:val="22"/>
          <w:lang w:val="hr-HR"/>
        </w:rPr>
        <w:t xml:space="preserve"> u doseg toga čl. spada i zabrana govora mržnje. </w:t>
      </w:r>
      <w:r w:rsidRPr="00B830BB">
        <w:rPr>
          <w:rFonts w:cs="Arial"/>
          <w:szCs w:val="22"/>
          <w:lang w:val="hr-HR"/>
        </w:rPr>
        <w:t>Isto tako, čl. 26. svim ljud</w:t>
      </w:r>
      <w:r w:rsidR="00783C86" w:rsidRPr="00B830BB">
        <w:rPr>
          <w:rFonts w:cs="Arial"/>
          <w:szCs w:val="22"/>
          <w:lang w:val="hr-HR"/>
        </w:rPr>
        <w:t>ima, bez obzira na ranije nabrojene</w:t>
      </w:r>
      <w:r w:rsidRPr="00B830BB">
        <w:rPr>
          <w:rFonts w:cs="Arial"/>
          <w:szCs w:val="22"/>
          <w:lang w:val="hr-HR"/>
        </w:rPr>
        <w:t xml:space="preserve"> razlike, jamči se jednaka zakon</w:t>
      </w:r>
      <w:r w:rsidR="00783C86" w:rsidRPr="00B830BB">
        <w:rPr>
          <w:rFonts w:cs="Arial"/>
          <w:szCs w:val="22"/>
          <w:lang w:val="hr-HR"/>
        </w:rPr>
        <w:t xml:space="preserve">ska </w:t>
      </w:r>
      <w:r w:rsidRPr="00B830BB">
        <w:rPr>
          <w:rFonts w:cs="Arial"/>
          <w:szCs w:val="22"/>
          <w:lang w:val="hr-HR"/>
        </w:rPr>
        <w:t>zaštita od diskriminacije. Nadalje, u Općem komentaru br. 11. na čl. 20. Pakta</w:t>
      </w:r>
      <w:r w:rsidR="00E41327" w:rsidRPr="00B830BB">
        <w:rPr>
          <w:rStyle w:val="FootnoteReference"/>
          <w:rFonts w:cs="Arial"/>
          <w:szCs w:val="22"/>
          <w:lang w:val="hr-HR"/>
        </w:rPr>
        <w:footnoteReference w:id="20"/>
      </w:r>
      <w:r w:rsidRPr="00B830BB">
        <w:rPr>
          <w:rFonts w:cs="Arial"/>
          <w:szCs w:val="22"/>
          <w:lang w:val="hr-HR"/>
        </w:rPr>
        <w:t xml:space="preserve"> naglašava se kako "članak 20. može potpuno stupiti na snagu samo ako postoji nacionalno zakonodavstvo iz kojeg je očito da su opisana propaganda i zagovaranje u</w:t>
      </w:r>
      <w:r w:rsidR="00B63017">
        <w:rPr>
          <w:rFonts w:cs="Arial"/>
          <w:szCs w:val="22"/>
          <w:lang w:val="hr-HR"/>
        </w:rPr>
        <w:t xml:space="preserve"> suprotnosti s javnom politikom</w:t>
      </w:r>
      <w:r w:rsidRPr="00B830BB">
        <w:rPr>
          <w:rFonts w:cs="Arial"/>
          <w:szCs w:val="22"/>
          <w:lang w:val="hr-HR"/>
        </w:rPr>
        <w:t xml:space="preserve"> i ako postoje prikladne mjere sankcioniranja u slučaju krše</w:t>
      </w:r>
      <w:r w:rsidR="004B5C52">
        <w:rPr>
          <w:rFonts w:cs="Arial"/>
          <w:szCs w:val="22"/>
          <w:lang w:val="hr-HR"/>
        </w:rPr>
        <w:t>nja tog zakona."</w:t>
      </w:r>
    </w:p>
    <w:p w:rsidR="005B3B2C" w:rsidRPr="00B830BB" w:rsidRDefault="005B3B2C" w:rsidP="005B3B2C">
      <w:pPr>
        <w:pStyle w:val="Heading3"/>
        <w:spacing w:after="240"/>
      </w:pPr>
      <w:bookmarkStart w:id="52" w:name="_Toc386285777"/>
      <w:bookmarkStart w:id="53" w:name="_Toc386498308"/>
      <w:bookmarkStart w:id="54" w:name="_Toc386563053"/>
      <w:bookmarkStart w:id="55" w:name="_Toc386567215"/>
      <w:bookmarkStart w:id="56" w:name="_Toc386619607"/>
      <w:r w:rsidRPr="00B830BB">
        <w:lastRenderedPageBreak/>
        <w:t>Međunarodna konvencija o ukidanju svih oblika rasne diskriminacije</w:t>
      </w:r>
      <w:bookmarkEnd w:id="52"/>
      <w:bookmarkEnd w:id="53"/>
      <w:bookmarkEnd w:id="54"/>
      <w:bookmarkEnd w:id="55"/>
      <w:bookmarkEnd w:id="56"/>
    </w:p>
    <w:p w:rsidR="005B3B2C" w:rsidRPr="00B830BB" w:rsidRDefault="005B3B2C" w:rsidP="00E342A9">
      <w:pPr>
        <w:spacing w:line="360" w:lineRule="auto"/>
        <w:ind w:firstLine="708"/>
        <w:jc w:val="both"/>
        <w:rPr>
          <w:rFonts w:cs="Arial"/>
          <w:lang w:val="hr-HR"/>
        </w:rPr>
      </w:pPr>
      <w:r w:rsidRPr="00B830BB">
        <w:rPr>
          <w:rFonts w:cs="Arial"/>
          <w:lang w:val="hr-HR"/>
        </w:rPr>
        <w:t>Ipak, osnovni dokument UN-a za borbu protiv rasizma i netolerancije je</w:t>
      </w:r>
      <w:r w:rsidR="00B830BB">
        <w:rPr>
          <w:rFonts w:cs="Arial"/>
          <w:lang w:val="hr-HR"/>
        </w:rPr>
        <w:t>st</w:t>
      </w:r>
      <w:r w:rsidRPr="00B830BB">
        <w:rPr>
          <w:rFonts w:cs="Arial"/>
          <w:lang w:val="hr-HR"/>
        </w:rPr>
        <w:t xml:space="preserve"> Međunarodna konvencija o ukidanju svih oblika rasne diskriminacije</w:t>
      </w:r>
      <w:r w:rsidR="007E2C58">
        <w:rPr>
          <w:rStyle w:val="FootnoteReference"/>
        </w:rPr>
        <w:footnoteReference w:id="21"/>
      </w:r>
      <w:r w:rsidRPr="00B830BB">
        <w:rPr>
          <w:rFonts w:cs="Arial"/>
          <w:lang w:val="hr-HR"/>
        </w:rPr>
        <w:t>, koju je Generalna skupština Ujedinjenih naroda usvojila 1965. godine. Njime se predlažu raznovrsne konkretne mjere borbe protiv rasne diskriminacije i govora mržnje. Potpisivanjem, države su osudile rasnu diskriminaciju te u skladu s čl. 2. obvezale</w:t>
      </w:r>
      <w:r w:rsidR="007C661F">
        <w:rPr>
          <w:rFonts w:cs="Arial"/>
          <w:lang w:val="hr-HR"/>
        </w:rPr>
        <w:t xml:space="preserve"> se</w:t>
      </w:r>
      <w:r w:rsidRPr="00B830BB">
        <w:rPr>
          <w:rFonts w:cs="Arial"/>
          <w:lang w:val="hr-HR"/>
        </w:rPr>
        <w:t xml:space="preserve">: da same neće provoditi diskriminaciju; da neće sponzorirati, braniti ili podržavati rasnu diskriminaciju od strane bilo koje osobe ili organizacije; da će revidirati, izmijeniti ili poništiti sve zakone i regulative koje uzrokuju ili potiču rasnu diskriminaciju; da će zabraniti i iskorijeniti svim raspoloživim sredstvima rasnu diskriminaciju od strane neke osobe, grupe ili organizacije; te da će poticati integraciju, razvoj i zaštitu ugroženih skupina na svim društvenim, kulturnim i drugim poljima. </w:t>
      </w:r>
    </w:p>
    <w:p w:rsidR="005B3B2C" w:rsidRDefault="005B3B2C" w:rsidP="00E342A9">
      <w:pPr>
        <w:spacing w:line="360" w:lineRule="auto"/>
        <w:ind w:firstLine="708"/>
        <w:jc w:val="both"/>
        <w:rPr>
          <w:rFonts w:cs="Arial"/>
          <w:lang w:val="hr-HR"/>
        </w:rPr>
      </w:pPr>
      <w:r w:rsidRPr="00B830BB">
        <w:rPr>
          <w:rFonts w:cs="Arial"/>
          <w:lang w:val="hr-HR"/>
        </w:rPr>
        <w:t>Č</w:t>
      </w:r>
      <w:r w:rsidR="00F04F35">
        <w:rPr>
          <w:rFonts w:cs="Arial"/>
          <w:lang w:val="hr-HR"/>
        </w:rPr>
        <w:t>lanak</w:t>
      </w:r>
      <w:r w:rsidRPr="00B830BB">
        <w:rPr>
          <w:rFonts w:cs="Arial"/>
          <w:lang w:val="hr-HR"/>
        </w:rPr>
        <w:t xml:space="preserve"> 4. nalaže da se kaz</w:t>
      </w:r>
      <w:r w:rsidR="002721E0">
        <w:rPr>
          <w:rFonts w:cs="Arial"/>
          <w:lang w:val="hr-HR"/>
        </w:rPr>
        <w:t>n</w:t>
      </w:r>
      <w:r w:rsidRPr="00B830BB">
        <w:rPr>
          <w:rFonts w:cs="Arial"/>
          <w:lang w:val="hr-HR"/>
        </w:rPr>
        <w:t xml:space="preserve">enim djelom proglasi: "svako širenje ideja zasnovano na rasnoj nadmoćnosti ili mržnji, poticanje na rasnu diskriminaciju, svaki čin nasilja ili poticanja na nasilje protiv bilo koje rase ili grupe osoba druge boje kože ili etničkog porijekla, kao i pružanje bilo kakve pomoći rasističkim aktivnostima, uključujući i financiranje". Nadalje, obveza je država </w:t>
      </w:r>
      <w:r w:rsidR="00C855C1">
        <w:rPr>
          <w:rFonts w:cs="Arial"/>
          <w:lang w:val="hr-HR"/>
        </w:rPr>
        <w:t>potpisnica</w:t>
      </w:r>
      <w:r w:rsidRPr="00B830BB">
        <w:rPr>
          <w:rFonts w:cs="Arial"/>
          <w:lang w:val="hr-HR"/>
        </w:rPr>
        <w:t xml:space="preserve"> da "organizacije, te bilo kakve propagandne aktivnosti koje promoviraju i potiču na rasnu diskriminaciju" proglase nelegalnima i zabranjenima,</w:t>
      </w:r>
      <w:r w:rsidR="001B430C" w:rsidRPr="00B830BB">
        <w:rPr>
          <w:rFonts w:cs="Arial"/>
          <w:lang w:val="hr-HR"/>
        </w:rPr>
        <w:t xml:space="preserve"> kao i da inkriminiraju samo sudjelovanje u njima.</w:t>
      </w:r>
      <w:r w:rsidRPr="00B830BB">
        <w:rPr>
          <w:rFonts w:cs="Arial"/>
          <w:lang w:val="hr-HR"/>
        </w:rPr>
        <w:t xml:space="preserve"> </w:t>
      </w:r>
      <w:r w:rsidR="001B430C" w:rsidRPr="00B830BB">
        <w:rPr>
          <w:rFonts w:cs="Arial"/>
          <w:lang w:val="hr-HR"/>
        </w:rPr>
        <w:t xml:space="preserve">Također, države su dužne zabraniti </w:t>
      </w:r>
      <w:r w:rsidRPr="00B830BB">
        <w:rPr>
          <w:rFonts w:cs="Arial"/>
          <w:lang w:val="hr-HR"/>
        </w:rPr>
        <w:t>"predstavnicima javne vlasti ili javnih institucija, nacionalnih ili lokalnih, da promoviraju ili potiču rasnu diskriminaciju."</w:t>
      </w:r>
    </w:p>
    <w:p w:rsidR="00F04F35" w:rsidRPr="00B830BB" w:rsidRDefault="00F04F35" w:rsidP="005B3B2C">
      <w:pPr>
        <w:spacing w:line="360" w:lineRule="auto"/>
        <w:jc w:val="both"/>
        <w:rPr>
          <w:rFonts w:cs="Arial"/>
          <w:lang w:val="hr-HR"/>
        </w:rPr>
      </w:pPr>
    </w:p>
    <w:p w:rsidR="00833013" w:rsidRPr="00B830BB" w:rsidRDefault="00833013" w:rsidP="00833013">
      <w:pPr>
        <w:pStyle w:val="Heading3"/>
      </w:pPr>
      <w:bookmarkStart w:id="57" w:name="_Toc386285778"/>
      <w:bookmarkStart w:id="58" w:name="_Toc386498309"/>
      <w:bookmarkStart w:id="59" w:name="_Toc386563054"/>
      <w:bookmarkStart w:id="60" w:name="_Toc386567216"/>
      <w:bookmarkStart w:id="61" w:name="_Toc386619608"/>
      <w:r w:rsidRPr="00B830BB">
        <w:t>Prva rezolucija Vijeća ljudskih prava UN-a o promociji, zaštiti i uživanju ljudskih prava na internetu</w:t>
      </w:r>
      <w:bookmarkEnd w:id="57"/>
      <w:bookmarkEnd w:id="58"/>
      <w:bookmarkEnd w:id="59"/>
      <w:bookmarkEnd w:id="60"/>
      <w:bookmarkEnd w:id="61"/>
    </w:p>
    <w:p w:rsidR="00833013" w:rsidRPr="00B830BB" w:rsidRDefault="00833013" w:rsidP="00833013">
      <w:pPr>
        <w:rPr>
          <w:rFonts w:eastAsiaTheme="majorEastAsia" w:cs="Arial"/>
          <w:lang w:val="hr-HR"/>
        </w:rPr>
      </w:pPr>
    </w:p>
    <w:p w:rsidR="00833013" w:rsidRPr="00B830BB" w:rsidRDefault="00833013" w:rsidP="00833013">
      <w:pPr>
        <w:spacing w:line="360" w:lineRule="auto"/>
        <w:ind w:firstLine="576"/>
        <w:jc w:val="both"/>
        <w:rPr>
          <w:rFonts w:cs="Arial"/>
          <w:szCs w:val="22"/>
          <w:lang w:val="hr-HR"/>
        </w:rPr>
      </w:pPr>
      <w:r w:rsidRPr="00B830BB">
        <w:rPr>
          <w:rFonts w:cs="Arial"/>
          <w:szCs w:val="22"/>
          <w:lang w:val="hr-HR"/>
        </w:rPr>
        <w:t>Nedugo nakon Arapskog proljeća u kojem je veliku ulogu imala komunikacija preko interneta, Vijeće ljudskih prava donijelo je prvu rezoluciju o pravu na slobodi izražavanja na internetu</w:t>
      </w:r>
      <w:r w:rsidR="00F12645">
        <w:rPr>
          <w:rFonts w:cs="Arial"/>
          <w:szCs w:val="22"/>
          <w:lang w:val="hr-HR"/>
        </w:rPr>
        <w:t>.</w:t>
      </w:r>
      <w:r w:rsidR="00741F25" w:rsidRPr="00B830BB">
        <w:rPr>
          <w:rStyle w:val="FootnoteReference"/>
          <w:szCs w:val="22"/>
        </w:rPr>
        <w:footnoteReference w:id="22"/>
      </w:r>
      <w:r w:rsidRPr="00B830BB">
        <w:rPr>
          <w:rFonts w:cs="Arial"/>
          <w:szCs w:val="22"/>
          <w:lang w:val="hr-HR"/>
        </w:rPr>
        <w:t xml:space="preserve"> Iako rezolucija nije pravno obvezujuća, ona je usvojena od strane 87 država, uključujući i Hrvatsku. </w:t>
      </w:r>
    </w:p>
    <w:p w:rsidR="00833013" w:rsidRPr="00B830BB" w:rsidRDefault="00833013" w:rsidP="00833013">
      <w:pPr>
        <w:spacing w:line="360" w:lineRule="auto"/>
        <w:ind w:firstLine="576"/>
        <w:jc w:val="both"/>
        <w:rPr>
          <w:rFonts w:cs="Arial"/>
          <w:szCs w:val="22"/>
          <w:lang w:val="hr-HR"/>
        </w:rPr>
      </w:pPr>
      <w:r w:rsidRPr="00B830BB">
        <w:rPr>
          <w:rFonts w:cs="Arial"/>
          <w:szCs w:val="22"/>
          <w:lang w:val="hr-HR"/>
        </w:rPr>
        <w:lastRenderedPageBreak/>
        <w:t>Rezolucijom se deklarira pet ciljeva kojima bi se trebalo težiti. Prvo, potvrđuje se stav da ista prava koja postoje u stvarno</w:t>
      </w:r>
      <w:r w:rsidR="004A24FF">
        <w:rPr>
          <w:rFonts w:cs="Arial"/>
          <w:szCs w:val="22"/>
          <w:lang w:val="hr-HR"/>
        </w:rPr>
        <w:t>m</w:t>
      </w:r>
      <w:r w:rsidRPr="00B830BB">
        <w:rPr>
          <w:rFonts w:cs="Arial"/>
          <w:szCs w:val="22"/>
          <w:lang w:val="hr-HR"/>
        </w:rPr>
        <w:t xml:space="preserve"> svijetu, moraju biti zaštićena i na internetu, a posebno s</w:t>
      </w:r>
      <w:r w:rsidR="00A61EFE">
        <w:rPr>
          <w:rFonts w:cs="Arial"/>
          <w:szCs w:val="22"/>
          <w:lang w:val="hr-HR"/>
        </w:rPr>
        <w:t>loboda izražavanja koja je prim</w:t>
      </w:r>
      <w:r w:rsidRPr="00B830BB">
        <w:rPr>
          <w:rFonts w:cs="Arial"/>
          <w:szCs w:val="22"/>
          <w:lang w:val="hr-HR"/>
        </w:rPr>
        <w:t xml:space="preserve">jenjiva neovisno o granicama i izboru </w:t>
      </w:r>
      <w:r w:rsidR="004A24FF">
        <w:rPr>
          <w:rFonts w:cs="Arial"/>
          <w:szCs w:val="22"/>
          <w:lang w:val="hr-HR"/>
        </w:rPr>
        <w:t>medija na kojem će se prakticirati</w:t>
      </w:r>
      <w:r w:rsidRPr="00B830BB">
        <w:rPr>
          <w:rFonts w:cs="Arial"/>
          <w:szCs w:val="22"/>
          <w:lang w:val="hr-HR"/>
        </w:rPr>
        <w:t>, a u skladu s gore spomenutim člankom 19. Deklaracije. Prepoznaje</w:t>
      </w:r>
      <w:r w:rsidR="00DD387A" w:rsidRPr="00B830BB">
        <w:rPr>
          <w:rFonts w:cs="Arial"/>
          <w:szCs w:val="22"/>
          <w:lang w:val="hr-HR"/>
        </w:rPr>
        <w:t xml:space="preserve"> se</w:t>
      </w:r>
      <w:r w:rsidRPr="00B830BB">
        <w:rPr>
          <w:rFonts w:cs="Arial"/>
          <w:szCs w:val="22"/>
          <w:lang w:val="hr-HR"/>
        </w:rPr>
        <w:t xml:space="preserve"> snaga koja internetu pripada zbog njegove globalne i otvorene naravi te se potiče države potpisnice da promoviraju i olakšavaju pristup internetu te međunarodnoj suradnji. Konačno, donosi se i zaključak kako se trebaju uložiti daljnji napori u promoviranju, zaštiti i uživanju ljudskih prava koja postoje i na internetu. Upravo z</w:t>
      </w:r>
      <w:r w:rsidR="00E508C7">
        <w:rPr>
          <w:rFonts w:cs="Arial"/>
          <w:szCs w:val="22"/>
          <w:lang w:val="hr-HR"/>
        </w:rPr>
        <w:t xml:space="preserve">bog toga </w:t>
      </w:r>
      <w:r w:rsidR="005B59C6">
        <w:rPr>
          <w:rFonts w:cs="Arial"/>
          <w:szCs w:val="22"/>
          <w:lang w:val="hr-HR"/>
        </w:rPr>
        <w:t xml:space="preserve">ova rezolucija </w:t>
      </w:r>
      <w:r w:rsidR="00E508C7">
        <w:rPr>
          <w:rFonts w:cs="Arial"/>
          <w:szCs w:val="22"/>
          <w:lang w:val="hr-HR"/>
        </w:rPr>
        <w:t xml:space="preserve">u medijima </w:t>
      </w:r>
      <w:r w:rsidR="005B59C6">
        <w:rPr>
          <w:rFonts w:cs="Arial"/>
          <w:szCs w:val="22"/>
          <w:lang w:val="hr-HR"/>
        </w:rPr>
        <w:t xml:space="preserve">je </w:t>
      </w:r>
      <w:r w:rsidR="00E508C7">
        <w:rPr>
          <w:rFonts w:cs="Arial"/>
          <w:szCs w:val="22"/>
          <w:lang w:val="hr-HR"/>
        </w:rPr>
        <w:t>naz</w:t>
      </w:r>
      <w:r w:rsidRPr="00B830BB">
        <w:rPr>
          <w:rFonts w:cs="Arial"/>
          <w:szCs w:val="22"/>
          <w:lang w:val="hr-HR"/>
        </w:rPr>
        <w:t>vana rezolucijom o pravu na slobodu izražavanje na internetu.</w:t>
      </w:r>
    </w:p>
    <w:p w:rsidR="00833013" w:rsidRDefault="00833013" w:rsidP="005B3B2C">
      <w:pPr>
        <w:spacing w:line="360" w:lineRule="auto"/>
        <w:jc w:val="both"/>
        <w:rPr>
          <w:lang w:val="hr-HR"/>
        </w:rPr>
      </w:pPr>
    </w:p>
    <w:p w:rsidR="00C75584" w:rsidRDefault="00C75584" w:rsidP="005B3B2C">
      <w:pPr>
        <w:spacing w:line="360" w:lineRule="auto"/>
        <w:jc w:val="both"/>
        <w:rPr>
          <w:lang w:val="hr-HR"/>
        </w:rPr>
      </w:pPr>
    </w:p>
    <w:p w:rsidR="00C6617A" w:rsidRPr="00B830BB" w:rsidRDefault="00C6617A" w:rsidP="00342406">
      <w:pPr>
        <w:pStyle w:val="Heading2"/>
        <w:rPr>
          <w:rFonts w:cs="Arial"/>
        </w:rPr>
      </w:pPr>
      <w:bookmarkStart w:id="62" w:name="_Toc386285779"/>
      <w:bookmarkStart w:id="63" w:name="_Toc386498310"/>
      <w:bookmarkStart w:id="64" w:name="_Toc386563055"/>
      <w:bookmarkStart w:id="65" w:name="_Toc386567217"/>
      <w:bookmarkStart w:id="66" w:name="_Toc386619609"/>
      <w:r w:rsidRPr="00B830BB">
        <w:rPr>
          <w:rFonts w:cs="Arial"/>
        </w:rPr>
        <w:t>Vijeće Europe</w:t>
      </w:r>
      <w:bookmarkEnd w:id="62"/>
      <w:bookmarkEnd w:id="63"/>
      <w:bookmarkEnd w:id="64"/>
      <w:bookmarkEnd w:id="65"/>
      <w:bookmarkEnd w:id="66"/>
      <w:r w:rsidRPr="00B830BB">
        <w:rPr>
          <w:rFonts w:cs="Arial"/>
        </w:rPr>
        <w:t xml:space="preserve"> </w:t>
      </w:r>
    </w:p>
    <w:p w:rsidR="0056798C" w:rsidRPr="00B830BB" w:rsidRDefault="00DA497F" w:rsidP="0056798C">
      <w:pPr>
        <w:pStyle w:val="Heading3"/>
      </w:pPr>
      <w:bookmarkStart w:id="67" w:name="_Toc386285797"/>
      <w:bookmarkStart w:id="68" w:name="_Toc386498311"/>
      <w:bookmarkStart w:id="69" w:name="_Toc386563056"/>
      <w:bookmarkStart w:id="70" w:name="_Toc386567218"/>
      <w:bookmarkStart w:id="71" w:name="_Toc386619610"/>
      <w:r>
        <w:t xml:space="preserve">Europska konvencija za zaštitu </w:t>
      </w:r>
      <w:r w:rsidR="0056798C" w:rsidRPr="00B830BB">
        <w:t>ljudskih prava i temeljnih sloboda</w:t>
      </w:r>
      <w:bookmarkEnd w:id="67"/>
      <w:bookmarkEnd w:id="68"/>
      <w:bookmarkEnd w:id="69"/>
      <w:bookmarkEnd w:id="70"/>
      <w:bookmarkEnd w:id="71"/>
    </w:p>
    <w:p w:rsidR="0056798C" w:rsidRPr="00B830BB" w:rsidRDefault="0056798C" w:rsidP="0056798C">
      <w:pPr>
        <w:rPr>
          <w:rFonts w:cs="Arial"/>
          <w:lang w:val="hr-HR"/>
        </w:rPr>
      </w:pPr>
      <w:r w:rsidRPr="00B830BB">
        <w:rPr>
          <w:rFonts w:cs="Arial"/>
          <w:lang w:val="hr-HR"/>
        </w:rPr>
        <w:t xml:space="preserve"> </w:t>
      </w:r>
    </w:p>
    <w:p w:rsidR="0056798C" w:rsidRPr="00B830BB" w:rsidRDefault="00205FE0" w:rsidP="0056798C">
      <w:pPr>
        <w:pStyle w:val="ListParagraph"/>
        <w:spacing w:line="360" w:lineRule="auto"/>
        <w:ind w:left="0" w:right="-329" w:firstLine="432"/>
        <w:jc w:val="both"/>
        <w:rPr>
          <w:rFonts w:cs="Arial"/>
          <w:szCs w:val="22"/>
          <w:lang w:val="hr-HR"/>
        </w:rPr>
      </w:pPr>
      <w:r>
        <w:rPr>
          <w:rFonts w:cs="Arial"/>
          <w:szCs w:val="22"/>
          <w:lang w:val="hr-HR"/>
        </w:rPr>
        <w:t>Europska konvencija za zaštitu</w:t>
      </w:r>
      <w:r w:rsidR="0056798C" w:rsidRPr="00B830BB">
        <w:rPr>
          <w:rFonts w:cs="Arial"/>
          <w:szCs w:val="22"/>
          <w:lang w:val="hr-HR"/>
        </w:rPr>
        <w:t xml:space="preserve"> ljudskih prava i temeljnih sloboda</w:t>
      </w:r>
      <w:r w:rsidR="0056798C" w:rsidRPr="00B830BB">
        <w:rPr>
          <w:rStyle w:val="FootnoteReference"/>
          <w:rFonts w:cs="Arial"/>
          <w:szCs w:val="22"/>
          <w:lang w:val="hr-HR"/>
        </w:rPr>
        <w:footnoteReference w:id="23"/>
      </w:r>
      <w:r w:rsidR="0056798C" w:rsidRPr="00B830BB">
        <w:rPr>
          <w:rFonts w:cs="Arial"/>
          <w:szCs w:val="22"/>
          <w:lang w:val="hr-HR"/>
        </w:rPr>
        <w:t xml:space="preserve"> donesena 4. studenog 1950. i danas je živući i u Europi temeljni akt u pogledu navedene tematike. Stvorena nakon užasa Drugog svjetskog rata, tijekom njenog šezdesetogodišnjeg postojanja, možemo reći da je </w:t>
      </w:r>
      <w:r w:rsidR="00693CB6">
        <w:rPr>
          <w:rFonts w:cs="Arial"/>
          <w:szCs w:val="22"/>
          <w:lang w:val="hr-HR"/>
        </w:rPr>
        <w:t>Europu učinila boljim</w:t>
      </w:r>
      <w:r w:rsidR="0056798C" w:rsidRPr="00B830BB">
        <w:rPr>
          <w:rFonts w:cs="Arial"/>
          <w:szCs w:val="22"/>
          <w:lang w:val="hr-HR"/>
        </w:rPr>
        <w:t xml:space="preserve"> mjesto</w:t>
      </w:r>
      <w:r w:rsidR="00693CB6">
        <w:rPr>
          <w:rFonts w:cs="Arial"/>
          <w:szCs w:val="22"/>
          <w:lang w:val="hr-HR"/>
        </w:rPr>
        <w:t>m</w:t>
      </w:r>
      <w:r w:rsidR="0056798C" w:rsidRPr="00B830BB">
        <w:rPr>
          <w:rFonts w:cs="Arial"/>
          <w:szCs w:val="22"/>
          <w:lang w:val="hr-HR"/>
        </w:rPr>
        <w:t xml:space="preserve">. Budući da je Konvencijom osnovan i Europski sud za ljudska prava u Strasbourgu, ovaj međunarodni mehanizam zaštite ljudskih prava s vremenom je postao jedan od najvažnijih i najopstojnijih, a zahvaljujući njegovoj praksi i interpretaciji Konvencije, mnoga nacionalna zakonodavstva država članica Vijeća Europe dostigla su određene standarde zaštite ljudskih prava. </w:t>
      </w:r>
    </w:p>
    <w:p w:rsidR="0056798C" w:rsidRPr="00B830BB" w:rsidRDefault="0056798C" w:rsidP="0056798C">
      <w:pPr>
        <w:pStyle w:val="ListParagraph"/>
        <w:spacing w:line="360" w:lineRule="auto"/>
        <w:ind w:left="0" w:right="-329" w:firstLine="432"/>
        <w:jc w:val="both"/>
        <w:rPr>
          <w:rFonts w:cs="Arial"/>
          <w:szCs w:val="22"/>
          <w:lang w:val="hr-HR"/>
        </w:rPr>
      </w:pPr>
      <w:r w:rsidRPr="00B830BB">
        <w:rPr>
          <w:rFonts w:cs="Arial"/>
          <w:szCs w:val="22"/>
          <w:lang w:val="hr-HR"/>
        </w:rPr>
        <w:t>Tvorci Konvencije, osim što su kodificirali temeljna ljudska prava i slobode, nastojali su uključiti i mehanizme zaštite tih prava i sloboda. Mehanizmi mogu biti u obliku propisanih dopuštenih ograničenja prava ili isključenja od zaštite. Europski sud za ljudska prava kroz svoju je praksu i praktično razvio pristu</w:t>
      </w:r>
      <w:r w:rsidR="00573699">
        <w:rPr>
          <w:rFonts w:cs="Arial"/>
          <w:szCs w:val="22"/>
          <w:lang w:val="hr-HR"/>
        </w:rPr>
        <w:t>p tretiranja govora mržnje primj</w:t>
      </w:r>
      <w:r w:rsidRPr="00B830BB">
        <w:rPr>
          <w:rFonts w:cs="Arial"/>
          <w:szCs w:val="22"/>
          <w:lang w:val="hr-HR"/>
        </w:rPr>
        <w:t xml:space="preserve">enjujući jedan od navedenih mehanizama. </w:t>
      </w:r>
    </w:p>
    <w:p w:rsidR="0056798C" w:rsidRPr="00B830BB" w:rsidRDefault="0056798C" w:rsidP="0056798C">
      <w:pPr>
        <w:pStyle w:val="ListParagraph"/>
        <w:spacing w:line="360" w:lineRule="auto"/>
        <w:ind w:left="0" w:right="-329" w:firstLine="432"/>
        <w:jc w:val="both"/>
        <w:rPr>
          <w:rFonts w:cs="Arial"/>
          <w:szCs w:val="22"/>
          <w:lang w:val="hr-HR"/>
        </w:rPr>
      </w:pPr>
      <w:r w:rsidRPr="00B830BB">
        <w:rPr>
          <w:rFonts w:cs="Arial"/>
          <w:szCs w:val="22"/>
          <w:lang w:val="hr-HR"/>
        </w:rPr>
        <w:t xml:space="preserve">Nešto sporije nego li je tehnološki razvoj napredovao, i Sud je postao svjestan problema govora mržnje te medija interneta. </w:t>
      </w:r>
      <w:r>
        <w:rPr>
          <w:rFonts w:cs="Arial"/>
          <w:szCs w:val="22"/>
          <w:lang w:val="hr-HR"/>
        </w:rPr>
        <w:t xml:space="preserve">U presudi </w:t>
      </w:r>
      <w:r w:rsidRPr="00D614A4">
        <w:rPr>
          <w:rFonts w:cs="Arial"/>
          <w:i/>
          <w:szCs w:val="22"/>
          <w:lang w:val="hr-HR"/>
        </w:rPr>
        <w:t>Yild</w:t>
      </w:r>
      <w:r w:rsidR="002E246F">
        <w:rPr>
          <w:rFonts w:cs="Arial"/>
          <w:i/>
          <w:szCs w:val="22"/>
          <w:lang w:val="hr-HR"/>
        </w:rPr>
        <w:t>i</w:t>
      </w:r>
      <w:r w:rsidRPr="00D614A4">
        <w:rPr>
          <w:rFonts w:cs="Arial"/>
          <w:i/>
          <w:szCs w:val="22"/>
          <w:lang w:val="hr-HR"/>
        </w:rPr>
        <w:t>rim protiv Turske</w:t>
      </w:r>
      <w:r>
        <w:rPr>
          <w:rFonts w:cs="Arial"/>
          <w:szCs w:val="22"/>
          <w:lang w:val="hr-HR"/>
        </w:rPr>
        <w:t xml:space="preserve"> Sud je rekao: „Internet je postao jednim od glavnih sredstava ostvarivanja prava na izražavanje i informiranja, budući da pruža potrebne alate za sudjelovanje u aktivnostima i diskusijama vezan</w:t>
      </w:r>
      <w:r w:rsidR="00573699">
        <w:rPr>
          <w:rFonts w:cs="Arial"/>
          <w:szCs w:val="22"/>
          <w:lang w:val="hr-HR"/>
        </w:rPr>
        <w:t>i</w:t>
      </w:r>
      <w:r>
        <w:rPr>
          <w:rFonts w:cs="Arial"/>
          <w:szCs w:val="22"/>
          <w:lang w:val="hr-HR"/>
        </w:rPr>
        <w:t>ma za politička pitanja i pitanja od općeg javnog interesa.“</w:t>
      </w:r>
      <w:r>
        <w:rPr>
          <w:rStyle w:val="FootnoteReference"/>
          <w:rFonts w:cs="Arial"/>
          <w:szCs w:val="22"/>
          <w:lang w:val="hr-HR"/>
        </w:rPr>
        <w:footnoteReference w:id="24"/>
      </w:r>
      <w:r>
        <w:rPr>
          <w:rFonts w:cs="Arial"/>
          <w:szCs w:val="22"/>
          <w:lang w:val="hr-HR"/>
        </w:rPr>
        <w:t xml:space="preserve"> Također, Sud vodi i </w:t>
      </w:r>
      <w:r w:rsidRPr="00B830BB">
        <w:rPr>
          <w:rFonts w:cs="Arial"/>
          <w:szCs w:val="22"/>
          <w:lang w:val="hr-HR"/>
        </w:rPr>
        <w:t xml:space="preserve">poseban sažetak sudske prakse nazvan </w:t>
      </w:r>
      <w:r w:rsidRPr="00B830BB">
        <w:rPr>
          <w:rFonts w:cs="Arial"/>
          <w:szCs w:val="22"/>
          <w:lang w:val="hr-HR"/>
        </w:rPr>
        <w:lastRenderedPageBreak/>
        <w:t>„Govor mržnje</w:t>
      </w:r>
      <w:r w:rsidRPr="00B830BB">
        <w:rPr>
          <w:rStyle w:val="FootnoteReference"/>
          <w:rFonts w:cs="Arial"/>
          <w:szCs w:val="22"/>
          <w:lang w:val="hr-HR"/>
        </w:rPr>
        <w:footnoteReference w:id="25"/>
      </w:r>
      <w:r w:rsidRPr="00B830BB">
        <w:rPr>
          <w:rFonts w:cs="Arial"/>
          <w:szCs w:val="22"/>
          <w:lang w:val="hr-HR"/>
        </w:rPr>
        <w:t>“ koji se objavljuje odvojeno od drugih djela te se vodi poseban „</w:t>
      </w:r>
      <w:r w:rsidRPr="003C51F8">
        <w:rPr>
          <w:i/>
          <w:lang w:val="hr-HR"/>
        </w:rPr>
        <w:t>factsheet</w:t>
      </w:r>
      <w:r w:rsidRPr="00B830BB">
        <w:rPr>
          <w:rFonts w:cs="Arial"/>
          <w:szCs w:val="22"/>
          <w:lang w:val="hr-HR"/>
        </w:rPr>
        <w:t>“</w:t>
      </w:r>
      <w:r w:rsidR="005053F0" w:rsidRPr="00B830BB">
        <w:rPr>
          <w:rFonts w:cs="Arial"/>
          <w:szCs w:val="22"/>
          <w:lang w:val="hr-HR"/>
        </w:rPr>
        <w:t xml:space="preserve"> </w:t>
      </w:r>
      <w:r w:rsidRPr="00B830BB">
        <w:rPr>
          <w:rFonts w:cs="Arial"/>
          <w:szCs w:val="22"/>
          <w:lang w:val="hr-HR"/>
        </w:rPr>
        <w:t xml:space="preserve">na njihovim mrežnim stranicama. </w:t>
      </w:r>
    </w:p>
    <w:p w:rsidR="0056798C" w:rsidRDefault="0056798C" w:rsidP="0056798C">
      <w:pPr>
        <w:pStyle w:val="ListParagraph"/>
        <w:spacing w:line="360" w:lineRule="auto"/>
        <w:ind w:left="0" w:right="-329" w:firstLine="432"/>
        <w:jc w:val="both"/>
        <w:rPr>
          <w:rFonts w:cs="Arial"/>
          <w:szCs w:val="22"/>
          <w:lang w:val="hr-HR"/>
        </w:rPr>
      </w:pPr>
      <w:r w:rsidRPr="00B830BB">
        <w:rPr>
          <w:rFonts w:cs="Arial"/>
          <w:szCs w:val="22"/>
          <w:lang w:val="hr-HR"/>
        </w:rPr>
        <w:t xml:space="preserve">Ovisno o intenzitetu </w:t>
      </w:r>
      <w:r>
        <w:rPr>
          <w:rFonts w:cs="Arial"/>
          <w:szCs w:val="22"/>
          <w:lang w:val="hr-HR"/>
        </w:rPr>
        <w:t xml:space="preserve">govora mržnje </w:t>
      </w:r>
      <w:r w:rsidRPr="00B830BB">
        <w:rPr>
          <w:rFonts w:cs="Arial"/>
          <w:szCs w:val="22"/>
          <w:lang w:val="hr-HR"/>
        </w:rPr>
        <w:t xml:space="preserve">te uzimajući u obzir sve okolnosti slučaja, Sud će </w:t>
      </w:r>
      <w:r>
        <w:rPr>
          <w:rFonts w:cs="Arial"/>
          <w:szCs w:val="22"/>
          <w:lang w:val="hr-HR"/>
        </w:rPr>
        <w:t>pri razmatranju prava na slobodu izražavanja</w:t>
      </w:r>
      <w:r w:rsidRPr="00B830BB">
        <w:rPr>
          <w:rFonts w:cs="Arial"/>
          <w:szCs w:val="22"/>
          <w:lang w:val="hr-HR"/>
        </w:rPr>
        <w:t xml:space="preserve"> primijeniti ili članak 10. (pravo na izražavanje te dopuštena propisana ograničenja) ili članak 17. </w:t>
      </w:r>
      <w:r w:rsidR="00061235">
        <w:rPr>
          <w:rFonts w:cs="Arial"/>
          <w:szCs w:val="22"/>
          <w:lang w:val="hr-HR"/>
        </w:rPr>
        <w:t>T</w:t>
      </w:r>
      <w:r w:rsidRPr="00B830BB">
        <w:rPr>
          <w:rFonts w:cs="Arial"/>
          <w:szCs w:val="22"/>
          <w:lang w:val="hr-HR"/>
        </w:rPr>
        <w:t xml:space="preserve">emeljna razlika između njih jest u jačini spornog izražavanja te (mogućih) posljedica. </w:t>
      </w:r>
    </w:p>
    <w:p w:rsidR="00C75584" w:rsidRDefault="00C75584" w:rsidP="0056798C">
      <w:pPr>
        <w:pStyle w:val="ListParagraph"/>
        <w:spacing w:line="360" w:lineRule="auto"/>
        <w:ind w:left="0" w:right="-329" w:firstLine="432"/>
        <w:jc w:val="both"/>
        <w:rPr>
          <w:rFonts w:cs="Arial"/>
          <w:szCs w:val="22"/>
          <w:lang w:val="hr-HR"/>
        </w:rPr>
      </w:pPr>
    </w:p>
    <w:p w:rsidR="0056798C" w:rsidRPr="00B830BB" w:rsidRDefault="0056798C" w:rsidP="000C00C1">
      <w:pPr>
        <w:pStyle w:val="Heading4"/>
      </w:pPr>
      <w:bookmarkStart w:id="72" w:name="_Toc386285798"/>
      <w:bookmarkStart w:id="73" w:name="_Toc386498312"/>
      <w:bookmarkStart w:id="74" w:name="_Toc386563057"/>
      <w:bookmarkStart w:id="75" w:name="_Toc386567219"/>
      <w:bookmarkStart w:id="76" w:name="_Toc386619611"/>
      <w:proofErr w:type="gramStart"/>
      <w:r w:rsidRPr="00B830BB">
        <w:t>Članak 17.</w:t>
      </w:r>
      <w:proofErr w:type="gramEnd"/>
      <w:r w:rsidRPr="00B830BB">
        <w:t xml:space="preserve"> – Klauzula zabrane zloupotrebe prava</w:t>
      </w:r>
      <w:bookmarkEnd w:id="72"/>
      <w:bookmarkEnd w:id="73"/>
      <w:bookmarkEnd w:id="74"/>
      <w:bookmarkEnd w:id="75"/>
      <w:bookmarkEnd w:id="76"/>
      <w:r w:rsidRPr="00B830BB">
        <w:t xml:space="preserve"> </w:t>
      </w:r>
    </w:p>
    <w:p w:rsidR="0056798C" w:rsidRPr="00B830BB" w:rsidRDefault="0056798C" w:rsidP="0056798C">
      <w:pPr>
        <w:pStyle w:val="ListParagraph"/>
        <w:spacing w:line="360" w:lineRule="auto"/>
        <w:ind w:left="0" w:right="-329"/>
        <w:jc w:val="both"/>
        <w:rPr>
          <w:rFonts w:cs="Arial"/>
          <w:lang w:val="hr-HR"/>
        </w:rPr>
      </w:pPr>
      <w:r w:rsidRPr="00B830BB">
        <w:rPr>
          <w:rFonts w:cs="Arial"/>
          <w:lang w:val="hr-HR"/>
        </w:rPr>
        <w:t xml:space="preserve"> </w:t>
      </w:r>
    </w:p>
    <w:p w:rsidR="0056798C" w:rsidRPr="00B830BB" w:rsidRDefault="0056798C" w:rsidP="0056798C">
      <w:pPr>
        <w:pStyle w:val="ListParagraph"/>
        <w:spacing w:line="360" w:lineRule="auto"/>
        <w:ind w:left="0" w:right="-329" w:firstLine="432"/>
        <w:jc w:val="both"/>
        <w:rPr>
          <w:rFonts w:cs="Arial"/>
          <w:szCs w:val="22"/>
          <w:lang w:val="hr-HR"/>
        </w:rPr>
      </w:pPr>
      <w:r w:rsidRPr="00B830BB">
        <w:rPr>
          <w:rFonts w:cs="Arial"/>
          <w:szCs w:val="22"/>
          <w:lang w:val="hr-HR"/>
        </w:rPr>
        <w:t xml:space="preserve">Klauzula zabrane zloupotrebe prava glasi: „Ništa se u ovoj Konvenciji ne može tumačiti kao da uključuje za bilo koju državu, skupinu ili pojedinca neko pravo da se upusti u neku djelatnost ili da izvrši neki čin koji bi smjerali na uništenje prava ili sloboda priznatih u ovoj Konvenciji ili na njihovo ograničenje u većoj mjeri nego što se u njoj predviđa.“ Kada je Konvencija bila stvarana, smatralo se kako je potrebno uvesti takav zaštitni mehanizam koji će onemogućiti totalitarne režime u kršenju Konvencije, pozivajući se tobože </w:t>
      </w:r>
      <w:r w:rsidR="0047658F">
        <w:rPr>
          <w:rFonts w:cs="Arial"/>
          <w:szCs w:val="22"/>
          <w:lang w:val="hr-HR"/>
        </w:rPr>
        <w:t>na</w:t>
      </w:r>
      <w:r w:rsidRPr="00B830BB">
        <w:rPr>
          <w:rFonts w:cs="Arial"/>
          <w:szCs w:val="22"/>
          <w:lang w:val="hr-HR"/>
        </w:rPr>
        <w:t xml:space="preserve"> zaštitu (nekih drugih) prava. Odredba se ne odnosi samo na državu, nego i grupe i pojedince koji se ponašaju na opisani način. </w:t>
      </w:r>
    </w:p>
    <w:p w:rsidR="0056798C" w:rsidRPr="00B830BB" w:rsidRDefault="0056798C" w:rsidP="0056798C">
      <w:pPr>
        <w:pStyle w:val="ListParagraph"/>
        <w:spacing w:line="360" w:lineRule="auto"/>
        <w:ind w:left="0" w:right="-329" w:firstLine="432"/>
        <w:jc w:val="both"/>
        <w:rPr>
          <w:rFonts w:cs="Arial"/>
          <w:szCs w:val="22"/>
          <w:lang w:val="hr-HR"/>
        </w:rPr>
      </w:pPr>
      <w:r w:rsidRPr="00B830BB">
        <w:rPr>
          <w:rFonts w:cs="Arial"/>
          <w:szCs w:val="22"/>
          <w:lang w:val="hr-HR"/>
        </w:rPr>
        <w:t>Kako slijedi iz prakse Europskog suda</w:t>
      </w:r>
      <w:r w:rsidR="00C855C1">
        <w:rPr>
          <w:rFonts w:cs="Arial"/>
          <w:szCs w:val="22"/>
          <w:lang w:val="hr-HR"/>
        </w:rPr>
        <w:t xml:space="preserve"> za ljudska prava</w:t>
      </w:r>
      <w:r w:rsidRPr="00B830BB">
        <w:rPr>
          <w:rFonts w:cs="Arial"/>
          <w:szCs w:val="22"/>
          <w:lang w:val="hr-HR"/>
        </w:rPr>
        <w:t>, onda kada je izraz takve jačine da prijeti negiranjem temeljnim pravima i vrijednostima koje se štite Konvencijom, bit će prim</w:t>
      </w:r>
      <w:r w:rsidR="00573699">
        <w:rPr>
          <w:rFonts w:cs="Arial"/>
          <w:szCs w:val="22"/>
          <w:lang w:val="hr-HR"/>
        </w:rPr>
        <w:t>i</w:t>
      </w:r>
      <w:r w:rsidRPr="00B830BB">
        <w:rPr>
          <w:rFonts w:cs="Arial"/>
          <w:szCs w:val="22"/>
          <w:lang w:val="hr-HR"/>
        </w:rPr>
        <w:t xml:space="preserve">jenjen članak 17. Već 1961. Sud je u predmetu </w:t>
      </w:r>
      <w:r w:rsidRPr="00B830BB">
        <w:rPr>
          <w:rFonts w:cs="Arial"/>
          <w:i/>
          <w:szCs w:val="22"/>
          <w:lang w:val="hr-HR"/>
        </w:rPr>
        <w:t>Lawless protiv Irske</w:t>
      </w:r>
      <w:r w:rsidRPr="00B830BB">
        <w:rPr>
          <w:rFonts w:cs="Arial"/>
          <w:szCs w:val="22"/>
          <w:lang w:val="hr-HR"/>
        </w:rPr>
        <w:t xml:space="preserve"> zaključio kako je svrha članka 17. onemogućiti izvođenje prava da poduzmu neku aktivnost ili izvrše određ</w:t>
      </w:r>
      <w:r w:rsidR="00284FA1">
        <w:rPr>
          <w:rFonts w:cs="Arial"/>
          <w:szCs w:val="22"/>
          <w:lang w:val="hr-HR"/>
        </w:rPr>
        <w:t>en</w:t>
      </w:r>
      <w:r w:rsidRPr="00B830BB">
        <w:rPr>
          <w:rFonts w:cs="Arial"/>
          <w:szCs w:val="22"/>
          <w:lang w:val="hr-HR"/>
        </w:rPr>
        <w:t>u radnju kojom bi se uništilo neko konvencijsko pravo, budući da niti jedna osoba ne bi smjela koristiti norme Konvencije da obrani takav svoj čin.</w:t>
      </w:r>
      <w:r w:rsidRPr="00B830BB">
        <w:rPr>
          <w:rStyle w:val="FootnoteReference"/>
          <w:rFonts w:cs="Arial"/>
          <w:szCs w:val="22"/>
          <w:lang w:val="hr-HR"/>
        </w:rPr>
        <w:footnoteReference w:id="26"/>
      </w:r>
    </w:p>
    <w:p w:rsidR="0056798C" w:rsidRPr="00B830BB" w:rsidRDefault="0056798C" w:rsidP="0056798C">
      <w:pPr>
        <w:pStyle w:val="ListParagraph"/>
        <w:spacing w:line="360" w:lineRule="auto"/>
        <w:ind w:left="0" w:right="-329" w:firstLine="432"/>
        <w:jc w:val="both"/>
        <w:rPr>
          <w:rFonts w:cs="Arial"/>
          <w:szCs w:val="22"/>
          <w:lang w:val="hr-HR"/>
        </w:rPr>
      </w:pPr>
      <w:r w:rsidRPr="00B830BB">
        <w:rPr>
          <w:rFonts w:cs="Arial"/>
          <w:szCs w:val="22"/>
          <w:lang w:val="hr-HR"/>
        </w:rPr>
        <w:t xml:space="preserve">Upravo zbog toga, takvom se izrazu odriče ne samo zaštita, nego i mogućnost ispitivanja prema Konvenciji. Odluka u takvom predmetu donosi se u fazi odlučivanja o dopuštenosti (eng. </w:t>
      </w:r>
      <w:r w:rsidRPr="00B830BB">
        <w:rPr>
          <w:rFonts w:cs="Arial"/>
          <w:i/>
          <w:szCs w:val="22"/>
          <w:lang w:val="hr-HR"/>
        </w:rPr>
        <w:t>decision on admisibility</w:t>
      </w:r>
      <w:r w:rsidRPr="00B830BB">
        <w:rPr>
          <w:rFonts w:cs="Arial"/>
          <w:szCs w:val="22"/>
          <w:lang w:val="hr-HR"/>
        </w:rPr>
        <w:t xml:space="preserve">) te se Sud uopće ne upušta u odlučivanje o meritumu predmeta. </w:t>
      </w:r>
    </w:p>
    <w:p w:rsidR="0056798C" w:rsidRPr="00B830BB" w:rsidRDefault="0056798C" w:rsidP="0056798C">
      <w:pPr>
        <w:spacing w:line="360" w:lineRule="auto"/>
        <w:ind w:right="-329" w:firstLine="432"/>
        <w:jc w:val="both"/>
        <w:rPr>
          <w:rFonts w:cs="Arial"/>
          <w:szCs w:val="22"/>
          <w:lang w:val="hr-HR"/>
        </w:rPr>
      </w:pPr>
      <w:r w:rsidRPr="00B830BB">
        <w:rPr>
          <w:rFonts w:cs="Arial"/>
          <w:szCs w:val="22"/>
          <w:lang w:val="hr-HR"/>
        </w:rPr>
        <w:t xml:space="preserve">Tako, </w:t>
      </w:r>
      <w:r w:rsidRPr="00B830BB">
        <w:rPr>
          <w:rFonts w:cs="Arial"/>
          <w:i/>
          <w:szCs w:val="22"/>
          <w:lang w:val="hr-HR"/>
        </w:rPr>
        <w:t>inter alia</w:t>
      </w:r>
      <w:r w:rsidRPr="00B830BB">
        <w:rPr>
          <w:rFonts w:cs="Arial"/>
          <w:szCs w:val="22"/>
          <w:lang w:val="hr-HR"/>
        </w:rPr>
        <w:t xml:space="preserve">, izražavanja kojima su </w:t>
      </w:r>
      <w:r w:rsidR="00B828D9">
        <w:rPr>
          <w:rFonts w:cs="Arial"/>
          <w:szCs w:val="22"/>
          <w:lang w:val="hr-HR"/>
        </w:rPr>
        <w:t>bile promovirane</w:t>
      </w:r>
      <w:r w:rsidRPr="00B830BB">
        <w:rPr>
          <w:rFonts w:cs="Arial"/>
          <w:szCs w:val="22"/>
          <w:lang w:val="hr-HR"/>
        </w:rPr>
        <w:t xml:space="preserve"> nacističko-socijalne</w:t>
      </w:r>
      <w:r w:rsidR="00284FA1">
        <w:rPr>
          <w:rFonts w:cs="Arial"/>
          <w:szCs w:val="22"/>
          <w:lang w:val="hr-HR"/>
        </w:rPr>
        <w:t xml:space="preserve"> </w:t>
      </w:r>
      <w:r w:rsidRPr="00B830BB">
        <w:rPr>
          <w:rFonts w:cs="Arial"/>
          <w:szCs w:val="22"/>
          <w:lang w:val="hr-HR"/>
        </w:rPr>
        <w:t>vrijednosti  (Schimanek protiv Austrije</w:t>
      </w:r>
      <w:r w:rsidRPr="00B830BB">
        <w:rPr>
          <w:rFonts w:cs="Arial"/>
          <w:vertAlign w:val="superscript"/>
          <w:lang w:val="hr-HR"/>
        </w:rPr>
        <w:footnoteReference w:id="27"/>
      </w:r>
      <w:r w:rsidRPr="00B830BB">
        <w:rPr>
          <w:rFonts w:cs="Arial"/>
          <w:szCs w:val="22"/>
          <w:vertAlign w:val="superscript"/>
          <w:lang w:val="hr-HR"/>
        </w:rPr>
        <w:t>)</w:t>
      </w:r>
      <w:r w:rsidRPr="00B830BB">
        <w:rPr>
          <w:rFonts w:cs="Arial"/>
          <w:szCs w:val="22"/>
          <w:lang w:val="hr-HR"/>
        </w:rPr>
        <w:t>, negiranje holokausta (Garaudy protiv Francuske</w:t>
      </w:r>
      <w:r w:rsidRPr="00B830BB">
        <w:rPr>
          <w:rFonts w:cs="Arial"/>
          <w:vertAlign w:val="superscript"/>
          <w:lang w:val="hr-HR"/>
        </w:rPr>
        <w:footnoteReference w:id="28"/>
      </w:r>
      <w:r w:rsidRPr="00B830BB">
        <w:rPr>
          <w:rFonts w:cs="Arial"/>
          <w:szCs w:val="22"/>
          <w:lang w:val="hr-HR"/>
        </w:rPr>
        <w:t xml:space="preserve">), širenje vjerske </w:t>
      </w:r>
      <w:r w:rsidRPr="00B830BB">
        <w:rPr>
          <w:rFonts w:cs="Arial"/>
          <w:szCs w:val="22"/>
          <w:lang w:val="hr-HR"/>
        </w:rPr>
        <w:lastRenderedPageBreak/>
        <w:t>(Norwood protiv Ujedinjenog Kraljevstva</w:t>
      </w:r>
      <w:r w:rsidRPr="00B830BB">
        <w:rPr>
          <w:rFonts w:cs="Arial"/>
          <w:vertAlign w:val="superscript"/>
          <w:lang w:val="hr-HR"/>
        </w:rPr>
        <w:footnoteReference w:id="29"/>
      </w:r>
      <w:r w:rsidRPr="00B830BB">
        <w:rPr>
          <w:rFonts w:cs="Arial"/>
          <w:szCs w:val="22"/>
          <w:lang w:val="hr-HR"/>
        </w:rPr>
        <w:t>) i rasne mržnje (Glimmerveen and Hagenbeek protiv Nizozemske</w:t>
      </w:r>
      <w:r w:rsidRPr="00B830BB">
        <w:rPr>
          <w:rStyle w:val="FootnoteReference"/>
          <w:rFonts w:cs="Arial"/>
          <w:szCs w:val="22"/>
          <w:lang w:val="hr-HR"/>
        </w:rPr>
        <w:footnoteReference w:id="30"/>
      </w:r>
      <w:r w:rsidRPr="00B830BB">
        <w:rPr>
          <w:rFonts w:cs="Arial"/>
          <w:szCs w:val="22"/>
          <w:lang w:val="hr-HR"/>
        </w:rPr>
        <w:t xml:space="preserve">), nisu </w:t>
      </w:r>
      <w:r w:rsidR="00B828D9">
        <w:rPr>
          <w:rFonts w:cs="Arial"/>
          <w:szCs w:val="22"/>
          <w:lang w:val="hr-HR"/>
        </w:rPr>
        <w:t>bila</w:t>
      </w:r>
      <w:r w:rsidRPr="00B830BB">
        <w:rPr>
          <w:rFonts w:cs="Arial"/>
          <w:szCs w:val="22"/>
          <w:lang w:val="hr-HR"/>
        </w:rPr>
        <w:t xml:space="preserve"> podvedena pod članak 10., nego pod članak 17. </w:t>
      </w:r>
    </w:p>
    <w:p w:rsidR="0056798C" w:rsidRPr="00B830BB" w:rsidRDefault="0056798C" w:rsidP="0056798C">
      <w:pPr>
        <w:pStyle w:val="ListParagraph"/>
        <w:spacing w:line="360" w:lineRule="auto"/>
        <w:ind w:left="0" w:right="-329"/>
        <w:jc w:val="both"/>
        <w:rPr>
          <w:rFonts w:cs="Arial"/>
          <w:lang w:val="hr-HR"/>
        </w:rPr>
      </w:pPr>
    </w:p>
    <w:p w:rsidR="0056798C" w:rsidRPr="00B830BB" w:rsidRDefault="0056798C" w:rsidP="000C00C1">
      <w:pPr>
        <w:pStyle w:val="Heading4"/>
      </w:pPr>
      <w:bookmarkStart w:id="77" w:name="_Toc386285799"/>
      <w:bookmarkStart w:id="78" w:name="_Toc386498313"/>
      <w:bookmarkStart w:id="79" w:name="_Toc386563058"/>
      <w:bookmarkStart w:id="80" w:name="_Toc386567220"/>
      <w:bookmarkStart w:id="81" w:name="_Toc386619612"/>
      <w:proofErr w:type="gramStart"/>
      <w:r w:rsidRPr="00B830BB">
        <w:t>Članak 10.</w:t>
      </w:r>
      <w:proofErr w:type="gramEnd"/>
      <w:r w:rsidRPr="00B830BB">
        <w:t xml:space="preserve"> – Pravo </w:t>
      </w:r>
      <w:proofErr w:type="gramStart"/>
      <w:r w:rsidRPr="00B830BB">
        <w:t>na</w:t>
      </w:r>
      <w:proofErr w:type="gramEnd"/>
      <w:r w:rsidRPr="00B830BB">
        <w:t xml:space="preserve"> izražavanje</w:t>
      </w:r>
      <w:bookmarkEnd w:id="77"/>
      <w:bookmarkEnd w:id="78"/>
      <w:bookmarkEnd w:id="79"/>
      <w:bookmarkEnd w:id="80"/>
      <w:bookmarkEnd w:id="81"/>
    </w:p>
    <w:p w:rsidR="0056798C" w:rsidRPr="00B830BB" w:rsidRDefault="0056798C" w:rsidP="0056798C">
      <w:pPr>
        <w:pStyle w:val="ListParagraph"/>
        <w:spacing w:line="360" w:lineRule="auto"/>
        <w:ind w:left="0" w:right="-329"/>
        <w:jc w:val="both"/>
        <w:rPr>
          <w:rFonts w:cs="Arial"/>
          <w:lang w:val="hr-HR"/>
        </w:rPr>
      </w:pPr>
    </w:p>
    <w:p w:rsidR="0056798C" w:rsidRDefault="00284FA1" w:rsidP="00082519">
      <w:pPr>
        <w:pStyle w:val="ListParagraph"/>
        <w:spacing w:line="360" w:lineRule="auto"/>
        <w:ind w:left="0" w:right="-329" w:firstLine="708"/>
        <w:jc w:val="both"/>
        <w:rPr>
          <w:rFonts w:cs="Arial"/>
          <w:szCs w:val="22"/>
          <w:lang w:val="hr-HR"/>
        </w:rPr>
      </w:pPr>
      <w:r>
        <w:rPr>
          <w:rFonts w:cs="Arial"/>
          <w:szCs w:val="22"/>
          <w:lang w:val="hr-HR"/>
        </w:rPr>
        <w:t>Pravo na izražavanje nije ap</w:t>
      </w:r>
      <w:r w:rsidR="0056798C" w:rsidRPr="00B830BB">
        <w:rPr>
          <w:rFonts w:cs="Arial"/>
          <w:szCs w:val="22"/>
          <w:lang w:val="hr-HR"/>
        </w:rPr>
        <w:t xml:space="preserve">solutno pravo. </w:t>
      </w:r>
      <w:r w:rsidR="00082519">
        <w:rPr>
          <w:rFonts w:cs="Arial"/>
          <w:szCs w:val="22"/>
          <w:lang w:val="hr-HR"/>
        </w:rPr>
        <w:t>Nesporno je da se u svakoj, pa i u najdemokratskijoj, državi podrazumijevaju i određene dužnosti i odgovornosti sudionika javnog komuniciranja.</w:t>
      </w:r>
      <w:r w:rsidR="00082519">
        <w:rPr>
          <w:rStyle w:val="FootnoteReference"/>
          <w:rFonts w:cs="Arial"/>
          <w:szCs w:val="22"/>
          <w:lang w:val="hr-HR"/>
        </w:rPr>
        <w:footnoteReference w:id="31"/>
      </w:r>
      <w:r w:rsidR="00082519">
        <w:rPr>
          <w:rFonts w:cs="Arial"/>
          <w:szCs w:val="22"/>
          <w:lang w:val="hr-HR"/>
        </w:rPr>
        <w:t xml:space="preserve"> </w:t>
      </w:r>
      <w:r w:rsidR="0056798C" w:rsidRPr="00B830BB">
        <w:rPr>
          <w:rFonts w:cs="Arial"/>
          <w:szCs w:val="22"/>
          <w:lang w:val="hr-HR"/>
        </w:rPr>
        <w:t>Njegova ograničenja moguća su temeljem članka 10.</w:t>
      </w:r>
      <w:r w:rsidR="00D2329A">
        <w:rPr>
          <w:rFonts w:cs="Arial"/>
          <w:szCs w:val="22"/>
          <w:lang w:val="hr-HR"/>
        </w:rPr>
        <w:t xml:space="preserve"> stavka 2.</w:t>
      </w:r>
      <w:r w:rsidR="0056798C" w:rsidRPr="00B830BB">
        <w:rPr>
          <w:rFonts w:cs="Arial"/>
          <w:szCs w:val="22"/>
          <w:lang w:val="hr-HR"/>
        </w:rPr>
        <w:t xml:space="preserve"> Konvencije koji glasi: “Kako ostvarivanje tih sloboda obuhvaća dužnosti i odgovornosti, ono može biti podvrgnuto formalnostima, uvjetima, ograničenjima ili kaznama propisanim zakonom, koji su u demokratskom društvu nužni radi interesa državne sigurnosti, teritorijalne cjelovitosti ili javnog reda i mira, radi sprečavanja nereda ili zločina, radi zaštite zdravlja ili morala, radi zaštite ugleda ili prava drugih, radi sprečavanja odavanja povjerljivih informacija ili radi očuvanja autoriteta i nepristranosti sudbene vlasti.” </w:t>
      </w:r>
    </w:p>
    <w:p w:rsidR="0056798C" w:rsidRDefault="001B14B4" w:rsidP="0056798C">
      <w:pPr>
        <w:pStyle w:val="ListParagraph"/>
        <w:spacing w:line="360" w:lineRule="auto"/>
        <w:ind w:left="0" w:right="-329" w:firstLine="708"/>
        <w:jc w:val="both"/>
        <w:rPr>
          <w:rFonts w:cs="Arial"/>
          <w:szCs w:val="22"/>
          <w:lang w:val="hr-HR"/>
        </w:rPr>
      </w:pPr>
      <w:r>
        <w:rPr>
          <w:rFonts w:cs="Arial"/>
          <w:szCs w:val="22"/>
          <w:lang w:val="hr-HR"/>
        </w:rPr>
        <w:t>Za razmatranje ovog područja važan</w:t>
      </w:r>
      <w:r w:rsidR="0056798C">
        <w:rPr>
          <w:rFonts w:cs="Arial"/>
          <w:szCs w:val="22"/>
          <w:lang w:val="hr-HR"/>
        </w:rPr>
        <w:t xml:space="preserve"> je slučaj </w:t>
      </w:r>
      <w:r w:rsidR="0056798C" w:rsidRPr="00DF3651">
        <w:rPr>
          <w:rFonts w:cs="Arial"/>
          <w:i/>
          <w:szCs w:val="22"/>
          <w:lang w:val="hr-HR"/>
        </w:rPr>
        <w:t>Gunduz protiv Turske</w:t>
      </w:r>
      <w:r w:rsidR="0056798C">
        <w:rPr>
          <w:rFonts w:cs="Arial"/>
          <w:szCs w:val="22"/>
          <w:lang w:val="hr-HR"/>
        </w:rPr>
        <w:t xml:space="preserve"> u kojem je </w:t>
      </w:r>
      <w:r w:rsidR="00C855C1">
        <w:rPr>
          <w:rFonts w:cs="Arial"/>
          <w:szCs w:val="22"/>
          <w:lang w:val="hr-HR"/>
        </w:rPr>
        <w:t>S</w:t>
      </w:r>
      <w:r w:rsidR="0056798C">
        <w:rPr>
          <w:rFonts w:cs="Arial"/>
          <w:szCs w:val="22"/>
          <w:lang w:val="hr-HR"/>
        </w:rPr>
        <w:t>ud izrijekom naveo kako se u</w:t>
      </w:r>
      <w:r w:rsidR="0056798C" w:rsidRPr="007D5FFE">
        <w:rPr>
          <w:rFonts w:cs="Arial"/>
          <w:szCs w:val="22"/>
          <w:lang w:val="hr-HR"/>
        </w:rPr>
        <w:t xml:space="preserve"> određenim demokratskim društvima može, kao pitanje principa, smatrati nužnim sankcioniranje ili čak spr</w:t>
      </w:r>
      <w:r>
        <w:rPr>
          <w:rFonts w:cs="Arial"/>
          <w:szCs w:val="22"/>
          <w:lang w:val="hr-HR"/>
        </w:rPr>
        <w:t>j</w:t>
      </w:r>
      <w:r w:rsidR="0056798C" w:rsidRPr="007D5FFE">
        <w:rPr>
          <w:rFonts w:cs="Arial"/>
          <w:szCs w:val="22"/>
          <w:lang w:val="hr-HR"/>
        </w:rPr>
        <w:t>ečavanje svih oblika izražavanja koji šire, potiču, promoviraju ili opravdavaju mržnju koja se zasniva na netoleranciji (uključujuću vjersku netoleranciju) ukoliko su nametnute 'formalnosti', 'uvjeti', 'ograničenja' ili 'kazne' razmjerne legitimnom cilju kojem se teži.</w:t>
      </w:r>
      <w:r w:rsidR="0056798C" w:rsidRPr="00DF3651">
        <w:rPr>
          <w:rStyle w:val="FootnoteReference"/>
          <w:rFonts w:cs="Arial"/>
          <w:szCs w:val="22"/>
          <w:lang w:val="hr-HR"/>
        </w:rPr>
        <w:t xml:space="preserve"> </w:t>
      </w:r>
      <w:r w:rsidR="0056798C">
        <w:rPr>
          <w:rStyle w:val="FootnoteReference"/>
          <w:rFonts w:cs="Arial"/>
          <w:szCs w:val="22"/>
          <w:lang w:val="hr-HR"/>
        </w:rPr>
        <w:footnoteReference w:id="32"/>
      </w:r>
      <w:r w:rsidR="0056798C" w:rsidRPr="007D5FFE">
        <w:rPr>
          <w:rFonts w:cs="Arial"/>
          <w:szCs w:val="22"/>
          <w:lang w:val="hr-HR"/>
        </w:rPr>
        <w:t xml:space="preserve"> </w:t>
      </w:r>
      <w:r w:rsidR="0056798C">
        <w:rPr>
          <w:rFonts w:cs="Arial"/>
          <w:szCs w:val="22"/>
          <w:lang w:val="hr-HR"/>
        </w:rPr>
        <w:t xml:space="preserve">Sud je također potvrdio svoj stav iz presude </w:t>
      </w:r>
      <w:r w:rsidR="0056798C" w:rsidRPr="00DF3651">
        <w:rPr>
          <w:rFonts w:cs="Arial"/>
          <w:i/>
          <w:szCs w:val="22"/>
          <w:lang w:val="hr-HR"/>
        </w:rPr>
        <w:t>Jersild protiv Danske</w:t>
      </w:r>
      <w:r w:rsidR="0056798C">
        <w:rPr>
          <w:rFonts w:cs="Arial"/>
          <w:szCs w:val="22"/>
          <w:lang w:val="hr-HR"/>
        </w:rPr>
        <w:t xml:space="preserve"> </w:t>
      </w:r>
      <w:r w:rsidR="00C91066">
        <w:rPr>
          <w:rFonts w:cs="Arial"/>
          <w:szCs w:val="22"/>
          <w:lang w:val="hr-HR"/>
        </w:rPr>
        <w:t>kako</w:t>
      </w:r>
      <w:r w:rsidR="0056798C">
        <w:rPr>
          <w:rFonts w:cs="Arial"/>
          <w:szCs w:val="22"/>
          <w:lang w:val="hr-HR"/>
        </w:rPr>
        <w:t xml:space="preserve"> </w:t>
      </w:r>
      <w:r w:rsidR="0056798C" w:rsidRPr="007D5FFE">
        <w:rPr>
          <w:rFonts w:cs="Arial"/>
          <w:szCs w:val="22"/>
          <w:lang w:val="hr-HR"/>
        </w:rPr>
        <w:t>nema sumnje da konkretni izrazi, koji predstavljaju govor mržnje</w:t>
      </w:r>
      <w:r w:rsidR="00C91066">
        <w:rPr>
          <w:rFonts w:cs="Arial"/>
          <w:szCs w:val="22"/>
          <w:lang w:val="hr-HR"/>
        </w:rPr>
        <w:t xml:space="preserve"> te</w:t>
      </w:r>
      <w:r w:rsidR="0056798C" w:rsidRPr="007D5FFE">
        <w:rPr>
          <w:rFonts w:cs="Arial"/>
          <w:szCs w:val="22"/>
          <w:lang w:val="hr-HR"/>
        </w:rPr>
        <w:t xml:space="preserve"> koji mogu biti uvredljivi određenim osobama ili grupama, nisu zaštićeni člankom 10. Konvencije.</w:t>
      </w:r>
      <w:r w:rsidR="0056798C">
        <w:rPr>
          <w:rStyle w:val="FootnoteReference"/>
          <w:rFonts w:cs="Arial"/>
          <w:szCs w:val="22"/>
          <w:lang w:val="hr-HR"/>
        </w:rPr>
        <w:footnoteReference w:id="33"/>
      </w:r>
    </w:p>
    <w:p w:rsidR="0056798C" w:rsidRDefault="0056798C" w:rsidP="0056798C">
      <w:pPr>
        <w:pStyle w:val="ListParagraph"/>
        <w:spacing w:line="360" w:lineRule="auto"/>
        <w:ind w:left="0" w:right="-329" w:firstLine="576"/>
        <w:jc w:val="both"/>
        <w:rPr>
          <w:rFonts w:cs="Arial"/>
          <w:szCs w:val="22"/>
          <w:lang w:val="hr-HR"/>
        </w:rPr>
      </w:pPr>
      <w:r w:rsidRPr="00B830BB">
        <w:rPr>
          <w:rFonts w:cs="Arial"/>
          <w:szCs w:val="22"/>
          <w:lang w:val="hr-HR"/>
        </w:rPr>
        <w:t>Onda kada je izražavanje u pitanju okvalificirano kao govor mržnje, bit će ispitano pod člankom 10.</w:t>
      </w:r>
      <w:r w:rsidR="00FE5F18">
        <w:rPr>
          <w:rFonts w:cs="Arial"/>
          <w:szCs w:val="22"/>
          <w:lang w:val="hr-HR"/>
        </w:rPr>
        <w:t>,</w:t>
      </w:r>
      <w:r w:rsidRPr="00B830BB">
        <w:rPr>
          <w:rFonts w:cs="Arial"/>
          <w:szCs w:val="22"/>
          <w:lang w:val="hr-HR"/>
        </w:rPr>
        <w:t xml:space="preserve"> </w:t>
      </w:r>
      <w:r w:rsidR="00FE5F18">
        <w:rPr>
          <w:rFonts w:cs="Arial"/>
          <w:szCs w:val="22"/>
          <w:lang w:val="hr-HR"/>
        </w:rPr>
        <w:t>ukoliko</w:t>
      </w:r>
      <w:r w:rsidRPr="00B830BB">
        <w:rPr>
          <w:rFonts w:cs="Arial"/>
          <w:szCs w:val="22"/>
          <w:lang w:val="hr-HR"/>
        </w:rPr>
        <w:t xml:space="preserve"> on nije takvog intenziteta da teži negiranju fundamentalnih ljudskih prava. Za potrebe ovog rada, bitno je napomenuti kako je praksa Suda u pogledu interneta za sada još uvijek izrazito oskudna. U presudama koje su pak do sada izrečene, a</w:t>
      </w:r>
      <w:r w:rsidR="00284FA1">
        <w:rPr>
          <w:rFonts w:cs="Arial"/>
          <w:szCs w:val="22"/>
          <w:lang w:val="hr-HR"/>
        </w:rPr>
        <w:t>nalogijom iz drugih medija prim</w:t>
      </w:r>
      <w:r w:rsidRPr="00B830BB">
        <w:rPr>
          <w:rFonts w:cs="Arial"/>
          <w:szCs w:val="22"/>
          <w:lang w:val="hr-HR"/>
        </w:rPr>
        <w:t xml:space="preserve">jenjuju </w:t>
      </w:r>
      <w:r w:rsidR="00D902E9">
        <w:rPr>
          <w:rFonts w:cs="Arial"/>
          <w:szCs w:val="22"/>
          <w:lang w:val="hr-HR"/>
        </w:rPr>
        <w:t>se</w:t>
      </w:r>
      <w:r w:rsidRPr="00B830BB">
        <w:rPr>
          <w:rFonts w:cs="Arial"/>
          <w:szCs w:val="22"/>
          <w:lang w:val="hr-HR"/>
        </w:rPr>
        <w:t xml:space="preserve"> formulirana pravna načela. </w:t>
      </w:r>
    </w:p>
    <w:p w:rsidR="0056798C" w:rsidRDefault="0056798C" w:rsidP="0056798C">
      <w:pPr>
        <w:pStyle w:val="ListParagraph"/>
        <w:spacing w:line="360" w:lineRule="auto"/>
        <w:ind w:left="0" w:right="-329" w:firstLine="576"/>
        <w:jc w:val="both"/>
        <w:rPr>
          <w:rFonts w:cs="Arial"/>
          <w:szCs w:val="22"/>
          <w:lang w:val="hr-HR"/>
        </w:rPr>
      </w:pPr>
    </w:p>
    <w:p w:rsidR="0056798C" w:rsidRDefault="0056798C" w:rsidP="0056798C">
      <w:pPr>
        <w:pStyle w:val="Heading4"/>
        <w:rPr>
          <w:lang w:val="hr-HR"/>
        </w:rPr>
      </w:pPr>
      <w:bookmarkStart w:id="82" w:name="_Toc386285800"/>
      <w:bookmarkStart w:id="83" w:name="_Toc386498314"/>
      <w:bookmarkStart w:id="84" w:name="_Toc386563059"/>
      <w:bookmarkStart w:id="85" w:name="_Toc386567221"/>
      <w:bookmarkStart w:id="86" w:name="_Toc386619613"/>
      <w:r>
        <w:rPr>
          <w:lang w:val="hr-HR"/>
        </w:rPr>
        <w:lastRenderedPageBreak/>
        <w:t>Trostupanjski test</w:t>
      </w:r>
      <w:bookmarkEnd w:id="82"/>
      <w:bookmarkEnd w:id="83"/>
      <w:bookmarkEnd w:id="84"/>
      <w:bookmarkEnd w:id="85"/>
      <w:bookmarkEnd w:id="86"/>
      <w:r>
        <w:rPr>
          <w:lang w:val="hr-HR"/>
        </w:rPr>
        <w:t xml:space="preserve"> </w:t>
      </w:r>
    </w:p>
    <w:p w:rsidR="0056798C" w:rsidRPr="007E12DD" w:rsidRDefault="0056798C" w:rsidP="0056798C">
      <w:pPr>
        <w:rPr>
          <w:lang w:val="hr-HR"/>
        </w:rPr>
      </w:pPr>
    </w:p>
    <w:p w:rsidR="0056798C" w:rsidRPr="00B830BB" w:rsidRDefault="0056798C" w:rsidP="0056798C">
      <w:pPr>
        <w:pStyle w:val="ListParagraph"/>
        <w:spacing w:line="360" w:lineRule="auto"/>
        <w:ind w:left="0" w:right="-329" w:firstLine="576"/>
        <w:jc w:val="both"/>
        <w:rPr>
          <w:rFonts w:cs="Arial"/>
          <w:szCs w:val="22"/>
          <w:lang w:val="hr-HR"/>
        </w:rPr>
      </w:pPr>
      <w:r w:rsidRPr="00B830BB">
        <w:rPr>
          <w:rFonts w:cs="Arial"/>
          <w:szCs w:val="22"/>
          <w:lang w:val="hr-HR"/>
        </w:rPr>
        <w:t>Pri primjeni članka 10., Sud će činjenice slučaja testirati kroz tzv. trostupanjski t</w:t>
      </w:r>
      <w:r>
        <w:rPr>
          <w:rFonts w:cs="Arial"/>
          <w:szCs w:val="22"/>
          <w:lang w:val="hr-HR"/>
        </w:rPr>
        <w:t>est. Sud polazi od premisa da</w:t>
      </w:r>
      <w:r w:rsidRPr="00B830BB">
        <w:rPr>
          <w:rFonts w:cs="Arial"/>
          <w:szCs w:val="22"/>
          <w:lang w:val="hr-HR"/>
        </w:rPr>
        <w:t xml:space="preserve"> ograničenj</w:t>
      </w:r>
      <w:r>
        <w:rPr>
          <w:rFonts w:cs="Arial"/>
          <w:szCs w:val="22"/>
          <w:lang w:val="hr-HR"/>
        </w:rPr>
        <w:t xml:space="preserve">e mora biti propisano zakonom, </w:t>
      </w:r>
      <w:r w:rsidRPr="00B830BB">
        <w:rPr>
          <w:rFonts w:cs="Arial"/>
          <w:szCs w:val="22"/>
          <w:lang w:val="hr-HR"/>
        </w:rPr>
        <w:t>služi</w:t>
      </w:r>
      <w:r>
        <w:rPr>
          <w:rFonts w:cs="Arial"/>
          <w:szCs w:val="22"/>
          <w:lang w:val="hr-HR"/>
        </w:rPr>
        <w:t>ti</w:t>
      </w:r>
      <w:r w:rsidRPr="00B830BB">
        <w:rPr>
          <w:rFonts w:cs="Arial"/>
          <w:szCs w:val="22"/>
          <w:lang w:val="hr-HR"/>
        </w:rPr>
        <w:t xml:space="preserve"> postizanju legitimnog cilja</w:t>
      </w:r>
      <w:r>
        <w:rPr>
          <w:rFonts w:cs="Arial"/>
          <w:szCs w:val="22"/>
          <w:lang w:val="hr-HR"/>
        </w:rPr>
        <w:t xml:space="preserve"> i biti nužno u demokratskom društvu pri procjeni čega se najviše pozornosti pridaje pitanju proporcionalnosti mjera u odnosu na cilj koji se želi postići. Pri određivanju svoga djelovanja</w:t>
      </w:r>
      <w:r w:rsidRPr="00B830BB">
        <w:rPr>
          <w:rFonts w:cs="Arial"/>
          <w:szCs w:val="22"/>
          <w:lang w:val="hr-HR"/>
        </w:rPr>
        <w:t>, prema ustanovljeno</w:t>
      </w:r>
      <w:r>
        <w:rPr>
          <w:rFonts w:cs="Arial"/>
          <w:szCs w:val="22"/>
          <w:lang w:val="hr-HR"/>
        </w:rPr>
        <w:t>j praksi, države imaju pravo na slobodnu procjenu</w:t>
      </w:r>
      <w:r w:rsidRPr="00B830BB">
        <w:rPr>
          <w:rFonts w:cs="Arial"/>
          <w:szCs w:val="22"/>
          <w:lang w:val="hr-HR"/>
        </w:rPr>
        <w:t xml:space="preserve"> koja ovisno o cjelokupnim okolnostima slučaja može biti uža ili šira, zbog </w:t>
      </w:r>
      <w:r w:rsidR="00D902E9">
        <w:rPr>
          <w:rFonts w:cs="Arial"/>
          <w:szCs w:val="22"/>
          <w:lang w:val="hr-HR"/>
        </w:rPr>
        <w:t>čega</w:t>
      </w:r>
      <w:r w:rsidRPr="00B830BB">
        <w:rPr>
          <w:rFonts w:cs="Arial"/>
          <w:szCs w:val="22"/>
          <w:lang w:val="hr-HR"/>
        </w:rPr>
        <w:t xml:space="preserve"> je izrazito bitno </w:t>
      </w:r>
      <w:r w:rsidR="00D902E9">
        <w:rPr>
          <w:rFonts w:cs="Arial"/>
          <w:szCs w:val="22"/>
          <w:lang w:val="hr-HR"/>
        </w:rPr>
        <w:t>svakom slučaju pristupati na  individualan način</w:t>
      </w:r>
      <w:r w:rsidRPr="00B830BB">
        <w:rPr>
          <w:rFonts w:cs="Arial"/>
          <w:szCs w:val="22"/>
          <w:lang w:val="hr-HR"/>
        </w:rPr>
        <w:t xml:space="preserve">. Poprilično široku odredbu potrebno je protumačiti sukladno </w:t>
      </w:r>
      <w:r w:rsidR="007727E9">
        <w:rPr>
          <w:rFonts w:cs="Arial"/>
          <w:szCs w:val="22"/>
          <w:lang w:val="hr-HR"/>
        </w:rPr>
        <w:t xml:space="preserve">ustaljenoj </w:t>
      </w:r>
      <w:r w:rsidRPr="00B830BB">
        <w:rPr>
          <w:rFonts w:cs="Arial"/>
          <w:szCs w:val="22"/>
          <w:lang w:val="hr-HR"/>
        </w:rPr>
        <w:t xml:space="preserve">praksi. </w:t>
      </w:r>
    </w:p>
    <w:p w:rsidR="00CF2272" w:rsidRPr="00B830BB" w:rsidRDefault="00CF2272" w:rsidP="0056798C">
      <w:pPr>
        <w:spacing w:line="360" w:lineRule="auto"/>
        <w:ind w:right="-329"/>
        <w:jc w:val="both"/>
        <w:rPr>
          <w:rFonts w:cs="Arial"/>
          <w:szCs w:val="22"/>
          <w:lang w:val="hr-HR"/>
        </w:rPr>
      </w:pPr>
    </w:p>
    <w:p w:rsidR="0056798C" w:rsidRPr="00B830BB" w:rsidRDefault="0056798C" w:rsidP="0056798C">
      <w:pPr>
        <w:rPr>
          <w:rFonts w:cs="Arial"/>
          <w:i/>
          <w:lang w:val="hr-HR"/>
        </w:rPr>
      </w:pPr>
      <w:r>
        <w:rPr>
          <w:rFonts w:cs="Arial"/>
          <w:i/>
          <w:lang w:val="hr-HR"/>
        </w:rPr>
        <w:t>1</w:t>
      </w:r>
      <w:r w:rsidRPr="00B830BB">
        <w:rPr>
          <w:rFonts w:cs="Arial"/>
          <w:i/>
          <w:lang w:val="hr-HR"/>
        </w:rPr>
        <w:t>. stupanj – propisano zakonom</w:t>
      </w:r>
    </w:p>
    <w:p w:rsidR="0056798C" w:rsidRPr="00B830BB" w:rsidRDefault="0056798C" w:rsidP="0056798C">
      <w:pPr>
        <w:pStyle w:val="ListParagraph"/>
        <w:rPr>
          <w:rFonts w:cs="Arial"/>
          <w:szCs w:val="22"/>
          <w:lang w:val="hr-HR"/>
        </w:rPr>
      </w:pPr>
    </w:p>
    <w:p w:rsidR="0056798C" w:rsidRPr="00B830BB" w:rsidRDefault="0056798C" w:rsidP="001113BC">
      <w:pPr>
        <w:pStyle w:val="ListParagraph"/>
        <w:spacing w:line="360" w:lineRule="auto"/>
        <w:ind w:left="0" w:right="-329" w:firstLine="578"/>
        <w:jc w:val="both"/>
        <w:rPr>
          <w:rFonts w:cs="Arial"/>
          <w:szCs w:val="22"/>
          <w:lang w:val="hr-HR"/>
        </w:rPr>
      </w:pPr>
      <w:r w:rsidRPr="00B830BB">
        <w:rPr>
          <w:rFonts w:cs="Arial"/>
          <w:szCs w:val="22"/>
          <w:lang w:val="hr-HR"/>
        </w:rPr>
        <w:t>Iz prakse Suda</w:t>
      </w:r>
      <w:r w:rsidR="00D902E9" w:rsidRPr="00B830BB">
        <w:rPr>
          <w:rFonts w:cs="Arial"/>
          <w:szCs w:val="22"/>
          <w:vertAlign w:val="superscript"/>
          <w:lang w:val="hr-HR"/>
        </w:rPr>
        <w:footnoteReference w:id="34"/>
      </w:r>
      <w:r w:rsidRPr="00B830BB">
        <w:rPr>
          <w:rFonts w:cs="Arial"/>
          <w:szCs w:val="22"/>
          <w:lang w:val="hr-HR"/>
        </w:rPr>
        <w:t xml:space="preserve"> proizlazi da svaka interferencija kojom se ograničava pravo na izražavanje mora imati uporište u nacionalnom pravu. Međutim, Sud navedeno stajalište tumači ekstenzivno te će odlučivati i o kvaliteti zakona – o njegovoj dostupnosti i predvidljivosti posljedica pri čemu je potonje naročito važno: „[zakon] formuliran s dovoljnom preciznošću koja omogućuje građaninu – ako je potrebno, uz savjet – da predvidi, do one mjere koja je razumna u određenim okolnostima, posljedice koje bi mogle nastati...“</w:t>
      </w:r>
      <w:r w:rsidRPr="00B830BB">
        <w:rPr>
          <w:rFonts w:cs="Arial"/>
          <w:szCs w:val="22"/>
          <w:vertAlign w:val="superscript"/>
          <w:lang w:val="hr-HR"/>
        </w:rPr>
        <w:footnoteReference w:id="35"/>
      </w:r>
      <w:r w:rsidRPr="00B830BB">
        <w:rPr>
          <w:rFonts w:cs="Arial"/>
          <w:szCs w:val="22"/>
          <w:lang w:val="hr-HR"/>
        </w:rPr>
        <w:t xml:space="preserve"> Posljedice koje se pritom podrazumijevaju su formalnosti, uvjeti, ograničenja ili kazne.</w:t>
      </w:r>
      <w:r w:rsidRPr="00B830BB">
        <w:rPr>
          <w:rFonts w:cs="Arial"/>
          <w:szCs w:val="22"/>
          <w:vertAlign w:val="superscript"/>
          <w:lang w:val="hr-HR"/>
        </w:rPr>
        <w:footnoteReference w:id="36"/>
      </w:r>
    </w:p>
    <w:p w:rsidR="0056798C" w:rsidRPr="00B830BB" w:rsidRDefault="0056798C" w:rsidP="001113BC">
      <w:pPr>
        <w:pStyle w:val="ListParagraph"/>
        <w:spacing w:line="360" w:lineRule="auto"/>
        <w:ind w:left="0" w:right="-329" w:firstLine="578"/>
        <w:jc w:val="both"/>
        <w:rPr>
          <w:rFonts w:cs="Arial"/>
          <w:szCs w:val="22"/>
          <w:lang w:val="hr-HR"/>
        </w:rPr>
      </w:pPr>
      <w:r w:rsidRPr="00B830BB">
        <w:rPr>
          <w:rFonts w:cs="Arial"/>
          <w:szCs w:val="22"/>
          <w:lang w:val="hr-HR"/>
        </w:rPr>
        <w:t xml:space="preserve">Naročito je bitno da pojedinac mora iz formulacije pravne odredbe znati (ponovno, ako je potrebno uz pravni savjet) koja djela ili propusti će podrazumijevati nastanak njegove kaznene odgovornosti te </w:t>
      </w:r>
      <w:r w:rsidR="0080507A">
        <w:rPr>
          <w:rFonts w:cs="Arial"/>
          <w:szCs w:val="22"/>
          <w:lang w:val="hr-HR"/>
        </w:rPr>
        <w:t>primjenu</w:t>
      </w:r>
      <w:r w:rsidR="002B0846">
        <w:rPr>
          <w:rFonts w:cs="Arial"/>
          <w:szCs w:val="22"/>
          <w:lang w:val="hr-HR"/>
        </w:rPr>
        <w:t xml:space="preserve"> predvi</w:t>
      </w:r>
      <w:r w:rsidR="0080507A">
        <w:rPr>
          <w:rFonts w:cs="Arial"/>
          <w:szCs w:val="22"/>
          <w:lang w:val="hr-HR"/>
        </w:rPr>
        <w:t>đene</w:t>
      </w:r>
      <w:r w:rsidR="006A3195">
        <w:rPr>
          <w:rFonts w:cs="Arial"/>
          <w:szCs w:val="22"/>
          <w:lang w:val="hr-HR"/>
        </w:rPr>
        <w:t xml:space="preserve"> kazne</w:t>
      </w:r>
      <w:r w:rsidRPr="00B830BB">
        <w:rPr>
          <w:rFonts w:cs="Arial"/>
          <w:szCs w:val="22"/>
          <w:lang w:val="hr-HR"/>
        </w:rPr>
        <w:t xml:space="preserve"> za to djelo ili propust.</w:t>
      </w:r>
      <w:r w:rsidRPr="00B830BB">
        <w:rPr>
          <w:rFonts w:cs="Arial"/>
          <w:szCs w:val="22"/>
          <w:vertAlign w:val="superscript"/>
          <w:lang w:val="hr-HR"/>
        </w:rPr>
        <w:footnoteReference w:id="37"/>
      </w:r>
    </w:p>
    <w:p w:rsidR="0056798C" w:rsidRPr="00B830BB" w:rsidRDefault="0056798C" w:rsidP="0056798C">
      <w:pPr>
        <w:pStyle w:val="ListParagraph"/>
        <w:spacing w:line="360" w:lineRule="auto"/>
        <w:ind w:left="0" w:right="-329"/>
        <w:jc w:val="both"/>
        <w:rPr>
          <w:rFonts w:cs="Arial"/>
          <w:lang w:val="hr-HR"/>
        </w:rPr>
      </w:pPr>
    </w:p>
    <w:p w:rsidR="0056798C" w:rsidRPr="00B830BB" w:rsidRDefault="0056798C" w:rsidP="0056798C">
      <w:pPr>
        <w:rPr>
          <w:rFonts w:cs="Arial"/>
          <w:i/>
          <w:lang w:val="hr-HR"/>
        </w:rPr>
      </w:pPr>
      <w:r>
        <w:rPr>
          <w:rFonts w:cs="Arial"/>
          <w:i/>
          <w:lang w:val="hr-HR"/>
        </w:rPr>
        <w:t>2</w:t>
      </w:r>
      <w:r w:rsidRPr="00B830BB">
        <w:rPr>
          <w:rFonts w:cs="Arial"/>
          <w:i/>
          <w:lang w:val="hr-HR"/>
        </w:rPr>
        <w:t xml:space="preserve">. stupanj – postojanje legitimnog cilja </w:t>
      </w:r>
    </w:p>
    <w:p w:rsidR="0056798C" w:rsidRPr="00B830BB" w:rsidRDefault="0056798C" w:rsidP="0056798C">
      <w:pPr>
        <w:pStyle w:val="ListParagraph"/>
        <w:spacing w:line="360" w:lineRule="auto"/>
        <w:ind w:left="0" w:right="-329"/>
        <w:jc w:val="both"/>
        <w:rPr>
          <w:rFonts w:cs="Arial"/>
          <w:szCs w:val="22"/>
          <w:lang w:val="hr-HR"/>
        </w:rPr>
      </w:pPr>
    </w:p>
    <w:p w:rsidR="0056798C" w:rsidRDefault="0056798C" w:rsidP="0056798C">
      <w:pPr>
        <w:pStyle w:val="ListParagraph"/>
        <w:spacing w:line="360" w:lineRule="auto"/>
        <w:ind w:left="0" w:right="-329" w:firstLine="576"/>
        <w:jc w:val="both"/>
        <w:rPr>
          <w:rFonts w:cs="Arial"/>
          <w:szCs w:val="22"/>
          <w:lang w:val="hr-HR"/>
        </w:rPr>
      </w:pPr>
      <w:r w:rsidRPr="00B830BB">
        <w:rPr>
          <w:rFonts w:cs="Arial"/>
          <w:szCs w:val="22"/>
          <w:lang w:val="hr-HR"/>
        </w:rPr>
        <w:t xml:space="preserve">Stavak 2. </w:t>
      </w:r>
      <w:r w:rsidR="00CF2272">
        <w:rPr>
          <w:rFonts w:cs="Arial"/>
          <w:szCs w:val="22"/>
          <w:lang w:val="hr-HR"/>
        </w:rPr>
        <w:t>č</w:t>
      </w:r>
      <w:r w:rsidRPr="00B830BB">
        <w:rPr>
          <w:rFonts w:cs="Arial"/>
          <w:szCs w:val="22"/>
          <w:lang w:val="hr-HR"/>
        </w:rPr>
        <w:t>lanka 10. Konvencije daje konkretan i taksativan popis ciljeva koje smatra legitimnima, a to su: državna sigurnost, teritorijalna cjelovitost ili javni red i mir, sprječavanja nereda ili zločina, zaštita zdravlja ili morala, zaštita ugleda ili prava drugih, sprječavanje odavanja povjerljivih informacija ili očuvanje autoriteta i nepristranosti sudbene vlasti.</w:t>
      </w:r>
    </w:p>
    <w:p w:rsidR="004D09A9" w:rsidRDefault="004D09A9" w:rsidP="0056798C">
      <w:pPr>
        <w:pStyle w:val="ListParagraph"/>
        <w:spacing w:line="360" w:lineRule="auto"/>
        <w:ind w:left="0" w:right="-329" w:firstLine="576"/>
        <w:jc w:val="both"/>
        <w:rPr>
          <w:rFonts w:cs="Arial"/>
          <w:szCs w:val="22"/>
          <w:lang w:val="hr-HR"/>
        </w:rPr>
      </w:pPr>
    </w:p>
    <w:p w:rsidR="0056798C" w:rsidRDefault="0056798C" w:rsidP="0056798C">
      <w:pPr>
        <w:pStyle w:val="ListParagraph"/>
        <w:spacing w:line="360" w:lineRule="auto"/>
        <w:ind w:left="0" w:right="-329" w:firstLine="576"/>
        <w:jc w:val="both"/>
        <w:rPr>
          <w:rFonts w:cs="Arial"/>
          <w:szCs w:val="22"/>
          <w:lang w:val="hr-HR"/>
        </w:rPr>
      </w:pPr>
    </w:p>
    <w:p w:rsidR="0056798C" w:rsidRPr="00B830BB" w:rsidRDefault="0056798C" w:rsidP="0056798C">
      <w:pPr>
        <w:rPr>
          <w:rFonts w:cs="Arial"/>
          <w:i/>
          <w:lang w:val="hr-HR"/>
        </w:rPr>
      </w:pPr>
      <w:r>
        <w:rPr>
          <w:rFonts w:cs="Arial"/>
          <w:i/>
          <w:lang w:val="hr-HR"/>
        </w:rPr>
        <w:lastRenderedPageBreak/>
        <w:t>3</w:t>
      </w:r>
      <w:r w:rsidRPr="00B830BB">
        <w:rPr>
          <w:rFonts w:cs="Arial"/>
          <w:i/>
          <w:lang w:val="hr-HR"/>
        </w:rPr>
        <w:t>. stupanj – nužno u demokratskom društvu</w:t>
      </w:r>
    </w:p>
    <w:p w:rsidR="0056798C" w:rsidRPr="00B830BB" w:rsidRDefault="0056798C" w:rsidP="0056798C">
      <w:pPr>
        <w:spacing w:line="360" w:lineRule="auto"/>
        <w:ind w:right="-329"/>
        <w:jc w:val="both"/>
        <w:rPr>
          <w:rFonts w:cs="Arial"/>
          <w:szCs w:val="22"/>
          <w:lang w:val="hr-HR"/>
        </w:rPr>
      </w:pPr>
    </w:p>
    <w:p w:rsidR="0056798C" w:rsidRPr="00B830BB" w:rsidRDefault="0056798C" w:rsidP="0056798C">
      <w:pPr>
        <w:pStyle w:val="ListParagraph"/>
        <w:spacing w:line="360" w:lineRule="auto"/>
        <w:ind w:left="0" w:right="-329" w:firstLine="576"/>
        <w:jc w:val="both"/>
        <w:rPr>
          <w:rFonts w:cs="Arial"/>
          <w:szCs w:val="22"/>
          <w:lang w:val="hr-HR"/>
        </w:rPr>
      </w:pPr>
      <w:r w:rsidRPr="00B830BB">
        <w:rPr>
          <w:rFonts w:cs="Arial"/>
          <w:szCs w:val="22"/>
          <w:lang w:val="hr-HR"/>
        </w:rPr>
        <w:t xml:space="preserve">U već spomenutom </w:t>
      </w:r>
      <w:r w:rsidR="00900DCA">
        <w:rPr>
          <w:rFonts w:cs="Arial"/>
          <w:szCs w:val="22"/>
          <w:lang w:val="hr-HR"/>
        </w:rPr>
        <w:t>predmetu</w:t>
      </w:r>
      <w:r w:rsidRPr="00B830BB">
        <w:rPr>
          <w:rFonts w:cs="Arial"/>
          <w:szCs w:val="22"/>
          <w:lang w:val="hr-HR"/>
        </w:rPr>
        <w:t xml:space="preserve"> </w:t>
      </w:r>
      <w:r w:rsidRPr="001113BC">
        <w:rPr>
          <w:rFonts w:cs="Arial"/>
          <w:i/>
          <w:szCs w:val="22"/>
          <w:lang w:val="hr-HR"/>
        </w:rPr>
        <w:t>Handyside protiv Ujedinjenog Kraljevstva</w:t>
      </w:r>
      <w:r w:rsidRPr="00B830BB">
        <w:rPr>
          <w:rFonts w:cs="Arial"/>
          <w:szCs w:val="22"/>
          <w:vertAlign w:val="superscript"/>
          <w:lang w:val="hr-HR"/>
        </w:rPr>
        <w:footnoteReference w:id="38"/>
      </w:r>
      <w:r w:rsidRPr="00B830BB">
        <w:rPr>
          <w:rFonts w:cs="Arial"/>
          <w:szCs w:val="22"/>
          <w:lang w:val="hr-HR"/>
        </w:rPr>
        <w:t xml:space="preserve">, Sud je protumačio da se pojam “nužno” u kontekstu </w:t>
      </w:r>
      <w:r w:rsidR="00900DCA">
        <w:rPr>
          <w:rFonts w:cs="Arial"/>
          <w:szCs w:val="22"/>
          <w:lang w:val="hr-HR"/>
        </w:rPr>
        <w:t>slučaja</w:t>
      </w:r>
      <w:r w:rsidR="00750F56">
        <w:rPr>
          <w:rFonts w:cs="Arial"/>
          <w:szCs w:val="22"/>
          <w:lang w:val="hr-HR"/>
        </w:rPr>
        <w:t xml:space="preserve"> treba razum</w:t>
      </w:r>
      <w:r w:rsidRPr="00B830BB">
        <w:rPr>
          <w:rFonts w:cs="Arial"/>
          <w:szCs w:val="22"/>
          <w:lang w:val="hr-HR"/>
        </w:rPr>
        <w:t xml:space="preserve">jeti na način da implicira postojanje hitne društvene potrebe (eng. </w:t>
      </w:r>
      <w:r w:rsidRPr="00B830BB">
        <w:rPr>
          <w:rFonts w:cs="Arial"/>
          <w:i/>
          <w:szCs w:val="22"/>
          <w:lang w:val="hr-HR"/>
        </w:rPr>
        <w:t>pressing social need</w:t>
      </w:r>
      <w:r w:rsidRPr="00B830BB">
        <w:rPr>
          <w:rFonts w:cs="Arial"/>
          <w:szCs w:val="22"/>
          <w:lang w:val="hr-HR"/>
        </w:rPr>
        <w:t>). Teret dokaza za njeno postojanje leži na državi. No Sud mora promatrati čin m</w:t>
      </w:r>
      <w:r w:rsidR="00750F56">
        <w:rPr>
          <w:rFonts w:cs="Arial"/>
          <w:szCs w:val="22"/>
          <w:lang w:val="hr-HR"/>
        </w:rPr>
        <w:t>iješanja države u sv</w:t>
      </w:r>
      <w:r w:rsidRPr="00B830BB">
        <w:rPr>
          <w:rFonts w:cs="Arial"/>
          <w:szCs w:val="22"/>
          <w:lang w:val="hr-HR"/>
        </w:rPr>
        <w:t>jetlu svih činje</w:t>
      </w:r>
      <w:r w:rsidR="00750F56">
        <w:rPr>
          <w:rFonts w:cs="Arial"/>
          <w:szCs w:val="22"/>
          <w:lang w:val="hr-HR"/>
        </w:rPr>
        <w:t>nica te u sv</w:t>
      </w:r>
      <w:r>
        <w:rPr>
          <w:rFonts w:cs="Arial"/>
          <w:szCs w:val="22"/>
          <w:lang w:val="hr-HR"/>
        </w:rPr>
        <w:t xml:space="preserve">jetlu slučaja u </w:t>
      </w:r>
      <w:r w:rsidR="00750F56">
        <w:rPr>
          <w:rFonts w:cs="Arial"/>
          <w:szCs w:val="22"/>
          <w:lang w:val="hr-HR"/>
        </w:rPr>
        <w:t>c</w:t>
      </w:r>
      <w:r w:rsidRPr="00B830BB">
        <w:rPr>
          <w:rFonts w:cs="Arial"/>
          <w:szCs w:val="22"/>
          <w:lang w:val="hr-HR"/>
        </w:rPr>
        <w:t xml:space="preserve">jelini, s posebnim osvrtom na sadržaj izražavanja u pitanju te kontekst u kojem je on izjavljen. </w:t>
      </w:r>
    </w:p>
    <w:p w:rsidR="0056798C" w:rsidRPr="004A2C1D" w:rsidRDefault="0056798C" w:rsidP="00CF2272">
      <w:pPr>
        <w:pStyle w:val="ListParagraph"/>
        <w:spacing w:line="360" w:lineRule="auto"/>
        <w:ind w:left="0" w:right="-329" w:firstLine="576"/>
        <w:jc w:val="both"/>
        <w:rPr>
          <w:rFonts w:cs="Arial"/>
          <w:szCs w:val="22"/>
          <w:lang w:val="hr-HR"/>
        </w:rPr>
      </w:pPr>
      <w:r w:rsidRPr="00B830BB">
        <w:rPr>
          <w:rFonts w:cs="Arial"/>
          <w:szCs w:val="22"/>
          <w:lang w:val="hr-HR"/>
        </w:rPr>
        <w:t>Konkretno, potrebno je ustanoviti je li interferencija u pitanju bila “razmjerna legitimnim ciljevima” te jesu li razlozi koje su nacionalne vlasti navele “relevantni i dostatni”. Navedeno mora biti dokazano na način da se razlozi trebaju smatrati “uvjerljivo utvrđenima”.</w:t>
      </w:r>
      <w:r w:rsidRPr="00B830BB">
        <w:rPr>
          <w:rStyle w:val="FootnoteReference"/>
          <w:rFonts w:cs="Arial"/>
          <w:lang w:val="hr-HR"/>
        </w:rPr>
        <w:footnoteReference w:id="39"/>
      </w:r>
      <w:r w:rsidR="00CF2272">
        <w:rPr>
          <w:rFonts w:cs="Arial"/>
          <w:szCs w:val="22"/>
          <w:lang w:val="hr-HR"/>
        </w:rPr>
        <w:t xml:space="preserve"> </w:t>
      </w:r>
      <w:r>
        <w:rPr>
          <w:rFonts w:cs="Arial"/>
          <w:szCs w:val="22"/>
          <w:lang w:val="hr-HR"/>
        </w:rPr>
        <w:t xml:space="preserve">Onda kada govor potiče nasilje protiv pojedinca ili grupe populacije, polje slobodne procjene je </w:t>
      </w:r>
      <w:r w:rsidR="00900DCA">
        <w:rPr>
          <w:rFonts w:cs="Arial"/>
          <w:szCs w:val="22"/>
          <w:lang w:val="hr-HR"/>
        </w:rPr>
        <w:t>šire</w:t>
      </w:r>
      <w:r>
        <w:rPr>
          <w:rFonts w:cs="Arial"/>
          <w:szCs w:val="22"/>
          <w:lang w:val="hr-HR"/>
        </w:rPr>
        <w:t xml:space="preserve"> te se dopuštaju veća ograničenja prava na izražavanje.</w:t>
      </w:r>
      <w:r>
        <w:rPr>
          <w:rStyle w:val="FootnoteReference"/>
          <w:rFonts w:cs="Arial"/>
          <w:szCs w:val="22"/>
          <w:lang w:val="hr-HR"/>
        </w:rPr>
        <w:footnoteReference w:id="40"/>
      </w:r>
      <w:r>
        <w:rPr>
          <w:rFonts w:cs="Arial"/>
          <w:szCs w:val="22"/>
          <w:lang w:val="hr-HR"/>
        </w:rPr>
        <w:t xml:space="preserve"> </w:t>
      </w:r>
    </w:p>
    <w:p w:rsidR="0056798C" w:rsidRDefault="0056798C" w:rsidP="00C6617A">
      <w:pPr>
        <w:pStyle w:val="Heading2"/>
        <w:numPr>
          <w:ilvl w:val="0"/>
          <w:numId w:val="0"/>
        </w:numPr>
        <w:ind w:left="576"/>
        <w:rPr>
          <w:rFonts w:cs="Arial"/>
        </w:rPr>
      </w:pPr>
    </w:p>
    <w:p w:rsidR="0006085A" w:rsidRPr="00B830BB" w:rsidRDefault="0006085A" w:rsidP="00342406">
      <w:pPr>
        <w:pStyle w:val="Heading3"/>
      </w:pPr>
      <w:bookmarkStart w:id="87" w:name="_Toc386285780"/>
      <w:bookmarkStart w:id="88" w:name="_Toc386498315"/>
      <w:bookmarkStart w:id="89" w:name="_Toc386563060"/>
      <w:bookmarkStart w:id="90" w:name="_Toc386567222"/>
      <w:bookmarkStart w:id="91" w:name="_Toc386619614"/>
      <w:r w:rsidRPr="00B830BB">
        <w:t>Konvencija o kibernetičkom kriminalitetu</w:t>
      </w:r>
      <w:bookmarkEnd w:id="87"/>
      <w:bookmarkEnd w:id="88"/>
      <w:bookmarkEnd w:id="89"/>
      <w:bookmarkEnd w:id="90"/>
      <w:bookmarkEnd w:id="91"/>
      <w:r w:rsidRPr="00B830BB">
        <w:t xml:space="preserve"> </w:t>
      </w:r>
    </w:p>
    <w:p w:rsidR="00112E8B" w:rsidRPr="00B830BB" w:rsidRDefault="00112E8B" w:rsidP="00AD19A6">
      <w:pPr>
        <w:spacing w:line="360" w:lineRule="auto"/>
        <w:jc w:val="both"/>
        <w:rPr>
          <w:rFonts w:cs="Arial"/>
          <w:szCs w:val="22"/>
          <w:lang w:val="hr-HR"/>
        </w:rPr>
      </w:pPr>
    </w:p>
    <w:p w:rsidR="00920C65" w:rsidRPr="00B830BB" w:rsidRDefault="005A3C31" w:rsidP="00920C65">
      <w:pPr>
        <w:spacing w:line="360" w:lineRule="auto"/>
        <w:ind w:firstLine="576"/>
        <w:jc w:val="both"/>
        <w:rPr>
          <w:rFonts w:cs="Arial"/>
          <w:szCs w:val="22"/>
          <w:lang w:val="hr-HR"/>
        </w:rPr>
      </w:pPr>
      <w:r w:rsidRPr="00B830BB">
        <w:rPr>
          <w:rFonts w:cs="Arial"/>
          <w:szCs w:val="22"/>
          <w:lang w:val="hr-HR"/>
        </w:rPr>
        <w:t>Krajem 2001. godine usvojena je Konvencija o kibernetičkom kriminalitetu</w:t>
      </w:r>
      <w:r w:rsidR="005C3D9A" w:rsidRPr="00B830BB">
        <w:rPr>
          <w:rFonts w:cs="Arial"/>
          <w:szCs w:val="22"/>
          <w:lang w:val="hr-HR"/>
        </w:rPr>
        <w:t xml:space="preserve"> </w:t>
      </w:r>
      <w:r w:rsidR="005C3D9A" w:rsidRPr="00B830BB">
        <w:rPr>
          <w:rFonts w:cs="Arial"/>
          <w:color w:val="000000"/>
          <w:szCs w:val="22"/>
          <w:lang w:val="hr-HR"/>
        </w:rPr>
        <w:t>o inkriminiranju djela rasističke i ksenofobne naravi počinjenih pomoću računalnih sustava</w:t>
      </w:r>
      <w:r w:rsidR="005C3D9A" w:rsidRPr="00B830BB">
        <w:rPr>
          <w:rFonts w:cs="Arial"/>
          <w:szCs w:val="22"/>
          <w:lang w:val="hr-HR"/>
        </w:rPr>
        <w:t>.</w:t>
      </w:r>
      <w:r w:rsidRPr="00B830BB">
        <w:rPr>
          <w:rStyle w:val="FootnoteReference"/>
          <w:rFonts w:cs="Arial"/>
          <w:szCs w:val="22"/>
          <w:lang w:val="hr-HR"/>
        </w:rPr>
        <w:footnoteReference w:id="41"/>
      </w:r>
      <w:r w:rsidR="005C3D9A" w:rsidRPr="00B830BB">
        <w:rPr>
          <w:rFonts w:cs="Arial"/>
          <w:szCs w:val="22"/>
          <w:lang w:val="hr-HR"/>
        </w:rPr>
        <w:t xml:space="preserve"> </w:t>
      </w:r>
      <w:r w:rsidR="00920C65" w:rsidRPr="00B830BB">
        <w:rPr>
          <w:rFonts w:cs="Arial"/>
          <w:szCs w:val="22"/>
          <w:lang w:val="hr-HR"/>
        </w:rPr>
        <w:t>Cilj te konvencije jest uspostavljanje međunarodnog mehanizma inkriminiranja djela počinjenih pomoću računalni sustava na način da se nacionalna zakonodavstva trebaju harmonizirati, a suradnja ojačati.</w:t>
      </w:r>
      <w:r w:rsidR="00BC0FE6" w:rsidRPr="00B830BB">
        <w:rPr>
          <w:rFonts w:cs="Arial"/>
          <w:szCs w:val="22"/>
          <w:lang w:val="hr-HR"/>
        </w:rPr>
        <w:t xml:space="preserve"> Prilikom pisanja prve verzije konvencije, Sjedinjene Američke Države</w:t>
      </w:r>
      <w:r w:rsidR="00DA7F30">
        <w:rPr>
          <w:rFonts w:cs="Arial"/>
          <w:szCs w:val="22"/>
          <w:lang w:val="hr-HR"/>
        </w:rPr>
        <w:t xml:space="preserve"> (u daljnjem tekstu SAD)</w:t>
      </w:r>
      <w:r w:rsidR="00BC0FE6" w:rsidRPr="00B830BB">
        <w:rPr>
          <w:rFonts w:cs="Arial"/>
          <w:szCs w:val="22"/>
          <w:lang w:val="hr-HR"/>
        </w:rPr>
        <w:t xml:space="preserve">, koje imaju status promatrača u Vijeću Europe, imale su namjeru potpisati konvenciju. Međutim, kasnije su odlučile da </w:t>
      </w:r>
      <w:r w:rsidR="00526663" w:rsidRPr="00B830BB">
        <w:rPr>
          <w:rFonts w:cs="Arial"/>
          <w:szCs w:val="22"/>
          <w:lang w:val="hr-HR"/>
        </w:rPr>
        <w:t xml:space="preserve">na to ipak neće pristati </w:t>
      </w:r>
      <w:r w:rsidR="0017611C" w:rsidRPr="00B830BB">
        <w:rPr>
          <w:rFonts w:cs="Arial"/>
          <w:szCs w:val="22"/>
          <w:lang w:val="hr-HR"/>
        </w:rPr>
        <w:t>d</w:t>
      </w:r>
      <w:r w:rsidR="00BC0FE6" w:rsidRPr="00B830BB">
        <w:rPr>
          <w:rFonts w:cs="Arial"/>
          <w:szCs w:val="22"/>
          <w:lang w:val="hr-HR"/>
        </w:rPr>
        <w:t xml:space="preserve">ok se iz konvencije ne </w:t>
      </w:r>
      <w:r w:rsidR="0017611C" w:rsidRPr="00B830BB">
        <w:rPr>
          <w:rFonts w:cs="Arial"/>
          <w:szCs w:val="22"/>
          <w:lang w:val="hr-HR"/>
        </w:rPr>
        <w:t>ukloni</w:t>
      </w:r>
      <w:r w:rsidR="00BC0FE6" w:rsidRPr="00B830BB">
        <w:rPr>
          <w:rFonts w:cs="Arial"/>
          <w:szCs w:val="22"/>
          <w:lang w:val="hr-HR"/>
        </w:rPr>
        <w:t xml:space="preserve"> Protokol o govoru mržnje na internetu</w:t>
      </w:r>
      <w:r w:rsidR="00526663" w:rsidRPr="00B830BB">
        <w:rPr>
          <w:rFonts w:cs="Arial"/>
          <w:szCs w:val="22"/>
          <w:lang w:val="hr-HR"/>
        </w:rPr>
        <w:t>.</w:t>
      </w:r>
      <w:r w:rsidR="00CA5761" w:rsidRPr="00B830BB">
        <w:rPr>
          <w:rFonts w:cs="Arial"/>
          <w:szCs w:val="22"/>
          <w:lang w:val="hr-HR"/>
        </w:rPr>
        <w:t xml:space="preserve"> </w:t>
      </w:r>
      <w:r w:rsidR="0017611C" w:rsidRPr="00B830BB">
        <w:rPr>
          <w:rFonts w:cs="Arial"/>
          <w:szCs w:val="22"/>
          <w:lang w:val="hr-HR"/>
        </w:rPr>
        <w:t>Tek kada je taj ustupak učinjen, SAD su potpisale Konvenciju</w:t>
      </w:r>
      <w:r w:rsidR="00BC0FE6" w:rsidRPr="00B830BB">
        <w:rPr>
          <w:rFonts w:cs="Arial"/>
          <w:szCs w:val="22"/>
          <w:lang w:val="hr-HR"/>
        </w:rPr>
        <w:t xml:space="preserve">. </w:t>
      </w:r>
      <w:r w:rsidR="0017611C" w:rsidRPr="00B830BB">
        <w:rPr>
          <w:rFonts w:cs="Arial"/>
          <w:szCs w:val="22"/>
          <w:lang w:val="hr-HR"/>
        </w:rPr>
        <w:t>Budući da navedeni Protokol nije više bio djelom Konvencije</w:t>
      </w:r>
      <w:r w:rsidR="00BC0FE6" w:rsidRPr="00B830BB">
        <w:rPr>
          <w:rFonts w:cs="Arial"/>
          <w:szCs w:val="22"/>
          <w:lang w:val="hr-HR"/>
        </w:rPr>
        <w:t xml:space="preserve">, Vijeće Europe je odlučilo </w:t>
      </w:r>
      <w:r w:rsidR="0017611C" w:rsidRPr="00B830BB">
        <w:rPr>
          <w:rFonts w:cs="Arial"/>
          <w:szCs w:val="22"/>
          <w:lang w:val="hr-HR"/>
        </w:rPr>
        <w:t xml:space="preserve">nastaviti </w:t>
      </w:r>
      <w:r w:rsidR="00BC0FE6" w:rsidRPr="00B830BB">
        <w:rPr>
          <w:rFonts w:cs="Arial"/>
          <w:szCs w:val="22"/>
          <w:lang w:val="hr-HR"/>
        </w:rPr>
        <w:t xml:space="preserve">raditi na Protokolu koji </w:t>
      </w:r>
      <w:r w:rsidR="0017611C" w:rsidRPr="00B830BB">
        <w:rPr>
          <w:rFonts w:cs="Arial"/>
          <w:szCs w:val="22"/>
          <w:lang w:val="hr-HR"/>
        </w:rPr>
        <w:t>je sada</w:t>
      </w:r>
      <w:r w:rsidR="00BC0FE6" w:rsidRPr="00B830BB">
        <w:rPr>
          <w:rFonts w:cs="Arial"/>
          <w:szCs w:val="22"/>
          <w:lang w:val="hr-HR"/>
        </w:rPr>
        <w:t xml:space="preserve"> poseban i odvojeni akt od </w:t>
      </w:r>
      <w:r w:rsidR="0017611C" w:rsidRPr="00B830BB">
        <w:rPr>
          <w:rFonts w:cs="Arial"/>
          <w:szCs w:val="22"/>
          <w:lang w:val="hr-HR"/>
        </w:rPr>
        <w:t>K</w:t>
      </w:r>
      <w:r w:rsidR="00BC0FE6" w:rsidRPr="00B830BB">
        <w:rPr>
          <w:rFonts w:cs="Arial"/>
          <w:szCs w:val="22"/>
          <w:lang w:val="hr-HR"/>
        </w:rPr>
        <w:t xml:space="preserve">onvencije. </w:t>
      </w:r>
    </w:p>
    <w:p w:rsidR="0006085A" w:rsidRPr="00B830BB" w:rsidRDefault="0006085A" w:rsidP="00342406">
      <w:pPr>
        <w:pStyle w:val="Heading3"/>
      </w:pPr>
      <w:bookmarkStart w:id="92" w:name="_Toc386285781"/>
      <w:bookmarkStart w:id="93" w:name="_Toc386498316"/>
      <w:bookmarkStart w:id="94" w:name="_Toc386563061"/>
      <w:bookmarkStart w:id="95" w:name="_Toc386567223"/>
      <w:bookmarkStart w:id="96" w:name="_Toc386619615"/>
      <w:r w:rsidRPr="00B830BB">
        <w:t>Dodatni protokol</w:t>
      </w:r>
      <w:bookmarkEnd w:id="92"/>
      <w:bookmarkEnd w:id="93"/>
      <w:bookmarkEnd w:id="94"/>
      <w:bookmarkEnd w:id="95"/>
      <w:bookmarkEnd w:id="96"/>
      <w:r w:rsidRPr="00B830BB">
        <w:t xml:space="preserve"> </w:t>
      </w:r>
    </w:p>
    <w:p w:rsidR="0006085A" w:rsidRPr="00B830BB" w:rsidRDefault="0006085A" w:rsidP="0006085A">
      <w:pPr>
        <w:pStyle w:val="Heading2"/>
        <w:numPr>
          <w:ilvl w:val="0"/>
          <w:numId w:val="0"/>
        </w:numPr>
        <w:ind w:left="576"/>
        <w:rPr>
          <w:rFonts w:cs="Arial"/>
        </w:rPr>
      </w:pPr>
    </w:p>
    <w:p w:rsidR="005C3D9A" w:rsidRPr="00B830BB" w:rsidRDefault="00BC0FE6" w:rsidP="00920C65">
      <w:pPr>
        <w:spacing w:line="360" w:lineRule="auto"/>
        <w:ind w:firstLine="708"/>
        <w:jc w:val="both"/>
        <w:rPr>
          <w:rFonts w:cs="Arial"/>
          <w:szCs w:val="22"/>
          <w:lang w:val="hr-HR"/>
        </w:rPr>
      </w:pPr>
      <w:r w:rsidRPr="00B830BB">
        <w:rPr>
          <w:rFonts w:cs="Arial"/>
          <w:szCs w:val="22"/>
          <w:lang w:val="hr-HR"/>
        </w:rPr>
        <w:t>Tako je d</w:t>
      </w:r>
      <w:r w:rsidR="005C3D9A" w:rsidRPr="00B830BB">
        <w:rPr>
          <w:rFonts w:cs="Arial"/>
          <w:szCs w:val="22"/>
          <w:lang w:val="hr-HR"/>
        </w:rPr>
        <w:t>vije godine</w:t>
      </w:r>
      <w:r w:rsidR="00CA5761" w:rsidRPr="00B830BB">
        <w:rPr>
          <w:rFonts w:cs="Arial"/>
          <w:szCs w:val="22"/>
          <w:lang w:val="hr-HR"/>
        </w:rPr>
        <w:t xml:space="preserve"> kasnije</w:t>
      </w:r>
      <w:r w:rsidR="007C5CFB" w:rsidRPr="00B830BB">
        <w:rPr>
          <w:rFonts w:cs="Arial"/>
          <w:szCs w:val="22"/>
          <w:lang w:val="hr-HR"/>
        </w:rPr>
        <w:t>, 2003.</w:t>
      </w:r>
      <w:r w:rsidR="00E157A6" w:rsidRPr="00B830BB">
        <w:rPr>
          <w:rFonts w:cs="Arial"/>
          <w:szCs w:val="22"/>
          <w:lang w:val="hr-HR"/>
        </w:rPr>
        <w:t xml:space="preserve"> </w:t>
      </w:r>
      <w:r w:rsidR="005C3D9A" w:rsidRPr="00B830BB">
        <w:rPr>
          <w:rFonts w:cs="Arial"/>
          <w:szCs w:val="22"/>
          <w:lang w:val="hr-HR"/>
        </w:rPr>
        <w:t xml:space="preserve">usvojen Dodatni protokol uz </w:t>
      </w:r>
      <w:r w:rsidR="005C3D9A" w:rsidRPr="00B830BB">
        <w:rPr>
          <w:rFonts w:cs="Arial"/>
          <w:color w:val="000000"/>
          <w:szCs w:val="22"/>
          <w:lang w:val="hr-HR"/>
        </w:rPr>
        <w:t xml:space="preserve">Konvenciju o kibernetičkom kriminalu o inkriminiranju djela rasističke i ksenofobne naravi počinjenih </w:t>
      </w:r>
      <w:r w:rsidR="005C3D9A" w:rsidRPr="00B830BB">
        <w:rPr>
          <w:rFonts w:cs="Arial"/>
          <w:color w:val="000000"/>
          <w:szCs w:val="22"/>
          <w:lang w:val="hr-HR"/>
        </w:rPr>
        <w:lastRenderedPageBreak/>
        <w:t>pomoću računalnih sustava</w:t>
      </w:r>
      <w:r w:rsidR="001D7ABE" w:rsidRPr="00B830BB">
        <w:rPr>
          <w:rFonts w:cs="Arial"/>
          <w:szCs w:val="22"/>
          <w:lang w:val="hr-HR"/>
        </w:rPr>
        <w:t>.</w:t>
      </w:r>
      <w:r w:rsidR="005C3D9A" w:rsidRPr="00B830BB">
        <w:rPr>
          <w:rStyle w:val="FootnoteReference"/>
          <w:rFonts w:cs="Arial"/>
          <w:szCs w:val="22"/>
          <w:lang w:val="hr-HR"/>
        </w:rPr>
        <w:footnoteReference w:id="42"/>
      </w:r>
      <w:r w:rsidR="00C12CFA" w:rsidRPr="00B830BB">
        <w:rPr>
          <w:rFonts w:cs="Arial"/>
          <w:szCs w:val="22"/>
          <w:lang w:val="hr-HR"/>
        </w:rPr>
        <w:t xml:space="preserve"> </w:t>
      </w:r>
      <w:r w:rsidR="00DA7F30">
        <w:rPr>
          <w:rFonts w:cs="Arial"/>
          <w:szCs w:val="22"/>
          <w:lang w:val="hr-HR"/>
        </w:rPr>
        <w:t>SAD</w:t>
      </w:r>
      <w:r w:rsidR="0010492F" w:rsidRPr="00B830BB">
        <w:rPr>
          <w:rFonts w:cs="Arial"/>
          <w:szCs w:val="22"/>
          <w:lang w:val="hr-HR"/>
        </w:rPr>
        <w:t xml:space="preserve"> </w:t>
      </w:r>
      <w:r w:rsidR="00DA7F30">
        <w:rPr>
          <w:rFonts w:cs="Arial"/>
          <w:szCs w:val="22"/>
          <w:lang w:val="hr-HR"/>
        </w:rPr>
        <w:t>ipak</w:t>
      </w:r>
      <w:r w:rsidR="00E157A6" w:rsidRPr="00B830BB">
        <w:rPr>
          <w:rFonts w:cs="Arial"/>
          <w:szCs w:val="22"/>
          <w:lang w:val="hr-HR"/>
        </w:rPr>
        <w:t xml:space="preserve"> </w:t>
      </w:r>
      <w:r w:rsidR="0010492F" w:rsidRPr="00B830BB">
        <w:rPr>
          <w:rFonts w:cs="Arial"/>
          <w:szCs w:val="22"/>
          <w:lang w:val="hr-HR"/>
        </w:rPr>
        <w:t>ni</w:t>
      </w:r>
      <w:r w:rsidR="00DA7F30">
        <w:rPr>
          <w:rFonts w:cs="Arial"/>
          <w:szCs w:val="22"/>
          <w:lang w:val="hr-HR"/>
        </w:rPr>
        <w:t xml:space="preserve">su potpisale navedeni protokol što se smatra(lo) velikim udarcem ovom pokušaju stvaranja učinkovitijeg međunarodnopravnog mehanizma. </w:t>
      </w:r>
    </w:p>
    <w:p w:rsidR="00E157A6" w:rsidRPr="00B830BB" w:rsidRDefault="003128D3" w:rsidP="00CC573A">
      <w:pPr>
        <w:spacing w:line="360" w:lineRule="auto"/>
        <w:ind w:firstLine="708"/>
        <w:jc w:val="both"/>
        <w:rPr>
          <w:rFonts w:cs="Arial"/>
          <w:szCs w:val="22"/>
          <w:lang w:val="hr-HR"/>
        </w:rPr>
      </w:pPr>
      <w:r w:rsidRPr="00B830BB">
        <w:rPr>
          <w:rFonts w:cs="Arial"/>
          <w:szCs w:val="22"/>
          <w:lang w:val="hr-HR"/>
        </w:rPr>
        <w:t xml:space="preserve">Dodatni protokol proširuje opseg konvencije, uključujući i govor mržnje. </w:t>
      </w:r>
      <w:r w:rsidR="00CA5761" w:rsidRPr="00B830BB">
        <w:rPr>
          <w:rFonts w:cs="Arial"/>
          <w:szCs w:val="22"/>
          <w:lang w:val="hr-HR"/>
        </w:rPr>
        <w:t>M</w:t>
      </w:r>
      <w:r w:rsidRPr="00B830BB">
        <w:rPr>
          <w:rFonts w:cs="Arial"/>
          <w:szCs w:val="22"/>
          <w:lang w:val="hr-HR"/>
        </w:rPr>
        <w:t>eđutim,</w:t>
      </w:r>
      <w:r w:rsidR="00CA5761" w:rsidRPr="00B830BB">
        <w:rPr>
          <w:rFonts w:cs="Arial"/>
          <w:szCs w:val="22"/>
          <w:lang w:val="hr-HR"/>
        </w:rPr>
        <w:t xml:space="preserve"> takav sadržaj nije eksplicitno </w:t>
      </w:r>
      <w:r w:rsidRPr="00B830BB">
        <w:rPr>
          <w:rFonts w:cs="Arial"/>
          <w:szCs w:val="22"/>
          <w:lang w:val="hr-HR"/>
        </w:rPr>
        <w:t>nazvan</w:t>
      </w:r>
      <w:r w:rsidR="00CA5761" w:rsidRPr="00B830BB">
        <w:rPr>
          <w:rFonts w:cs="Arial"/>
          <w:szCs w:val="22"/>
          <w:lang w:val="hr-HR"/>
        </w:rPr>
        <w:t xml:space="preserve"> govorom mržnje</w:t>
      </w:r>
      <w:r w:rsidRPr="00B830BB">
        <w:rPr>
          <w:rFonts w:cs="Arial"/>
          <w:szCs w:val="22"/>
          <w:lang w:val="hr-HR"/>
        </w:rPr>
        <w:t>, nego se njegova pojavnost imenuje i definira kao „rasni i ksenofobni materijal“ koji je svaki pisani materijal, svak</w:t>
      </w:r>
      <w:r w:rsidR="00CA5761" w:rsidRPr="00B830BB">
        <w:rPr>
          <w:rFonts w:cs="Arial"/>
          <w:szCs w:val="22"/>
          <w:lang w:val="hr-HR"/>
        </w:rPr>
        <w:t>a</w:t>
      </w:r>
      <w:r w:rsidRPr="00B830BB">
        <w:rPr>
          <w:rFonts w:cs="Arial"/>
          <w:szCs w:val="22"/>
          <w:lang w:val="hr-HR"/>
        </w:rPr>
        <w:t xml:space="preserve"> </w:t>
      </w:r>
      <w:r w:rsidR="00B723E2" w:rsidRPr="00B830BB">
        <w:rPr>
          <w:rFonts w:cs="Arial"/>
          <w:szCs w:val="22"/>
          <w:lang w:val="hr-HR"/>
        </w:rPr>
        <w:t>slika</w:t>
      </w:r>
      <w:r w:rsidRPr="00B830BB">
        <w:rPr>
          <w:rFonts w:cs="Arial"/>
          <w:szCs w:val="22"/>
          <w:lang w:val="hr-HR"/>
        </w:rPr>
        <w:t xml:space="preserve"> ili bilo kakav drugi prikaz ideja ili teorija koje zagovaraju, promiču ili potiču mržnju, diskriminaciju ili nasilje bilo prema pojedincu ili skupini pojedinaca, a temelje se na rasi, boji kože, podrijetlu ili nacionalnom ili etničkom podrijetlu te vjeri, ako se ona koristi kao povod za bilo koje od spomenutoga</w:t>
      </w:r>
      <w:r w:rsidR="007316F1">
        <w:rPr>
          <w:rFonts w:cs="Arial"/>
          <w:szCs w:val="22"/>
          <w:lang w:val="hr-HR"/>
        </w:rPr>
        <w:t>.</w:t>
      </w:r>
      <w:r w:rsidRPr="00B830BB">
        <w:rPr>
          <w:rStyle w:val="FootnoteReference"/>
          <w:rFonts w:cs="Arial"/>
          <w:szCs w:val="22"/>
          <w:lang w:val="hr-HR"/>
        </w:rPr>
        <w:footnoteReference w:id="43"/>
      </w:r>
      <w:r w:rsidR="0006085A" w:rsidRPr="00B830BB">
        <w:rPr>
          <w:rFonts w:cs="Arial"/>
          <w:szCs w:val="22"/>
          <w:lang w:val="hr-HR"/>
        </w:rPr>
        <w:t xml:space="preserve"> </w:t>
      </w:r>
    </w:p>
    <w:p w:rsidR="003128D3" w:rsidRDefault="00E157A6" w:rsidP="00CC573A">
      <w:pPr>
        <w:spacing w:line="360" w:lineRule="auto"/>
        <w:ind w:firstLine="708"/>
        <w:jc w:val="both"/>
        <w:rPr>
          <w:rFonts w:cs="Arial"/>
          <w:szCs w:val="22"/>
          <w:lang w:val="hr-HR"/>
        </w:rPr>
      </w:pPr>
      <w:r w:rsidRPr="00B830BB">
        <w:rPr>
          <w:rFonts w:cs="Arial"/>
          <w:szCs w:val="22"/>
          <w:lang w:val="hr-HR"/>
        </w:rPr>
        <w:t>Protokolom su se d</w:t>
      </w:r>
      <w:r w:rsidR="0006085A" w:rsidRPr="00B830BB">
        <w:rPr>
          <w:rFonts w:cs="Arial"/>
          <w:szCs w:val="22"/>
          <w:lang w:val="hr-HR"/>
        </w:rPr>
        <w:t xml:space="preserve">ržave potpisnice </w:t>
      </w:r>
      <w:r w:rsidRPr="00B830BB">
        <w:rPr>
          <w:rFonts w:cs="Arial"/>
          <w:szCs w:val="22"/>
          <w:lang w:val="hr-HR"/>
        </w:rPr>
        <w:t>obvezale</w:t>
      </w:r>
      <w:r w:rsidR="0006085A" w:rsidRPr="00B830BB">
        <w:rPr>
          <w:rFonts w:cs="Arial"/>
          <w:szCs w:val="22"/>
          <w:lang w:val="hr-HR"/>
        </w:rPr>
        <w:t xml:space="preserve"> </w:t>
      </w:r>
      <w:r w:rsidR="00CC573A" w:rsidRPr="00B830BB">
        <w:rPr>
          <w:rFonts w:cs="Arial"/>
          <w:szCs w:val="22"/>
          <w:lang w:val="hr-HR"/>
        </w:rPr>
        <w:t>osigurati procesuiranje i sankcioniranje</w:t>
      </w:r>
      <w:r w:rsidRPr="00B830BB">
        <w:rPr>
          <w:rFonts w:cs="Arial"/>
          <w:szCs w:val="22"/>
          <w:lang w:val="hr-HR"/>
        </w:rPr>
        <w:t xml:space="preserve"> </w:t>
      </w:r>
      <w:r w:rsidR="00CF2272">
        <w:rPr>
          <w:rFonts w:cs="Arial"/>
          <w:szCs w:val="22"/>
          <w:lang w:val="hr-HR"/>
        </w:rPr>
        <w:t xml:space="preserve">autore </w:t>
      </w:r>
      <w:r w:rsidRPr="00B830BB">
        <w:rPr>
          <w:rFonts w:cs="Arial"/>
          <w:szCs w:val="22"/>
          <w:lang w:val="hr-HR"/>
        </w:rPr>
        <w:t xml:space="preserve">rasnog i ksenofobnog materijala te </w:t>
      </w:r>
      <w:r w:rsidR="00CC573A" w:rsidRPr="00B830BB">
        <w:rPr>
          <w:rFonts w:cs="Arial"/>
          <w:szCs w:val="22"/>
          <w:lang w:val="hr-HR"/>
        </w:rPr>
        <w:t xml:space="preserve">zakonodavnim usklađenjem i uvođenjem drugih potrebnih mjera </w:t>
      </w:r>
      <w:r w:rsidR="009C16D8" w:rsidRPr="00B830BB">
        <w:rPr>
          <w:rFonts w:cs="Arial"/>
          <w:szCs w:val="22"/>
          <w:lang w:val="hr-HR"/>
        </w:rPr>
        <w:t xml:space="preserve">spriječiti </w:t>
      </w:r>
      <w:r w:rsidR="00CC573A" w:rsidRPr="00B830BB">
        <w:rPr>
          <w:rFonts w:cs="Arial"/>
          <w:szCs w:val="22"/>
          <w:lang w:val="hr-HR"/>
        </w:rPr>
        <w:t xml:space="preserve">distribuiranje ili </w:t>
      </w:r>
      <w:r w:rsidR="009C16D8" w:rsidRPr="00B830BB">
        <w:rPr>
          <w:rFonts w:cs="Arial"/>
          <w:szCs w:val="22"/>
          <w:lang w:val="hr-HR"/>
        </w:rPr>
        <w:t xml:space="preserve">činjenje </w:t>
      </w:r>
      <w:r w:rsidR="00CC573A" w:rsidRPr="00B830BB">
        <w:rPr>
          <w:rFonts w:cs="Arial"/>
          <w:szCs w:val="22"/>
          <w:lang w:val="hr-HR"/>
        </w:rPr>
        <w:t>dos</w:t>
      </w:r>
      <w:r w:rsidRPr="00B830BB">
        <w:rPr>
          <w:rFonts w:cs="Arial"/>
          <w:szCs w:val="22"/>
          <w:lang w:val="hr-HR"/>
        </w:rPr>
        <w:t>tupnim javnosti</w:t>
      </w:r>
      <w:r w:rsidR="00CC573A" w:rsidRPr="00B830BB">
        <w:rPr>
          <w:rFonts w:cs="Arial"/>
          <w:szCs w:val="22"/>
          <w:lang w:val="hr-HR"/>
        </w:rPr>
        <w:t xml:space="preserve"> pomoću ra</w:t>
      </w:r>
      <w:r w:rsidR="002F40A7" w:rsidRPr="00B830BB">
        <w:rPr>
          <w:rFonts w:cs="Arial"/>
          <w:szCs w:val="22"/>
          <w:lang w:val="hr-HR"/>
        </w:rPr>
        <w:t>č</w:t>
      </w:r>
      <w:r w:rsidR="00CC573A" w:rsidRPr="00B830BB">
        <w:rPr>
          <w:rFonts w:cs="Arial"/>
          <w:szCs w:val="22"/>
          <w:lang w:val="hr-HR"/>
        </w:rPr>
        <w:t>unalnoga sustava.</w:t>
      </w:r>
    </w:p>
    <w:p w:rsidR="00591FAF" w:rsidRDefault="00591FAF" w:rsidP="00CC573A">
      <w:pPr>
        <w:spacing w:line="360" w:lineRule="auto"/>
        <w:ind w:firstLine="708"/>
        <w:jc w:val="both"/>
        <w:rPr>
          <w:rFonts w:cs="Arial"/>
          <w:szCs w:val="22"/>
          <w:lang w:val="hr-HR"/>
        </w:rPr>
      </w:pPr>
    </w:p>
    <w:p w:rsidR="005675CA" w:rsidRDefault="005675CA" w:rsidP="005675CA">
      <w:pPr>
        <w:pStyle w:val="Heading3"/>
      </w:pPr>
      <w:bookmarkStart w:id="97" w:name="_Toc386498317"/>
      <w:bookmarkStart w:id="98" w:name="_Toc386563062"/>
      <w:bookmarkStart w:id="99" w:name="_Toc386567224"/>
      <w:bookmarkStart w:id="100" w:name="_Toc386619616"/>
      <w:r>
        <w:t>Pravno neobvezujući instrumenti borbe protiv govora mržnje</w:t>
      </w:r>
      <w:bookmarkEnd w:id="97"/>
      <w:bookmarkEnd w:id="98"/>
      <w:bookmarkEnd w:id="99"/>
      <w:bookmarkEnd w:id="100"/>
    </w:p>
    <w:p w:rsidR="005675CA" w:rsidRDefault="005675CA" w:rsidP="005675CA">
      <w:pPr>
        <w:pStyle w:val="Heading4"/>
        <w:rPr>
          <w:lang w:val="hr-HR"/>
        </w:rPr>
      </w:pPr>
      <w:bookmarkStart w:id="101" w:name="_Toc386498318"/>
      <w:bookmarkStart w:id="102" w:name="_Toc386563063"/>
      <w:bookmarkStart w:id="103" w:name="_Toc386567225"/>
      <w:bookmarkStart w:id="104" w:name="_Toc386619617"/>
      <w:r>
        <w:rPr>
          <w:lang w:val="hr-HR"/>
        </w:rPr>
        <w:t>Preporuka o govoru mržnje</w:t>
      </w:r>
      <w:bookmarkEnd w:id="101"/>
      <w:bookmarkEnd w:id="102"/>
      <w:bookmarkEnd w:id="103"/>
      <w:bookmarkEnd w:id="104"/>
    </w:p>
    <w:p w:rsidR="005675CA" w:rsidRPr="005675CA" w:rsidRDefault="005675CA" w:rsidP="005675CA">
      <w:pPr>
        <w:rPr>
          <w:lang w:val="hr-HR"/>
        </w:rPr>
      </w:pPr>
    </w:p>
    <w:p w:rsidR="005675CA" w:rsidRPr="00B830BB" w:rsidRDefault="005675CA" w:rsidP="005675CA">
      <w:pPr>
        <w:spacing w:line="360" w:lineRule="auto"/>
        <w:ind w:firstLine="576"/>
        <w:jc w:val="both"/>
        <w:rPr>
          <w:rFonts w:cs="Arial"/>
          <w:szCs w:val="22"/>
          <w:lang w:val="hr-HR"/>
        </w:rPr>
      </w:pPr>
      <w:r w:rsidRPr="00B830BB">
        <w:rPr>
          <w:rFonts w:cs="Arial"/>
          <w:szCs w:val="22"/>
          <w:lang w:val="hr-HR"/>
        </w:rPr>
        <w:t>Jedan od prvih koraka u borbi protiv govora mržnje, poduzelo je Vijeće Europe 1997. godine. Tada je Odbor ministara pokušao je dati definiciju govora mržnje u Preporuci o govoru mržnje.</w:t>
      </w:r>
      <w:r w:rsidRPr="00B830BB">
        <w:rPr>
          <w:rStyle w:val="FootnoteReference"/>
          <w:rFonts w:cs="Arial"/>
          <w:szCs w:val="22"/>
          <w:lang w:val="hr-HR"/>
        </w:rPr>
        <w:footnoteReference w:id="44"/>
      </w:r>
      <w:r w:rsidRPr="00B830BB">
        <w:rPr>
          <w:rFonts w:cs="Arial"/>
          <w:szCs w:val="22"/>
          <w:lang w:val="hr-HR"/>
        </w:rPr>
        <w:t xml:space="preserve"> </w:t>
      </w:r>
      <w:r>
        <w:rPr>
          <w:rFonts w:cs="Arial"/>
          <w:szCs w:val="22"/>
          <w:lang w:val="hr-HR"/>
        </w:rPr>
        <w:t>G</w:t>
      </w:r>
      <w:r w:rsidRPr="00B830BB">
        <w:rPr>
          <w:rFonts w:cs="Arial"/>
          <w:szCs w:val="22"/>
          <w:lang w:val="hr-HR"/>
        </w:rPr>
        <w:t>ovorom mržnje okarakterizirani su svi oblici izražavanja kojima se širi, potiče, promovira ili opravdava rasna mržnja, ksenofobija, antisemitizam ili drugi oblici mržnje koji se temelje na netoleranciji, uključujući i netoleranciju izraženu agresivnim nacionalizmom ili etnocentrizmom, diskriminacijom ili neprijateljstvom prema manjinama, migrantima ili ljudima imigrantskog podrijetla.</w:t>
      </w:r>
    </w:p>
    <w:p w:rsidR="005675CA" w:rsidRDefault="005675CA" w:rsidP="005675CA">
      <w:pPr>
        <w:spacing w:line="360" w:lineRule="auto"/>
        <w:ind w:firstLine="576"/>
        <w:jc w:val="both"/>
        <w:rPr>
          <w:rFonts w:cs="Arial"/>
          <w:szCs w:val="22"/>
          <w:lang w:val="hr-HR"/>
        </w:rPr>
      </w:pPr>
      <w:r w:rsidRPr="00B830BB">
        <w:rPr>
          <w:rFonts w:cs="Arial"/>
          <w:szCs w:val="22"/>
          <w:lang w:val="hr-HR"/>
        </w:rPr>
        <w:t>Zanimljivo je primijetiti izostanak netolerancije prema različitom spolu, rodu, seksualnoj orijentaciji i dobi. Pritom ipak valja napomenuti kako je Preporuka donesena kako bi nadopunila Konvenciju, ali i da nije pravno obvezujuća.</w:t>
      </w:r>
    </w:p>
    <w:p w:rsidR="005675CA" w:rsidRDefault="005675CA" w:rsidP="005675CA">
      <w:pPr>
        <w:spacing w:line="360" w:lineRule="auto"/>
        <w:ind w:firstLine="576"/>
        <w:jc w:val="both"/>
        <w:rPr>
          <w:rFonts w:cs="Arial"/>
          <w:szCs w:val="22"/>
          <w:lang w:val="hr-HR"/>
        </w:rPr>
      </w:pPr>
    </w:p>
    <w:p w:rsidR="004D09A9" w:rsidRDefault="004D09A9" w:rsidP="005675CA">
      <w:pPr>
        <w:spacing w:line="360" w:lineRule="auto"/>
        <w:ind w:firstLine="576"/>
        <w:jc w:val="both"/>
        <w:rPr>
          <w:rFonts w:cs="Arial"/>
          <w:szCs w:val="22"/>
          <w:lang w:val="hr-HR"/>
        </w:rPr>
      </w:pPr>
    </w:p>
    <w:p w:rsidR="005675CA" w:rsidRDefault="005675CA" w:rsidP="005675CA">
      <w:pPr>
        <w:pStyle w:val="Heading4"/>
        <w:rPr>
          <w:lang w:val="hr-HR"/>
        </w:rPr>
      </w:pPr>
      <w:bookmarkStart w:id="105" w:name="_Toc386498319"/>
      <w:bookmarkStart w:id="106" w:name="_Toc386563064"/>
      <w:bookmarkStart w:id="107" w:name="_Toc386567226"/>
      <w:bookmarkStart w:id="108" w:name="_Toc386619618"/>
      <w:r>
        <w:rPr>
          <w:lang w:val="hr-HR"/>
        </w:rPr>
        <w:lastRenderedPageBreak/>
        <w:t>Opća politička preporuka broj 7</w:t>
      </w:r>
      <w:bookmarkEnd w:id="105"/>
      <w:bookmarkEnd w:id="106"/>
      <w:bookmarkEnd w:id="107"/>
      <w:bookmarkEnd w:id="108"/>
    </w:p>
    <w:p w:rsidR="005675CA" w:rsidRPr="005675CA" w:rsidRDefault="005675CA" w:rsidP="005675CA">
      <w:pPr>
        <w:rPr>
          <w:lang w:val="hr-HR"/>
        </w:rPr>
      </w:pPr>
    </w:p>
    <w:p w:rsidR="005675CA" w:rsidRPr="00B830BB" w:rsidRDefault="005675CA" w:rsidP="005675CA">
      <w:pPr>
        <w:spacing w:line="360" w:lineRule="auto"/>
        <w:ind w:firstLine="576"/>
        <w:jc w:val="both"/>
        <w:rPr>
          <w:rFonts w:cs="Arial"/>
          <w:szCs w:val="22"/>
          <w:lang w:val="hr-HR"/>
        </w:rPr>
      </w:pPr>
      <w:r w:rsidRPr="00B830BB">
        <w:rPr>
          <w:rFonts w:cs="Arial"/>
          <w:szCs w:val="22"/>
          <w:lang w:val="hr-HR"/>
        </w:rPr>
        <w:t>Također, u okviru Vijeća Europe djeluje i Europska komisija protiv rasizma i netolerancije koja je 2002. godine usvojila Opću političku preporuku br. 7 o nacionalnom zakonodavstvu za borbu protiv rasizma i rasizma i rasne diskriminacije</w:t>
      </w:r>
      <w:r w:rsidRPr="00B830BB">
        <w:rPr>
          <w:rStyle w:val="FootnoteReference"/>
          <w:rFonts w:cs="Arial"/>
          <w:szCs w:val="22"/>
          <w:lang w:val="hr-HR"/>
        </w:rPr>
        <w:footnoteReference w:id="45"/>
      </w:r>
      <w:r w:rsidRPr="00B830BB">
        <w:rPr>
          <w:rFonts w:cs="Arial"/>
          <w:szCs w:val="22"/>
          <w:lang w:val="hr-HR"/>
        </w:rPr>
        <w:t xml:space="preserve"> kojom se preporučuje državama članicama usvajanje zakonodavnog okvira za borbu protiv rasizma i rasne diskriminacije, kako su definirani u samom dokumentu</w:t>
      </w:r>
      <w:r w:rsidR="00A7433E">
        <w:rPr>
          <w:rFonts w:cs="Arial"/>
          <w:szCs w:val="22"/>
          <w:lang w:val="hr-HR"/>
        </w:rPr>
        <w:t>,</w:t>
      </w:r>
      <w:r w:rsidRPr="00B830BB">
        <w:rPr>
          <w:rFonts w:cs="Arial"/>
          <w:szCs w:val="22"/>
          <w:lang w:val="hr-HR"/>
        </w:rPr>
        <w:t xml:space="preserve"> te njegovo usklađivanje s postulatima iznesenim u dokumentu.</w:t>
      </w:r>
    </w:p>
    <w:p w:rsidR="005675CA" w:rsidRPr="005675CA" w:rsidRDefault="005675CA" w:rsidP="005675CA">
      <w:pPr>
        <w:pStyle w:val="Heading1"/>
        <w:numPr>
          <w:ilvl w:val="0"/>
          <w:numId w:val="0"/>
        </w:numPr>
        <w:ind w:left="432" w:hanging="432"/>
        <w:rPr>
          <w:lang w:val="hr-HR"/>
        </w:rPr>
      </w:pPr>
    </w:p>
    <w:p w:rsidR="00591FAF" w:rsidRPr="00A7433E" w:rsidRDefault="00591FAF" w:rsidP="005675CA">
      <w:pPr>
        <w:pStyle w:val="Heading4"/>
        <w:rPr>
          <w:lang w:val="fr-FR"/>
        </w:rPr>
      </w:pPr>
      <w:bookmarkStart w:id="109" w:name="_Toc386498320"/>
      <w:bookmarkStart w:id="110" w:name="_Toc386563065"/>
      <w:bookmarkStart w:id="111" w:name="_Toc386567227"/>
      <w:bookmarkStart w:id="112" w:name="_Toc386619619"/>
      <w:r w:rsidRPr="00A7433E">
        <w:rPr>
          <w:lang w:val="fr-FR"/>
        </w:rPr>
        <w:t>Deklaracija o slobodi komuniciranja na internetu</w:t>
      </w:r>
      <w:bookmarkEnd w:id="109"/>
      <w:bookmarkEnd w:id="110"/>
      <w:bookmarkEnd w:id="111"/>
      <w:bookmarkEnd w:id="112"/>
      <w:r w:rsidRPr="00A7433E">
        <w:rPr>
          <w:lang w:val="fr-FR"/>
        </w:rPr>
        <w:t xml:space="preserve"> </w:t>
      </w:r>
    </w:p>
    <w:p w:rsidR="00591FAF" w:rsidRPr="0066355E" w:rsidRDefault="00591FAF" w:rsidP="00591FAF">
      <w:pPr>
        <w:pStyle w:val="Heading1"/>
        <w:numPr>
          <w:ilvl w:val="0"/>
          <w:numId w:val="0"/>
        </w:numPr>
        <w:ind w:left="432"/>
        <w:rPr>
          <w:lang w:val="fr-FR"/>
        </w:rPr>
      </w:pPr>
    </w:p>
    <w:p w:rsidR="002D122E" w:rsidRDefault="00591FAF" w:rsidP="00591FAF">
      <w:pPr>
        <w:spacing w:line="360" w:lineRule="auto"/>
        <w:ind w:firstLine="708"/>
        <w:jc w:val="both"/>
        <w:rPr>
          <w:rFonts w:cs="Arial"/>
          <w:szCs w:val="22"/>
          <w:lang w:val="hr-HR"/>
        </w:rPr>
      </w:pPr>
      <w:r>
        <w:rPr>
          <w:rFonts w:cs="Arial"/>
          <w:szCs w:val="22"/>
          <w:lang w:val="hr-HR"/>
        </w:rPr>
        <w:t xml:space="preserve">Vijeće Ministara 2003. godine usvojilo je i </w:t>
      </w:r>
      <w:r w:rsidRPr="00591FAF">
        <w:rPr>
          <w:rFonts w:cs="Arial"/>
          <w:szCs w:val="22"/>
          <w:lang w:val="hr-HR"/>
        </w:rPr>
        <w:t>Deklaracij</w:t>
      </w:r>
      <w:r>
        <w:rPr>
          <w:rFonts w:cs="Arial"/>
          <w:szCs w:val="22"/>
          <w:lang w:val="hr-HR"/>
        </w:rPr>
        <w:t>u</w:t>
      </w:r>
      <w:r w:rsidRPr="00591FAF">
        <w:rPr>
          <w:rFonts w:cs="Arial"/>
          <w:szCs w:val="22"/>
          <w:lang w:val="hr-HR"/>
        </w:rPr>
        <w:t xml:space="preserve"> o slobodi komuniciranja na internetu</w:t>
      </w:r>
      <w:r>
        <w:rPr>
          <w:rFonts w:cs="Arial"/>
          <w:szCs w:val="22"/>
          <w:lang w:val="hr-HR"/>
        </w:rPr>
        <w:t>.</w:t>
      </w:r>
      <w:r>
        <w:rPr>
          <w:rStyle w:val="FootnoteReference"/>
          <w:rFonts w:cs="Arial"/>
          <w:szCs w:val="22"/>
          <w:lang w:val="hr-HR"/>
        </w:rPr>
        <w:footnoteReference w:id="46"/>
      </w:r>
      <w:r w:rsidRPr="00591FAF">
        <w:rPr>
          <w:rFonts w:cs="Arial"/>
          <w:szCs w:val="22"/>
          <w:lang w:val="hr-HR"/>
        </w:rPr>
        <w:t xml:space="preserve"> </w:t>
      </w:r>
      <w:r w:rsidR="003740F0">
        <w:rPr>
          <w:rFonts w:cs="Arial"/>
          <w:szCs w:val="22"/>
          <w:lang w:val="hr-HR"/>
        </w:rPr>
        <w:t>Njeno</w:t>
      </w:r>
      <w:r w:rsidR="00293B39">
        <w:rPr>
          <w:rFonts w:cs="Arial"/>
          <w:szCs w:val="22"/>
          <w:lang w:val="hr-HR"/>
        </w:rPr>
        <w:t xml:space="preserve"> usvajanje demonstrira kako Vijeće Europe uviđa važnost deklariranja, danas </w:t>
      </w:r>
      <w:r w:rsidR="00DC4E23" w:rsidRPr="00DC4E23">
        <w:rPr>
          <w:rFonts w:cs="Arial"/>
          <w:i/>
          <w:szCs w:val="22"/>
          <w:lang w:val="hr-HR"/>
        </w:rPr>
        <w:t>via facti</w:t>
      </w:r>
      <w:r w:rsidR="00293B39">
        <w:rPr>
          <w:rFonts w:cs="Arial"/>
          <w:szCs w:val="22"/>
          <w:lang w:val="hr-HR"/>
        </w:rPr>
        <w:t xml:space="preserve"> općeprihvaćenih, pravnih načela interneta. </w:t>
      </w:r>
      <w:r w:rsidR="00185BF7">
        <w:rPr>
          <w:rFonts w:cs="Arial"/>
          <w:szCs w:val="22"/>
          <w:lang w:val="hr-HR"/>
        </w:rPr>
        <w:t>Tih šest načela su: pravila sadržaja na internetu, samoregulacija ili koregulacija, nepostojanje prethodne državne kontrole, uklanjanje prepreka za sudjelovanje pojedinca u informatičkom društvu, sloboda pružanja usluga putem interneta</w:t>
      </w:r>
      <w:r w:rsidR="00661525">
        <w:rPr>
          <w:rFonts w:cs="Arial"/>
          <w:szCs w:val="22"/>
          <w:lang w:val="hr-HR"/>
        </w:rPr>
        <w:t>,</w:t>
      </w:r>
      <w:r w:rsidR="00185BF7">
        <w:rPr>
          <w:rFonts w:cs="Arial"/>
          <w:szCs w:val="22"/>
          <w:lang w:val="hr-HR"/>
        </w:rPr>
        <w:t xml:space="preserve"> ograničenje odgovornosti pružatelja usluga za sadržaj na internetu</w:t>
      </w:r>
      <w:r w:rsidR="00661525">
        <w:rPr>
          <w:rFonts w:cs="Arial"/>
          <w:szCs w:val="22"/>
          <w:lang w:val="hr-HR"/>
        </w:rPr>
        <w:t xml:space="preserve"> te anonimnost</w:t>
      </w:r>
      <w:r w:rsidR="00185BF7">
        <w:rPr>
          <w:rFonts w:cs="Arial"/>
          <w:szCs w:val="22"/>
          <w:lang w:val="hr-HR"/>
        </w:rPr>
        <w:t>.</w:t>
      </w:r>
      <w:r w:rsidR="00661525">
        <w:rPr>
          <w:rFonts w:cs="Arial"/>
          <w:szCs w:val="22"/>
          <w:lang w:val="hr-HR"/>
        </w:rPr>
        <w:t xml:space="preserve"> </w:t>
      </w:r>
      <w:r w:rsidR="002D122E">
        <w:rPr>
          <w:rFonts w:cs="Arial"/>
          <w:szCs w:val="22"/>
          <w:lang w:val="hr-HR"/>
        </w:rPr>
        <w:t xml:space="preserve">Za potrebe procesnopravnog aspekta ovog rada, elaborirat ćemo ukratko posljednja dva načela. </w:t>
      </w:r>
    </w:p>
    <w:p w:rsidR="00661525" w:rsidRPr="00591FAF" w:rsidRDefault="008411FB" w:rsidP="00591FAF">
      <w:pPr>
        <w:spacing w:line="360" w:lineRule="auto"/>
        <w:ind w:firstLine="708"/>
        <w:jc w:val="both"/>
        <w:rPr>
          <w:rFonts w:cs="Arial"/>
          <w:szCs w:val="22"/>
          <w:lang w:val="hr-HR"/>
        </w:rPr>
      </w:pPr>
      <w:r>
        <w:rPr>
          <w:rFonts w:cs="Arial"/>
          <w:szCs w:val="22"/>
          <w:lang w:val="hr-HR"/>
        </w:rPr>
        <w:t>Prema Komentaru načela Deklaracije</w:t>
      </w:r>
      <w:r>
        <w:rPr>
          <w:rStyle w:val="FootnoteReference"/>
          <w:rFonts w:cs="Arial"/>
          <w:szCs w:val="22"/>
          <w:lang w:val="hr-HR"/>
        </w:rPr>
        <w:footnoteReference w:id="47"/>
      </w:r>
      <w:r>
        <w:rPr>
          <w:rFonts w:cs="Arial"/>
          <w:szCs w:val="22"/>
          <w:lang w:val="hr-HR"/>
        </w:rPr>
        <w:t xml:space="preserve">, </w:t>
      </w:r>
      <w:r w:rsidR="00C22104">
        <w:rPr>
          <w:rFonts w:cs="Arial"/>
          <w:szCs w:val="22"/>
          <w:lang w:val="hr-HR"/>
        </w:rPr>
        <w:t xml:space="preserve">države članice Vijeća Europe ne bi trebale nametati pružateljima usluga opću obvezu nadgledavanja sadržaja koji je na internetu niti aktivno tražiti dokaze ilegalnih aktivnosti. </w:t>
      </w:r>
      <w:r w:rsidR="00AF3B88">
        <w:rPr>
          <w:rFonts w:cs="Arial"/>
          <w:szCs w:val="22"/>
          <w:lang w:val="hr-HR"/>
        </w:rPr>
        <w:t>U</w:t>
      </w:r>
      <w:r w:rsidR="00C22104">
        <w:rPr>
          <w:rFonts w:cs="Arial"/>
          <w:szCs w:val="22"/>
          <w:lang w:val="hr-HR"/>
        </w:rPr>
        <w:t xml:space="preserve">loga </w:t>
      </w:r>
      <w:r w:rsidR="00AF3B88">
        <w:rPr>
          <w:rFonts w:cs="Arial"/>
          <w:szCs w:val="22"/>
          <w:lang w:val="hr-HR"/>
        </w:rPr>
        <w:t>davatelja</w:t>
      </w:r>
      <w:r w:rsidR="00C22104">
        <w:rPr>
          <w:rFonts w:cs="Arial"/>
          <w:szCs w:val="22"/>
          <w:lang w:val="hr-HR"/>
        </w:rPr>
        <w:t xml:space="preserve"> usluga </w:t>
      </w:r>
      <w:r w:rsidR="00AF3B88">
        <w:rPr>
          <w:rFonts w:cs="Arial"/>
          <w:szCs w:val="22"/>
          <w:lang w:val="hr-HR"/>
        </w:rPr>
        <w:t xml:space="preserve">je </w:t>
      </w:r>
      <w:r w:rsidR="00C22104">
        <w:rPr>
          <w:rFonts w:cs="Arial"/>
          <w:szCs w:val="22"/>
          <w:lang w:val="hr-HR"/>
        </w:rPr>
        <w:t>ograničena, on ne bi trebao biti odgovoran za sadržaj</w:t>
      </w:r>
      <w:r w:rsidR="00182B5F">
        <w:rPr>
          <w:rFonts w:cs="Arial"/>
          <w:szCs w:val="22"/>
          <w:lang w:val="hr-HR"/>
        </w:rPr>
        <w:t>, a u</w:t>
      </w:r>
      <w:r w:rsidR="00C22104">
        <w:rPr>
          <w:rFonts w:cs="Arial"/>
          <w:szCs w:val="22"/>
          <w:lang w:val="hr-HR"/>
        </w:rPr>
        <w:t xml:space="preserve">koliko </w:t>
      </w:r>
      <w:r w:rsidR="00182B5F">
        <w:rPr>
          <w:rFonts w:cs="Arial"/>
          <w:szCs w:val="22"/>
          <w:lang w:val="hr-HR"/>
        </w:rPr>
        <w:t>sazna za nezakonit sadržaj, mora</w:t>
      </w:r>
      <w:r w:rsidR="00C22104">
        <w:rPr>
          <w:rFonts w:cs="Arial"/>
          <w:szCs w:val="22"/>
          <w:lang w:val="hr-HR"/>
        </w:rPr>
        <w:t xml:space="preserve"> ga ukloniti bez odlaganja. </w:t>
      </w:r>
    </w:p>
    <w:p w:rsidR="00864D46" w:rsidRDefault="00C22104" w:rsidP="00C22104">
      <w:pPr>
        <w:spacing w:line="360" w:lineRule="auto"/>
        <w:ind w:firstLine="708"/>
        <w:jc w:val="both"/>
        <w:rPr>
          <w:rFonts w:cs="Arial"/>
          <w:szCs w:val="22"/>
          <w:lang w:val="hr-HR"/>
        </w:rPr>
      </w:pPr>
      <w:r w:rsidRPr="00C22104">
        <w:rPr>
          <w:rFonts w:cs="Arial"/>
          <w:szCs w:val="22"/>
          <w:lang w:val="hr-HR"/>
        </w:rPr>
        <w:t xml:space="preserve">S druge strane, potrebno je zaštiti slobodu izražavanja, sprječavanjem praćenja putem interneta te osiguravanjem anonimnosti </w:t>
      </w:r>
      <w:r w:rsidR="00FE09AF">
        <w:rPr>
          <w:rFonts w:cs="Arial"/>
          <w:szCs w:val="22"/>
          <w:lang w:val="hr-HR"/>
        </w:rPr>
        <w:t>ako</w:t>
      </w:r>
      <w:r w:rsidRPr="00C22104">
        <w:rPr>
          <w:rFonts w:cs="Arial"/>
          <w:szCs w:val="22"/>
          <w:lang w:val="hr-HR"/>
        </w:rPr>
        <w:t xml:space="preserve"> je to želja korisnika. </w:t>
      </w:r>
      <w:r>
        <w:rPr>
          <w:rFonts w:cs="Arial"/>
          <w:szCs w:val="22"/>
          <w:lang w:val="hr-HR"/>
        </w:rPr>
        <w:t>Ukoliko anonimnost ne bi bila osigurana, to bi moglo imati znatan  utjecaj na pravo na izražavanje. Drugim riječima, javna rasprava bi sigurno bila lišena vrijednih informacija i ideja</w:t>
      </w:r>
      <w:r>
        <w:rPr>
          <w:rStyle w:val="FootnoteReference"/>
          <w:rFonts w:cs="Arial"/>
          <w:szCs w:val="22"/>
          <w:lang w:val="hr-HR"/>
        </w:rPr>
        <w:footnoteReference w:id="48"/>
      </w:r>
      <w:r>
        <w:rPr>
          <w:rFonts w:cs="Arial"/>
          <w:szCs w:val="22"/>
          <w:lang w:val="hr-HR"/>
        </w:rPr>
        <w:t>.</w:t>
      </w:r>
    </w:p>
    <w:p w:rsidR="00864D46" w:rsidRDefault="00864D46">
      <w:pPr>
        <w:spacing w:after="200" w:line="276" w:lineRule="auto"/>
        <w:rPr>
          <w:rFonts w:cs="Arial"/>
          <w:szCs w:val="22"/>
          <w:lang w:val="hr-HR"/>
        </w:rPr>
      </w:pPr>
      <w:r>
        <w:rPr>
          <w:rFonts w:cs="Arial"/>
          <w:szCs w:val="22"/>
          <w:lang w:val="hr-HR"/>
        </w:rPr>
        <w:br w:type="page"/>
      </w:r>
    </w:p>
    <w:p w:rsidR="00864D46" w:rsidRDefault="00864D46" w:rsidP="00864D46">
      <w:pPr>
        <w:pStyle w:val="Heading2"/>
      </w:pPr>
      <w:bookmarkStart w:id="113" w:name="_Toc386619620"/>
      <w:r>
        <w:lastRenderedPageBreak/>
        <w:t>Pravo Europske</w:t>
      </w:r>
      <w:bookmarkEnd w:id="113"/>
      <w:r w:rsidR="0085665F">
        <w:t xml:space="preserve"> unije</w:t>
      </w:r>
    </w:p>
    <w:p w:rsidR="00864D46" w:rsidRDefault="00864D46" w:rsidP="00864D46">
      <w:pPr>
        <w:pStyle w:val="Heading2"/>
        <w:numPr>
          <w:ilvl w:val="0"/>
          <w:numId w:val="0"/>
        </w:numPr>
        <w:ind w:left="576"/>
      </w:pPr>
    </w:p>
    <w:p w:rsidR="00ED26E1" w:rsidRDefault="00864D46" w:rsidP="00ED26E1">
      <w:pPr>
        <w:pStyle w:val="t-98-2"/>
        <w:spacing w:before="0" w:beforeAutospacing="0" w:after="0" w:afterAutospacing="0" w:line="360" w:lineRule="auto"/>
        <w:ind w:firstLine="708"/>
        <w:jc w:val="both"/>
        <w:rPr>
          <w:rFonts w:cs="Arial"/>
          <w:szCs w:val="22"/>
        </w:rPr>
      </w:pPr>
      <w:r w:rsidRPr="00864D46">
        <w:rPr>
          <w:rFonts w:cs="Arial"/>
          <w:szCs w:val="22"/>
        </w:rPr>
        <w:t>Tijek</w:t>
      </w:r>
      <w:r>
        <w:rPr>
          <w:rFonts w:cs="Arial"/>
          <w:szCs w:val="22"/>
        </w:rPr>
        <w:t xml:space="preserve">om pristupnih pregovora, RH je preuzela acquis communautaire Europske unije, odnosno drugim riječima cijeli pravni korpus koji uključuje primarno i sekundarno pravo. Među sekundarnim pravom, za ovaj rad su bitne direktive. Direktive ne zamijenjuju nacionalne norme, </w:t>
      </w:r>
      <w:r w:rsidR="00ED26E1">
        <w:rPr>
          <w:rFonts w:cs="Arial"/>
          <w:szCs w:val="22"/>
        </w:rPr>
        <w:t>propisuje cilj koji se mora postići prilagodbom internog (nacionalnog) prava u mjeri kojoj je to nužno. Takav pristup harmoniziranju prava je naročito oportun jer omogućuje različitost između država članica, ali i istovremeno i jedinstvo u obliku rezultata.</w:t>
      </w:r>
      <w:r w:rsidR="00F70406">
        <w:rPr>
          <w:rStyle w:val="FootnoteReference"/>
          <w:rFonts w:cs="Arial"/>
          <w:szCs w:val="22"/>
        </w:rPr>
        <w:footnoteReference w:id="49"/>
      </w:r>
      <w:r w:rsidR="00ED26E1">
        <w:rPr>
          <w:rFonts w:cs="Arial"/>
          <w:szCs w:val="22"/>
        </w:rPr>
        <w:t xml:space="preserve"> </w:t>
      </w:r>
    </w:p>
    <w:p w:rsidR="00ED26E1" w:rsidRPr="00864D46" w:rsidRDefault="00ED26E1" w:rsidP="00ED26E1">
      <w:pPr>
        <w:pStyle w:val="t-98-2"/>
        <w:spacing w:before="0" w:beforeAutospacing="0" w:after="0" w:afterAutospacing="0" w:line="360" w:lineRule="auto"/>
        <w:ind w:firstLine="708"/>
        <w:jc w:val="both"/>
        <w:rPr>
          <w:rFonts w:cs="Arial"/>
          <w:szCs w:val="22"/>
        </w:rPr>
      </w:pPr>
      <w:r>
        <w:rPr>
          <w:rFonts w:cs="Arial"/>
          <w:szCs w:val="22"/>
        </w:rPr>
        <w:t xml:space="preserve">Na relevantne direktive osvrnut ćemo se dalje u radu (vidi </w:t>
      </w:r>
      <w:r w:rsidRPr="00ED26E1">
        <w:rPr>
          <w:rFonts w:cs="Arial"/>
          <w:i/>
          <w:szCs w:val="22"/>
        </w:rPr>
        <w:t xml:space="preserve">infra ad. </w:t>
      </w:r>
      <w:r>
        <w:rPr>
          <w:rFonts w:cs="Arial"/>
          <w:szCs w:val="22"/>
        </w:rPr>
        <w:t>4.3 i 6.1.1).</w:t>
      </w:r>
    </w:p>
    <w:p w:rsidR="005A3C31" w:rsidRPr="00B830BB" w:rsidRDefault="005A3C31" w:rsidP="00AD19A6">
      <w:pPr>
        <w:spacing w:line="360" w:lineRule="auto"/>
        <w:jc w:val="both"/>
        <w:rPr>
          <w:rFonts w:cs="Arial"/>
          <w:szCs w:val="22"/>
          <w:lang w:val="hr-HR"/>
        </w:rPr>
      </w:pPr>
    </w:p>
    <w:p w:rsidR="00342406" w:rsidRPr="00B830BB" w:rsidRDefault="00342406" w:rsidP="00342406">
      <w:pPr>
        <w:pStyle w:val="Heading1"/>
        <w:rPr>
          <w:rFonts w:cs="Arial"/>
          <w:lang w:val="hr-HR"/>
        </w:rPr>
      </w:pPr>
      <w:bookmarkStart w:id="114" w:name="_Toc386285782"/>
      <w:bookmarkStart w:id="115" w:name="_Toc386498321"/>
      <w:bookmarkStart w:id="116" w:name="_Toc386563066"/>
      <w:bookmarkStart w:id="117" w:name="_Toc386567228"/>
      <w:bookmarkStart w:id="118" w:name="_Toc386619621"/>
      <w:r w:rsidRPr="00B830BB">
        <w:rPr>
          <w:rFonts w:cs="Arial"/>
          <w:lang w:val="hr-HR"/>
        </w:rPr>
        <w:t>Nacionalni pravni okvir</w:t>
      </w:r>
      <w:bookmarkEnd w:id="114"/>
      <w:bookmarkEnd w:id="115"/>
      <w:bookmarkEnd w:id="116"/>
      <w:bookmarkEnd w:id="117"/>
      <w:bookmarkEnd w:id="118"/>
      <w:r w:rsidRPr="00B830BB">
        <w:rPr>
          <w:rFonts w:cs="Arial"/>
          <w:lang w:val="hr-HR"/>
        </w:rPr>
        <w:t xml:space="preserve"> </w:t>
      </w:r>
    </w:p>
    <w:p w:rsidR="00342406" w:rsidRPr="00B830BB" w:rsidRDefault="00342406" w:rsidP="00342406">
      <w:pPr>
        <w:pStyle w:val="Heading1"/>
        <w:numPr>
          <w:ilvl w:val="0"/>
          <w:numId w:val="0"/>
        </w:numPr>
        <w:ind w:left="432" w:hanging="432"/>
        <w:rPr>
          <w:rFonts w:cs="Arial"/>
          <w:lang w:val="hr-HR"/>
        </w:rPr>
      </w:pPr>
    </w:p>
    <w:p w:rsidR="00342406" w:rsidRPr="00B830BB" w:rsidRDefault="00342406" w:rsidP="00FE09AF">
      <w:pPr>
        <w:pStyle w:val="Heading2"/>
        <w:rPr>
          <w:rFonts w:cs="Arial"/>
        </w:rPr>
      </w:pPr>
      <w:bookmarkStart w:id="119" w:name="_Toc386285783"/>
      <w:bookmarkStart w:id="120" w:name="_Toc386498322"/>
      <w:bookmarkStart w:id="121" w:name="_Toc386563067"/>
      <w:bookmarkStart w:id="122" w:name="_Toc386567229"/>
      <w:bookmarkStart w:id="123" w:name="_Toc386619622"/>
      <w:r w:rsidRPr="00B830BB">
        <w:rPr>
          <w:rFonts w:cs="Arial"/>
        </w:rPr>
        <w:t>Ustav</w:t>
      </w:r>
      <w:bookmarkEnd w:id="119"/>
      <w:bookmarkEnd w:id="120"/>
      <w:bookmarkEnd w:id="121"/>
      <w:bookmarkEnd w:id="122"/>
      <w:bookmarkEnd w:id="123"/>
    </w:p>
    <w:p w:rsidR="00882644" w:rsidRPr="00B830BB" w:rsidRDefault="00882644" w:rsidP="00FE09AF">
      <w:pPr>
        <w:pStyle w:val="t-98-2"/>
        <w:spacing w:before="0" w:beforeAutospacing="0" w:after="0" w:afterAutospacing="0" w:line="360" w:lineRule="auto"/>
        <w:ind w:firstLine="708"/>
        <w:jc w:val="both"/>
        <w:rPr>
          <w:rFonts w:cs="Arial"/>
          <w:szCs w:val="22"/>
        </w:rPr>
      </w:pPr>
      <w:r w:rsidRPr="00B830BB">
        <w:rPr>
          <w:rFonts w:cs="Arial"/>
          <w:szCs w:val="22"/>
        </w:rPr>
        <w:t>U Ustavu</w:t>
      </w:r>
      <w:r w:rsidRPr="00B830BB">
        <w:rPr>
          <w:rStyle w:val="FootnoteReference"/>
          <w:rFonts w:cs="Arial"/>
          <w:szCs w:val="22"/>
        </w:rPr>
        <w:footnoteReference w:id="50"/>
      </w:r>
      <w:r w:rsidRPr="00B830BB">
        <w:rPr>
          <w:rFonts w:cs="Arial"/>
          <w:szCs w:val="22"/>
        </w:rPr>
        <w:t xml:space="preserve"> Republike Hrvatske</w:t>
      </w:r>
      <w:r w:rsidR="006455FF" w:rsidRPr="00B830BB">
        <w:rPr>
          <w:rFonts w:cs="Arial"/>
          <w:szCs w:val="22"/>
        </w:rPr>
        <w:t>, kao temel</w:t>
      </w:r>
      <w:r w:rsidR="004E1BBE" w:rsidRPr="00B830BB">
        <w:rPr>
          <w:rFonts w:cs="Arial"/>
          <w:szCs w:val="22"/>
        </w:rPr>
        <w:t>jnom pravnom aktu države, nalaze</w:t>
      </w:r>
      <w:r w:rsidR="006455FF" w:rsidRPr="00B830BB">
        <w:rPr>
          <w:rFonts w:cs="Arial"/>
          <w:szCs w:val="22"/>
        </w:rPr>
        <w:t xml:space="preserve"> se </w:t>
      </w:r>
      <w:r w:rsidR="004E1BBE" w:rsidRPr="00B830BB">
        <w:rPr>
          <w:rFonts w:cs="Arial"/>
          <w:szCs w:val="22"/>
        </w:rPr>
        <w:t xml:space="preserve"> odredbe</w:t>
      </w:r>
      <w:r w:rsidRPr="00B830BB">
        <w:rPr>
          <w:rFonts w:cs="Arial"/>
          <w:szCs w:val="22"/>
        </w:rPr>
        <w:t xml:space="preserve"> koje određuju temeljn</w:t>
      </w:r>
      <w:r w:rsidR="004A78FB" w:rsidRPr="00B830BB">
        <w:rPr>
          <w:rFonts w:cs="Arial"/>
          <w:szCs w:val="22"/>
        </w:rPr>
        <w:t>a načela</w:t>
      </w:r>
      <w:r w:rsidR="006455FF" w:rsidRPr="00B830BB">
        <w:rPr>
          <w:rFonts w:cs="Arial"/>
          <w:szCs w:val="22"/>
        </w:rPr>
        <w:t xml:space="preserve"> kaznenog</w:t>
      </w:r>
      <w:r w:rsidRPr="00B830BB">
        <w:rPr>
          <w:rFonts w:cs="Arial"/>
          <w:szCs w:val="22"/>
        </w:rPr>
        <w:t xml:space="preserve"> zakonodavstva. </w:t>
      </w:r>
      <w:r w:rsidR="00FF127A">
        <w:rPr>
          <w:rFonts w:cs="Arial"/>
          <w:szCs w:val="22"/>
        </w:rPr>
        <w:t>Sloboda mišljenja i izraž</w:t>
      </w:r>
      <w:r w:rsidR="00602792">
        <w:rPr>
          <w:rFonts w:cs="Arial"/>
          <w:szCs w:val="22"/>
        </w:rPr>
        <w:t>a</w:t>
      </w:r>
      <w:r w:rsidR="00FF127A">
        <w:rPr>
          <w:rFonts w:cs="Arial"/>
          <w:szCs w:val="22"/>
        </w:rPr>
        <w:t>vanja misli jamči se člankom 38, dok č</w:t>
      </w:r>
      <w:r w:rsidR="006455FF" w:rsidRPr="00B830BB">
        <w:rPr>
          <w:rFonts w:cs="Arial"/>
          <w:szCs w:val="22"/>
        </w:rPr>
        <w:t>lan</w:t>
      </w:r>
      <w:r w:rsidR="00FF127A">
        <w:rPr>
          <w:rFonts w:cs="Arial"/>
          <w:szCs w:val="22"/>
        </w:rPr>
        <w:t>ak</w:t>
      </w:r>
      <w:r w:rsidRPr="00B830BB">
        <w:rPr>
          <w:rFonts w:cs="Arial"/>
          <w:szCs w:val="22"/>
        </w:rPr>
        <w:t xml:space="preserve"> 39.</w:t>
      </w:r>
      <w:r w:rsidR="006455FF" w:rsidRPr="00B830BB">
        <w:rPr>
          <w:rFonts w:cs="Arial"/>
          <w:szCs w:val="22"/>
        </w:rPr>
        <w:t xml:space="preserve"> zabranjuje i određuje kažnjivim</w:t>
      </w:r>
      <w:r w:rsidRPr="00B830BB">
        <w:rPr>
          <w:rFonts w:cs="Arial"/>
          <w:szCs w:val="22"/>
        </w:rPr>
        <w:t xml:space="preserve"> svako pozivanje ili poticanje na rat ili uporabu nasilja, na nacionalnu, rasnu ili vjersku mržnju ili bilo koji oblik nesnošljivosti.</w:t>
      </w:r>
    </w:p>
    <w:p w:rsidR="00882644" w:rsidRPr="00B830BB" w:rsidRDefault="00882644" w:rsidP="00342406">
      <w:pPr>
        <w:ind w:firstLine="576"/>
        <w:rPr>
          <w:rFonts w:cs="Arial"/>
          <w:lang w:val="hr-HR"/>
        </w:rPr>
      </w:pPr>
    </w:p>
    <w:p w:rsidR="001B1904" w:rsidRPr="00B830BB" w:rsidRDefault="001B1904" w:rsidP="00342406">
      <w:pPr>
        <w:pStyle w:val="Heading2"/>
        <w:rPr>
          <w:rFonts w:cs="Arial"/>
        </w:rPr>
      </w:pPr>
      <w:bookmarkStart w:id="124" w:name="_Toc386285784"/>
      <w:bookmarkStart w:id="125" w:name="_Toc386498323"/>
      <w:bookmarkStart w:id="126" w:name="_Toc386563068"/>
      <w:bookmarkStart w:id="127" w:name="_Toc386567230"/>
      <w:bookmarkStart w:id="128" w:name="_Toc386619623"/>
      <w:r w:rsidRPr="00B830BB">
        <w:rPr>
          <w:rFonts w:cs="Arial"/>
        </w:rPr>
        <w:t>Kazneni zakon</w:t>
      </w:r>
      <w:bookmarkEnd w:id="124"/>
      <w:bookmarkEnd w:id="125"/>
      <w:bookmarkEnd w:id="126"/>
      <w:bookmarkEnd w:id="127"/>
      <w:bookmarkEnd w:id="128"/>
      <w:r w:rsidRPr="00B830BB">
        <w:rPr>
          <w:rFonts w:cs="Arial"/>
        </w:rPr>
        <w:t xml:space="preserve"> </w:t>
      </w:r>
    </w:p>
    <w:p w:rsidR="009E28F6" w:rsidRDefault="00342406" w:rsidP="00E77473">
      <w:pPr>
        <w:spacing w:line="360" w:lineRule="auto"/>
        <w:ind w:firstLine="708"/>
        <w:jc w:val="both"/>
        <w:rPr>
          <w:rFonts w:cs="Arial"/>
          <w:szCs w:val="22"/>
          <w:lang w:val="hr-HR"/>
        </w:rPr>
      </w:pPr>
      <w:r w:rsidRPr="00B830BB">
        <w:rPr>
          <w:rFonts w:cs="Arial"/>
          <w:szCs w:val="22"/>
          <w:lang w:val="hr-HR"/>
        </w:rPr>
        <w:t>Novi Kazneni zakon</w:t>
      </w:r>
      <w:r w:rsidR="00E77473" w:rsidRPr="00B830BB">
        <w:rPr>
          <w:rStyle w:val="FootnoteReference"/>
          <w:rFonts w:cs="Arial"/>
          <w:lang w:val="hr-HR"/>
        </w:rPr>
        <w:footnoteReference w:id="51"/>
      </w:r>
      <w:r w:rsidRPr="00B830BB">
        <w:rPr>
          <w:rFonts w:cs="Arial"/>
          <w:szCs w:val="22"/>
          <w:lang w:val="hr-HR"/>
        </w:rPr>
        <w:t xml:space="preserve"> Republike Hrvatske stupio je na snagu 1. siječnja 2013. godine. </w:t>
      </w:r>
      <w:r w:rsidR="00062652" w:rsidRPr="00B830BB">
        <w:rPr>
          <w:rFonts w:cs="Arial"/>
          <w:szCs w:val="22"/>
          <w:lang w:val="hr-HR"/>
        </w:rPr>
        <w:t>Među proklamiranim razlozima</w:t>
      </w:r>
      <w:r w:rsidR="000F4755" w:rsidRPr="00B830BB">
        <w:rPr>
          <w:rFonts w:cs="Arial"/>
          <w:szCs w:val="22"/>
          <w:lang w:val="hr-HR"/>
        </w:rPr>
        <w:t xml:space="preserve"> zbog kojih se pristupilo izradi novog KZ-a navode se potrebna usklađenja s međunarodnim dokumentima (poput Konvencije o kibernetičkom kriminalitetu), osuvremenjivanja općeg i posebnog dijela na temelju dobre prakse drugih europskih kaznenopravnih sustava, otklanjanje zakonskih neusklađenosti i proturječnosti.</w:t>
      </w:r>
      <w:r w:rsidR="000F4755" w:rsidRPr="00B830BB">
        <w:rPr>
          <w:rFonts w:cs="Arial"/>
          <w:szCs w:val="22"/>
          <w:vertAlign w:val="superscript"/>
        </w:rPr>
        <w:footnoteReference w:id="52"/>
      </w:r>
      <w:r w:rsidR="008765E5" w:rsidRPr="00B830BB">
        <w:rPr>
          <w:rFonts w:cs="Arial"/>
          <w:szCs w:val="22"/>
          <w:lang w:val="hr-HR"/>
        </w:rPr>
        <w:t xml:space="preserve"> Ranije pravno uređenje (više </w:t>
      </w:r>
      <w:r w:rsidR="004D09A9" w:rsidRPr="004D09A9">
        <w:rPr>
          <w:rFonts w:cs="Arial"/>
          <w:i/>
          <w:szCs w:val="22"/>
          <w:lang w:val="hr-HR"/>
        </w:rPr>
        <w:t>supra</w:t>
      </w:r>
      <w:r w:rsidR="00512EE7" w:rsidRPr="004D09A9">
        <w:rPr>
          <w:rFonts w:cs="Arial"/>
          <w:i/>
          <w:szCs w:val="22"/>
          <w:lang w:val="hr-HR"/>
        </w:rPr>
        <w:t xml:space="preserve"> ad.</w:t>
      </w:r>
      <w:r w:rsidR="004D09A9" w:rsidRPr="004D09A9">
        <w:rPr>
          <w:rFonts w:cs="Arial"/>
          <w:szCs w:val="22"/>
          <w:lang w:val="hr-HR"/>
        </w:rPr>
        <w:t xml:space="preserve"> </w:t>
      </w:r>
      <w:r w:rsidR="004D09A9">
        <w:rPr>
          <w:rFonts w:cs="Arial"/>
          <w:szCs w:val="22"/>
          <w:lang w:val="hr-HR"/>
        </w:rPr>
        <w:t>8</w:t>
      </w:r>
      <w:r w:rsidR="008765E5" w:rsidRPr="00B830BB">
        <w:rPr>
          <w:rFonts w:cs="Arial"/>
          <w:szCs w:val="22"/>
          <w:lang w:val="hr-HR"/>
        </w:rPr>
        <w:t>)</w:t>
      </w:r>
      <w:r w:rsidR="00635ACB" w:rsidRPr="00B830BB">
        <w:rPr>
          <w:rFonts w:cs="Arial"/>
          <w:szCs w:val="22"/>
          <w:lang w:val="hr-HR"/>
        </w:rPr>
        <w:t xml:space="preserve"> </w:t>
      </w:r>
      <w:r w:rsidR="008765E5" w:rsidRPr="00B830BB">
        <w:rPr>
          <w:rFonts w:cs="Arial"/>
          <w:szCs w:val="22"/>
          <w:lang w:val="hr-HR"/>
        </w:rPr>
        <w:t xml:space="preserve">pokazalo se nedostatno te </w:t>
      </w:r>
      <w:r w:rsidR="00FE09AF">
        <w:rPr>
          <w:rFonts w:cs="Arial"/>
          <w:szCs w:val="22"/>
          <w:lang w:val="hr-HR"/>
        </w:rPr>
        <w:t xml:space="preserve">je ostalo </w:t>
      </w:r>
      <w:r w:rsidR="008765E5" w:rsidRPr="00B830BB">
        <w:rPr>
          <w:rFonts w:cs="Arial"/>
          <w:szCs w:val="22"/>
          <w:lang w:val="hr-HR"/>
        </w:rPr>
        <w:t>neprepoznato od strane prakse, budući da su u potpunosti izostali kazneni progoni za djela vezana uz govor mržnje.</w:t>
      </w:r>
      <w:r w:rsidR="008765E5" w:rsidRPr="00B830BB">
        <w:rPr>
          <w:rStyle w:val="FootnoteReference"/>
          <w:rFonts w:cs="Arial"/>
          <w:szCs w:val="22"/>
          <w:lang w:val="hr-HR"/>
        </w:rPr>
        <w:footnoteReference w:id="53"/>
      </w:r>
      <w:r w:rsidR="008765E5" w:rsidRPr="00B830BB">
        <w:rPr>
          <w:rFonts w:cs="Arial"/>
          <w:szCs w:val="22"/>
          <w:lang w:val="hr-HR"/>
        </w:rPr>
        <w:t xml:space="preserve"> </w:t>
      </w:r>
    </w:p>
    <w:p w:rsidR="009E28F6" w:rsidRDefault="009E28F6">
      <w:pPr>
        <w:spacing w:after="200" w:line="276" w:lineRule="auto"/>
        <w:rPr>
          <w:rFonts w:cs="Arial"/>
          <w:szCs w:val="22"/>
          <w:lang w:val="hr-HR"/>
        </w:rPr>
      </w:pPr>
      <w:r>
        <w:rPr>
          <w:rFonts w:cs="Arial"/>
          <w:szCs w:val="22"/>
          <w:lang w:val="hr-HR"/>
        </w:rPr>
        <w:br w:type="page"/>
      </w:r>
    </w:p>
    <w:p w:rsidR="007448FF" w:rsidRPr="00B830BB" w:rsidRDefault="007448FF" w:rsidP="00342406">
      <w:pPr>
        <w:pStyle w:val="Heading3"/>
      </w:pPr>
      <w:bookmarkStart w:id="129" w:name="_Toc386285785"/>
      <w:bookmarkStart w:id="130" w:name="_Toc386498324"/>
      <w:bookmarkStart w:id="131" w:name="_Toc386563069"/>
      <w:bookmarkStart w:id="132" w:name="_Toc386567231"/>
      <w:bookmarkStart w:id="133" w:name="_Toc386619624"/>
      <w:r w:rsidRPr="00B830BB">
        <w:lastRenderedPageBreak/>
        <w:t>Zločin iz mržnje</w:t>
      </w:r>
      <w:bookmarkEnd w:id="129"/>
      <w:bookmarkEnd w:id="130"/>
      <w:bookmarkEnd w:id="131"/>
      <w:bookmarkEnd w:id="132"/>
      <w:bookmarkEnd w:id="133"/>
    </w:p>
    <w:p w:rsidR="007448FF" w:rsidRPr="00B830BB" w:rsidRDefault="007448FF" w:rsidP="007448FF">
      <w:pPr>
        <w:rPr>
          <w:rFonts w:cs="Arial"/>
          <w:lang w:val="hr-HR"/>
        </w:rPr>
      </w:pPr>
    </w:p>
    <w:p w:rsidR="003603DE" w:rsidRPr="00B830BB" w:rsidRDefault="00112E8B" w:rsidP="00342357">
      <w:pPr>
        <w:spacing w:line="360" w:lineRule="auto"/>
        <w:ind w:firstLine="708"/>
        <w:jc w:val="both"/>
        <w:rPr>
          <w:rFonts w:cs="Arial"/>
          <w:szCs w:val="22"/>
          <w:lang w:val="hr-HR"/>
        </w:rPr>
      </w:pPr>
      <w:r w:rsidRPr="00B830BB">
        <w:rPr>
          <w:rFonts w:cs="Arial"/>
          <w:szCs w:val="22"/>
          <w:lang w:val="hr-HR"/>
        </w:rPr>
        <w:t xml:space="preserve">Novi </w:t>
      </w:r>
      <w:r w:rsidR="00E77473" w:rsidRPr="00B830BB">
        <w:rPr>
          <w:rFonts w:cs="Arial"/>
          <w:szCs w:val="22"/>
          <w:lang w:val="hr-HR"/>
        </w:rPr>
        <w:t>KZ</w:t>
      </w:r>
      <w:r w:rsidR="00012D50" w:rsidRPr="00B830BB">
        <w:rPr>
          <w:rFonts w:cs="Arial"/>
          <w:szCs w:val="22"/>
          <w:lang w:val="hr-HR"/>
        </w:rPr>
        <w:t xml:space="preserve"> definira okolnost kada je </w:t>
      </w:r>
      <w:r w:rsidRPr="00B830BB">
        <w:rPr>
          <w:rFonts w:cs="Arial"/>
          <w:szCs w:val="22"/>
          <w:lang w:val="hr-HR"/>
        </w:rPr>
        <w:t xml:space="preserve">zločin </w:t>
      </w:r>
      <w:r w:rsidR="00012D50" w:rsidRPr="00B830BB">
        <w:rPr>
          <w:rFonts w:cs="Arial"/>
          <w:szCs w:val="22"/>
          <w:lang w:val="hr-HR"/>
        </w:rPr>
        <w:t xml:space="preserve">počinjen </w:t>
      </w:r>
      <w:r w:rsidRPr="00B830BB">
        <w:rPr>
          <w:rFonts w:cs="Arial"/>
          <w:szCs w:val="22"/>
          <w:lang w:val="hr-HR"/>
        </w:rPr>
        <w:t xml:space="preserve">iz mržnje </w:t>
      </w:r>
      <w:r w:rsidR="008D7918" w:rsidRPr="00B830BB">
        <w:rPr>
          <w:rFonts w:cs="Arial"/>
          <w:szCs w:val="22"/>
          <w:lang w:val="hr-HR"/>
        </w:rPr>
        <w:t>na način da je predmetno</w:t>
      </w:r>
      <w:r w:rsidR="00692948" w:rsidRPr="00B830BB">
        <w:rPr>
          <w:rFonts w:cs="Arial"/>
          <w:szCs w:val="22"/>
          <w:lang w:val="hr-HR"/>
        </w:rPr>
        <w:t xml:space="preserve"> </w:t>
      </w:r>
      <w:r w:rsidRPr="00B830BB">
        <w:rPr>
          <w:rFonts w:cs="Arial"/>
          <w:szCs w:val="22"/>
          <w:lang w:val="hr-HR"/>
        </w:rPr>
        <w:t>kazneno djelo počinjeno zbog rasne pripadnosti, boje kože, vjeroispovijesti, nacionalnog ili etičkog podrijetla, invaliditeta, spola, spolnog opredjeljenja ili rodnog identiteta druge osobe</w:t>
      </w:r>
      <w:r w:rsidR="00E77473" w:rsidRPr="00B830BB">
        <w:rPr>
          <w:rFonts w:cs="Arial"/>
          <w:szCs w:val="22"/>
          <w:lang w:val="hr-HR"/>
        </w:rPr>
        <w:t xml:space="preserve"> (čl. 87., st. 21.)</w:t>
      </w:r>
      <w:r w:rsidRPr="00B830BB">
        <w:rPr>
          <w:rFonts w:cs="Arial"/>
          <w:szCs w:val="22"/>
          <w:lang w:val="hr-HR"/>
        </w:rPr>
        <w:t xml:space="preserve">. </w:t>
      </w:r>
      <w:r w:rsidR="00F12BCB">
        <w:rPr>
          <w:rFonts w:cs="Arial"/>
          <w:szCs w:val="22"/>
          <w:lang w:val="hr-HR"/>
        </w:rPr>
        <w:t>Takva pobuda</w:t>
      </w:r>
      <w:r w:rsidR="00E2600A" w:rsidRPr="00B830BB">
        <w:rPr>
          <w:rFonts w:cs="Arial"/>
          <w:szCs w:val="22"/>
          <w:lang w:val="hr-HR"/>
        </w:rPr>
        <w:t xml:space="preserve"> </w:t>
      </w:r>
      <w:r w:rsidR="00A11D0E" w:rsidRPr="00B830BB">
        <w:rPr>
          <w:rFonts w:cs="Arial"/>
          <w:szCs w:val="22"/>
          <w:lang w:val="hr-HR"/>
        </w:rPr>
        <w:t xml:space="preserve">počinitelja </w:t>
      </w:r>
      <w:r w:rsidR="00E2600A" w:rsidRPr="00B830BB">
        <w:rPr>
          <w:rFonts w:cs="Arial"/>
          <w:szCs w:val="22"/>
          <w:lang w:val="hr-HR"/>
        </w:rPr>
        <w:t xml:space="preserve">u </w:t>
      </w:r>
      <w:r w:rsidR="00A11D0E" w:rsidRPr="00B830BB">
        <w:rPr>
          <w:rFonts w:cs="Arial"/>
          <w:szCs w:val="22"/>
          <w:lang w:val="hr-HR"/>
        </w:rPr>
        <w:t>pravilu</w:t>
      </w:r>
      <w:r w:rsidR="00E2600A" w:rsidRPr="00B830BB">
        <w:rPr>
          <w:rFonts w:cs="Arial"/>
          <w:szCs w:val="22"/>
          <w:lang w:val="hr-HR"/>
        </w:rPr>
        <w:t xml:space="preserve"> predstavlja otegotnu</w:t>
      </w:r>
      <w:r w:rsidR="00012D50" w:rsidRPr="00B830BB">
        <w:rPr>
          <w:rFonts w:cs="Arial"/>
          <w:szCs w:val="22"/>
          <w:lang w:val="hr-HR"/>
        </w:rPr>
        <w:t xml:space="preserve"> okolnost</w:t>
      </w:r>
      <w:r w:rsidR="00E2600A" w:rsidRPr="00B830BB">
        <w:rPr>
          <w:rFonts w:cs="Arial"/>
          <w:szCs w:val="22"/>
          <w:lang w:val="hr-HR"/>
        </w:rPr>
        <w:t xml:space="preserve">, </w:t>
      </w:r>
      <w:r w:rsidR="0038440D" w:rsidRPr="00B830BB">
        <w:rPr>
          <w:rFonts w:cs="Arial"/>
          <w:szCs w:val="22"/>
          <w:lang w:val="hr-HR"/>
        </w:rPr>
        <w:t xml:space="preserve">a u točno određenom broju djela smatra se kvalifikatornom okolnosti. </w:t>
      </w:r>
      <w:r w:rsidR="0095477E" w:rsidRPr="00B830BB">
        <w:rPr>
          <w:rFonts w:cs="Arial"/>
          <w:szCs w:val="22"/>
          <w:lang w:val="hr-HR"/>
        </w:rPr>
        <w:t xml:space="preserve">Razlog težeg kažnjavanja jest </w:t>
      </w:r>
      <w:r w:rsidR="00F12BCB">
        <w:rPr>
          <w:rFonts w:cs="Arial"/>
          <w:szCs w:val="22"/>
          <w:lang w:val="hr-HR"/>
        </w:rPr>
        <w:t>spomenuti diskriminator</w:t>
      </w:r>
      <w:r w:rsidR="0095477E" w:rsidRPr="00B830BB">
        <w:rPr>
          <w:rFonts w:cs="Arial"/>
          <w:szCs w:val="22"/>
          <w:lang w:val="hr-HR"/>
        </w:rPr>
        <w:t>n</w:t>
      </w:r>
      <w:r w:rsidR="00F12BCB">
        <w:rPr>
          <w:rFonts w:cs="Arial"/>
          <w:szCs w:val="22"/>
          <w:lang w:val="hr-HR"/>
        </w:rPr>
        <w:t>i</w:t>
      </w:r>
      <w:r w:rsidR="0095477E" w:rsidRPr="00B830BB">
        <w:rPr>
          <w:rFonts w:cs="Arial"/>
          <w:szCs w:val="22"/>
          <w:lang w:val="hr-HR"/>
        </w:rPr>
        <w:t xml:space="preserve"> motiv koji se manifestira u nasilju prema pripadniku određene grupe, a koje može imati teške društvene posljedice</w:t>
      </w:r>
      <w:r w:rsidR="00B97472">
        <w:rPr>
          <w:rFonts w:cs="Arial"/>
          <w:szCs w:val="22"/>
          <w:lang w:val="hr-HR"/>
        </w:rPr>
        <w:t>.</w:t>
      </w:r>
      <w:r w:rsidR="0095477E" w:rsidRPr="00B830BB">
        <w:rPr>
          <w:rFonts w:cs="Arial"/>
          <w:vertAlign w:val="superscript"/>
          <w:lang w:val="hr-HR"/>
        </w:rPr>
        <w:footnoteReference w:id="54"/>
      </w:r>
      <w:r w:rsidR="001E3FE2" w:rsidRPr="00B830BB">
        <w:rPr>
          <w:rFonts w:cs="Arial"/>
          <w:szCs w:val="22"/>
          <w:lang w:val="hr-HR"/>
        </w:rPr>
        <w:t xml:space="preserve"> To je posebice </w:t>
      </w:r>
      <w:r w:rsidR="00080CF4" w:rsidRPr="00B830BB">
        <w:rPr>
          <w:rFonts w:cs="Arial"/>
          <w:szCs w:val="22"/>
          <w:lang w:val="hr-HR"/>
        </w:rPr>
        <w:t xml:space="preserve">važno </w:t>
      </w:r>
      <w:r w:rsidR="001E3FE2" w:rsidRPr="00B830BB">
        <w:rPr>
          <w:rFonts w:cs="Arial"/>
          <w:szCs w:val="22"/>
          <w:lang w:val="hr-HR"/>
        </w:rPr>
        <w:t xml:space="preserve">u pogledu govora mržnje na internetu čija je diseminacija brza, a time i posljedice mogu biti recipročno dalekosežnije i ozbiljnije. </w:t>
      </w:r>
    </w:p>
    <w:p w:rsidR="0057624A" w:rsidRPr="00B830BB" w:rsidRDefault="0057624A" w:rsidP="00987883">
      <w:pPr>
        <w:spacing w:line="360" w:lineRule="auto"/>
        <w:ind w:firstLine="708"/>
        <w:jc w:val="both"/>
        <w:rPr>
          <w:rFonts w:cs="Arial"/>
          <w:szCs w:val="22"/>
          <w:lang w:val="hr-HR"/>
        </w:rPr>
      </w:pPr>
    </w:p>
    <w:p w:rsidR="007448FF" w:rsidRPr="00B830BB" w:rsidRDefault="007448FF" w:rsidP="00F04F35">
      <w:pPr>
        <w:pStyle w:val="Heading3"/>
      </w:pPr>
      <w:bookmarkStart w:id="134" w:name="_Toc386285786"/>
      <w:bookmarkStart w:id="135" w:name="_Toc386498325"/>
      <w:bookmarkStart w:id="136" w:name="_Toc386563070"/>
      <w:bookmarkStart w:id="137" w:name="_Toc386567232"/>
      <w:bookmarkStart w:id="138" w:name="_Toc386619625"/>
      <w:r w:rsidRPr="00B830BB">
        <w:t>Javno poticanje na nasilje i mržnju</w:t>
      </w:r>
      <w:bookmarkEnd w:id="134"/>
      <w:bookmarkEnd w:id="135"/>
      <w:bookmarkEnd w:id="136"/>
      <w:bookmarkEnd w:id="137"/>
      <w:bookmarkEnd w:id="138"/>
    </w:p>
    <w:p w:rsidR="007448FF" w:rsidRPr="00B830BB" w:rsidRDefault="007448FF" w:rsidP="007448FF">
      <w:pPr>
        <w:rPr>
          <w:rFonts w:cs="Arial"/>
          <w:lang w:val="hr-HR"/>
        </w:rPr>
      </w:pPr>
    </w:p>
    <w:p w:rsidR="00794A36" w:rsidRPr="00B830BB" w:rsidRDefault="006052A6" w:rsidP="00987883">
      <w:pPr>
        <w:spacing w:line="360" w:lineRule="auto"/>
        <w:ind w:firstLine="708"/>
        <w:jc w:val="both"/>
        <w:rPr>
          <w:rFonts w:cs="Arial"/>
          <w:szCs w:val="22"/>
          <w:lang w:val="hr-HR"/>
        </w:rPr>
      </w:pPr>
      <w:r w:rsidRPr="00B830BB">
        <w:rPr>
          <w:rFonts w:cs="Arial"/>
          <w:i/>
          <w:szCs w:val="22"/>
          <w:lang w:val="hr-HR"/>
        </w:rPr>
        <w:t>Differencia specifica</w:t>
      </w:r>
      <w:r w:rsidRPr="00B830BB">
        <w:rPr>
          <w:rFonts w:cs="Arial"/>
          <w:szCs w:val="22"/>
          <w:lang w:val="hr-HR"/>
        </w:rPr>
        <w:t xml:space="preserve"> </w:t>
      </w:r>
      <w:r w:rsidR="00794A36" w:rsidRPr="00B830BB">
        <w:rPr>
          <w:rFonts w:cs="Arial"/>
          <w:szCs w:val="22"/>
          <w:lang w:val="hr-HR"/>
        </w:rPr>
        <w:t xml:space="preserve">koja razlikuje govor mržnje </w:t>
      </w:r>
      <w:r w:rsidR="00692948" w:rsidRPr="00B830BB">
        <w:rPr>
          <w:rFonts w:cs="Arial"/>
          <w:szCs w:val="22"/>
          <w:lang w:val="hr-HR"/>
        </w:rPr>
        <w:t>na internetu od govora mržnje inače</w:t>
      </w:r>
      <w:r w:rsidR="00794A36" w:rsidRPr="00B830BB">
        <w:rPr>
          <w:rFonts w:cs="Arial"/>
          <w:szCs w:val="22"/>
          <w:lang w:val="hr-HR"/>
        </w:rPr>
        <w:t xml:space="preserve"> jest njegovo prenošenje putem interneta. Iako naizgled mala razlika, ona ima višestruke implikacije kako u sudskom postupku tako i u odgovornosti. </w:t>
      </w:r>
    </w:p>
    <w:p w:rsidR="009E28F6" w:rsidRDefault="006052A6" w:rsidP="00987883">
      <w:pPr>
        <w:spacing w:line="360" w:lineRule="auto"/>
        <w:ind w:firstLine="708"/>
        <w:jc w:val="both"/>
        <w:rPr>
          <w:rFonts w:cs="Arial"/>
          <w:szCs w:val="22"/>
          <w:lang w:val="hr-HR"/>
        </w:rPr>
      </w:pPr>
      <w:r w:rsidRPr="00B830BB">
        <w:rPr>
          <w:rFonts w:cs="Arial"/>
          <w:szCs w:val="22"/>
          <w:lang w:val="hr-HR"/>
        </w:rPr>
        <w:t xml:space="preserve">Posljednjim promjenama </w:t>
      </w:r>
      <w:r w:rsidR="007D2512" w:rsidRPr="00B830BB">
        <w:rPr>
          <w:rFonts w:cs="Arial"/>
          <w:szCs w:val="22"/>
          <w:lang w:val="hr-HR"/>
        </w:rPr>
        <w:t>KZ</w:t>
      </w:r>
      <w:r w:rsidRPr="00B830BB">
        <w:rPr>
          <w:rFonts w:cs="Arial"/>
          <w:szCs w:val="22"/>
          <w:lang w:val="hr-HR"/>
        </w:rPr>
        <w:t xml:space="preserve">-a i takvo je djelo kriminalizirano u članku 325. </w:t>
      </w:r>
      <w:r w:rsidR="00737C8D" w:rsidRPr="00B830BB">
        <w:rPr>
          <w:rFonts w:cs="Arial"/>
          <w:szCs w:val="22"/>
          <w:lang w:val="hr-HR"/>
        </w:rPr>
        <w:t xml:space="preserve">pod nazivom </w:t>
      </w:r>
      <w:r w:rsidR="00737C8D" w:rsidRPr="00B830BB">
        <w:rPr>
          <w:rFonts w:cs="Arial"/>
          <w:i/>
          <w:szCs w:val="22"/>
          <w:lang w:val="hr-HR"/>
        </w:rPr>
        <w:t>Javno p</w:t>
      </w:r>
      <w:r w:rsidR="0033626D" w:rsidRPr="00B830BB">
        <w:rPr>
          <w:rFonts w:cs="Arial"/>
          <w:i/>
          <w:szCs w:val="22"/>
          <w:lang w:val="hr-HR"/>
        </w:rPr>
        <w:t>oticanje na nasilje i</w:t>
      </w:r>
      <w:r w:rsidR="00737C8D" w:rsidRPr="00B830BB">
        <w:rPr>
          <w:rFonts w:cs="Arial"/>
          <w:i/>
          <w:szCs w:val="22"/>
          <w:lang w:val="hr-HR"/>
        </w:rPr>
        <w:t xml:space="preserve"> mržnju</w:t>
      </w:r>
      <w:r w:rsidR="00737C8D" w:rsidRPr="00B830BB">
        <w:rPr>
          <w:rFonts w:cs="Arial"/>
          <w:szCs w:val="22"/>
          <w:lang w:val="hr-HR"/>
        </w:rPr>
        <w:t xml:space="preserve">. </w:t>
      </w:r>
      <w:r w:rsidRPr="00B830BB">
        <w:rPr>
          <w:rFonts w:cs="Arial"/>
          <w:szCs w:val="22"/>
          <w:lang w:val="hr-HR"/>
        </w:rPr>
        <w:t>Tako onaj t</w:t>
      </w:r>
      <w:r w:rsidR="007D2512" w:rsidRPr="00B830BB">
        <w:rPr>
          <w:rFonts w:cs="Arial"/>
          <w:szCs w:val="22"/>
          <w:lang w:val="hr-HR"/>
        </w:rPr>
        <w:t xml:space="preserve">ko </w:t>
      </w:r>
      <w:r w:rsidR="00310265" w:rsidRPr="00B830BB">
        <w:rPr>
          <w:rFonts w:cs="Arial"/>
          <w:szCs w:val="22"/>
          <w:lang w:val="hr-HR"/>
        </w:rPr>
        <w:t>nakon 1.</w:t>
      </w:r>
      <w:r w:rsidR="00BD6321" w:rsidRPr="00B830BB">
        <w:rPr>
          <w:rFonts w:cs="Arial"/>
          <w:szCs w:val="22"/>
          <w:lang w:val="hr-HR"/>
        </w:rPr>
        <w:t xml:space="preserve"> siječnja </w:t>
      </w:r>
      <w:r w:rsidR="00310265" w:rsidRPr="00B830BB">
        <w:rPr>
          <w:rFonts w:cs="Arial"/>
          <w:szCs w:val="22"/>
          <w:lang w:val="hr-HR"/>
        </w:rPr>
        <w:t xml:space="preserve">2013. </w:t>
      </w:r>
      <w:r w:rsidR="007D2512" w:rsidRPr="00B830BB">
        <w:rPr>
          <w:rFonts w:cs="Arial"/>
          <w:szCs w:val="22"/>
          <w:lang w:val="hr-HR"/>
        </w:rPr>
        <w:t>putem tiska, radija, televizije, </w:t>
      </w:r>
      <w:r w:rsidR="007D2512" w:rsidRPr="00B830BB">
        <w:rPr>
          <w:rFonts w:cs="Arial"/>
          <w:i/>
          <w:szCs w:val="22"/>
          <w:lang w:val="hr-HR"/>
        </w:rPr>
        <w:t>računalnog sustava ili mreže</w:t>
      </w:r>
      <w:r w:rsidR="007D2512" w:rsidRPr="00B830BB">
        <w:rPr>
          <w:rFonts w:cs="Arial"/>
          <w:szCs w:val="22"/>
          <w:lang w:val="hr-HR"/>
        </w:rPr>
        <w:t>, na javnom skupu ili na drugi način javno potiče ili javnosti učini dostupnim letke, slike ili druge materijale kojima se poziva na nasilje ili mržnju prema skupini ljudi ili pripadniku skupine zbog njihove rasne, vjerske, nacionalne ili etničke pripadnosti, podrijetla, boje kože, spola, spolnog opredjeljenja, rodnog identiteta, invaliditeta ili kakvih drugih osobina, kaznit će se kaznom zatvora do tri godine</w:t>
      </w:r>
      <w:r w:rsidR="007D2512" w:rsidRPr="00B830BB">
        <w:rPr>
          <w:rStyle w:val="FootnoteReference"/>
          <w:rFonts w:cs="Arial"/>
          <w:lang w:val="hr-HR"/>
        </w:rPr>
        <w:footnoteReference w:id="55"/>
      </w:r>
      <w:r w:rsidR="007D2512" w:rsidRPr="00B830BB">
        <w:rPr>
          <w:rFonts w:cs="Arial"/>
          <w:szCs w:val="22"/>
          <w:lang w:val="hr-HR"/>
        </w:rPr>
        <w:t>.</w:t>
      </w:r>
      <w:r w:rsidR="00282751" w:rsidRPr="00B830BB">
        <w:rPr>
          <w:rFonts w:cs="Arial"/>
          <w:szCs w:val="22"/>
          <w:lang w:val="hr-HR"/>
        </w:rPr>
        <w:t xml:space="preserve"> Jednaku vrijednost nosi i stavak </w:t>
      </w:r>
      <w:r w:rsidR="000D4716">
        <w:rPr>
          <w:rFonts w:cs="Arial"/>
          <w:szCs w:val="22"/>
          <w:lang w:val="hr-HR"/>
        </w:rPr>
        <w:t>4</w:t>
      </w:r>
      <w:r w:rsidR="00282751" w:rsidRPr="00B830BB">
        <w:rPr>
          <w:rFonts w:cs="Arial"/>
          <w:szCs w:val="22"/>
          <w:lang w:val="hr-HR"/>
        </w:rPr>
        <w:t xml:space="preserve">. </w:t>
      </w:r>
      <w:r w:rsidR="00116FF1" w:rsidRPr="00B830BB">
        <w:rPr>
          <w:rFonts w:cs="Arial"/>
          <w:szCs w:val="22"/>
          <w:lang w:val="hr-HR"/>
        </w:rPr>
        <w:t>navedenog</w:t>
      </w:r>
      <w:r w:rsidR="00282751" w:rsidRPr="00B830BB">
        <w:rPr>
          <w:rFonts w:cs="Arial"/>
          <w:szCs w:val="22"/>
          <w:lang w:val="hr-HR"/>
        </w:rPr>
        <w:t xml:space="preserve"> članka zbog kojeg će se kaznit onaj tko javno odobrava, poriče ili znatno umanjuje kazneno djelo genocida, zločina agresije, zločina protiv čovječnosti ili ratnog zločina, usmjereno prema skupini ljudi ili pripadniku skupine zbog njihove rasne, vjerske, nacionalne ili etničke pripadnosti, podrijetla ili boje kože, na način koji je prikladan potaknuti nasilje ili mržnju protiv takve skupine ili pripadnika te skupine.</w:t>
      </w:r>
    </w:p>
    <w:p w:rsidR="009E28F6" w:rsidRDefault="009E28F6">
      <w:pPr>
        <w:spacing w:after="200" w:line="276" w:lineRule="auto"/>
        <w:rPr>
          <w:rFonts w:cs="Arial"/>
          <w:szCs w:val="22"/>
          <w:lang w:val="hr-HR"/>
        </w:rPr>
      </w:pPr>
      <w:r>
        <w:rPr>
          <w:rFonts w:cs="Arial"/>
          <w:szCs w:val="22"/>
          <w:lang w:val="hr-HR"/>
        </w:rPr>
        <w:br w:type="page"/>
      </w:r>
    </w:p>
    <w:p w:rsidR="001B1904" w:rsidRPr="00B830BB" w:rsidRDefault="00AD143E" w:rsidP="00391598">
      <w:pPr>
        <w:pStyle w:val="Heading2"/>
        <w:rPr>
          <w:rFonts w:cs="Arial"/>
        </w:rPr>
      </w:pPr>
      <w:bookmarkStart w:id="139" w:name="_Toc386285787"/>
      <w:bookmarkStart w:id="140" w:name="_Toc386498326"/>
      <w:bookmarkStart w:id="141" w:name="_Toc386563071"/>
      <w:bookmarkStart w:id="142" w:name="_Toc386567233"/>
      <w:bookmarkStart w:id="143" w:name="_Toc386619626"/>
      <w:r w:rsidRPr="00B830BB">
        <w:rPr>
          <w:rFonts w:cs="Arial"/>
        </w:rPr>
        <w:lastRenderedPageBreak/>
        <w:t>Leges speciales</w:t>
      </w:r>
      <w:bookmarkEnd w:id="139"/>
      <w:bookmarkEnd w:id="140"/>
      <w:bookmarkEnd w:id="141"/>
      <w:bookmarkEnd w:id="142"/>
      <w:bookmarkEnd w:id="143"/>
    </w:p>
    <w:p w:rsidR="00940141" w:rsidRPr="00B830BB" w:rsidRDefault="00940141" w:rsidP="00940141">
      <w:pPr>
        <w:pStyle w:val="Heading2"/>
        <w:numPr>
          <w:ilvl w:val="0"/>
          <w:numId w:val="0"/>
        </w:numPr>
        <w:ind w:left="576"/>
        <w:rPr>
          <w:rFonts w:cs="Arial"/>
        </w:rPr>
      </w:pPr>
    </w:p>
    <w:p w:rsidR="00940141" w:rsidRPr="00BD6A7C" w:rsidRDefault="00EB663A" w:rsidP="00116FF1">
      <w:pPr>
        <w:spacing w:line="360" w:lineRule="auto"/>
        <w:ind w:firstLine="708"/>
        <w:jc w:val="both"/>
        <w:rPr>
          <w:rFonts w:cs="Arial"/>
          <w:szCs w:val="22"/>
          <w:lang w:val="hr-HR"/>
        </w:rPr>
      </w:pPr>
      <w:r w:rsidRPr="00B830BB">
        <w:rPr>
          <w:rFonts w:cs="Arial"/>
          <w:szCs w:val="22"/>
          <w:lang w:val="hr-HR"/>
        </w:rPr>
        <w:t>Jedan od zakona na koji bismo trebali biti ponosni jer je uzor mnogim drugima u Europskoj uniji</w:t>
      </w:r>
      <w:r w:rsidR="00512EE7">
        <w:rPr>
          <w:rStyle w:val="FootnoteReference"/>
          <w:rFonts w:cs="Arial"/>
          <w:szCs w:val="22"/>
          <w:lang w:val="hr-HR"/>
        </w:rPr>
        <w:footnoteReference w:id="56"/>
      </w:r>
      <w:r w:rsidRPr="00B830BB">
        <w:rPr>
          <w:rFonts w:cs="Arial"/>
          <w:szCs w:val="22"/>
          <w:lang w:val="hr-HR"/>
        </w:rPr>
        <w:t xml:space="preserve"> jest </w:t>
      </w:r>
      <w:r w:rsidR="00940141" w:rsidRPr="00B830BB">
        <w:rPr>
          <w:rFonts w:cs="Arial"/>
          <w:szCs w:val="22"/>
          <w:lang w:val="hr-HR"/>
        </w:rPr>
        <w:t>Zakon o suzbijanju diskriminacije</w:t>
      </w:r>
      <w:r w:rsidR="00940141" w:rsidRPr="00B830BB">
        <w:rPr>
          <w:rStyle w:val="FootnoteReference"/>
          <w:rFonts w:cs="Arial"/>
          <w:lang w:val="hr-HR"/>
        </w:rPr>
        <w:footnoteReference w:id="57"/>
      </w:r>
      <w:r w:rsidRPr="00B830BB">
        <w:rPr>
          <w:rFonts w:cs="Arial"/>
          <w:szCs w:val="22"/>
          <w:lang w:val="hr-HR"/>
        </w:rPr>
        <w:t>. Za razliku od direktiv</w:t>
      </w:r>
      <w:r w:rsidR="00B21301" w:rsidRPr="00B830BB">
        <w:rPr>
          <w:rFonts w:cs="Arial"/>
          <w:szCs w:val="22"/>
          <w:lang w:val="hr-HR"/>
        </w:rPr>
        <w:t>a</w:t>
      </w:r>
      <w:r w:rsidRPr="00B830BB">
        <w:rPr>
          <w:rFonts w:cs="Arial"/>
          <w:szCs w:val="22"/>
          <w:lang w:val="hr-HR"/>
        </w:rPr>
        <w:t xml:space="preserve"> Europske Unije</w:t>
      </w:r>
      <w:r w:rsidR="00B21301" w:rsidRPr="00B830BB">
        <w:rPr>
          <w:rStyle w:val="FootnoteReference"/>
          <w:rFonts w:cs="Arial"/>
          <w:szCs w:val="22"/>
          <w:lang w:val="hr-HR"/>
        </w:rPr>
        <w:footnoteReference w:id="58"/>
      </w:r>
      <w:r w:rsidRPr="00B830BB">
        <w:rPr>
          <w:rFonts w:cs="Arial"/>
          <w:szCs w:val="22"/>
          <w:lang w:val="hr-HR"/>
        </w:rPr>
        <w:t xml:space="preserve"> </w:t>
      </w:r>
      <w:r w:rsidR="00940141" w:rsidRPr="00B830BB">
        <w:rPr>
          <w:rFonts w:cs="Arial"/>
          <w:szCs w:val="22"/>
          <w:lang w:val="hr-HR"/>
        </w:rPr>
        <w:t> </w:t>
      </w:r>
      <w:r w:rsidR="009F4C52" w:rsidRPr="00B830BB">
        <w:rPr>
          <w:rFonts w:cs="Arial"/>
          <w:szCs w:val="22"/>
          <w:lang w:val="hr-HR"/>
        </w:rPr>
        <w:t>koj</w:t>
      </w:r>
      <w:r w:rsidR="00B21301" w:rsidRPr="00B830BB">
        <w:rPr>
          <w:rFonts w:cs="Arial"/>
          <w:szCs w:val="22"/>
          <w:lang w:val="hr-HR"/>
        </w:rPr>
        <w:t>e</w:t>
      </w:r>
      <w:r w:rsidR="009F4C52" w:rsidRPr="00B830BB">
        <w:rPr>
          <w:rFonts w:cs="Arial"/>
          <w:szCs w:val="22"/>
          <w:lang w:val="hr-HR"/>
        </w:rPr>
        <w:t xml:space="preserve"> navod</w:t>
      </w:r>
      <w:r w:rsidR="00B21301" w:rsidRPr="00B830BB">
        <w:rPr>
          <w:rFonts w:cs="Arial"/>
          <w:szCs w:val="22"/>
          <w:lang w:val="hr-HR"/>
        </w:rPr>
        <w:t>e</w:t>
      </w:r>
      <w:r w:rsidR="00940141" w:rsidRPr="00B830BB">
        <w:rPr>
          <w:rFonts w:cs="Arial"/>
          <w:szCs w:val="22"/>
          <w:lang w:val="hr-HR"/>
        </w:rPr>
        <w:t xml:space="preserve"> </w:t>
      </w:r>
      <w:r w:rsidRPr="00B830BB">
        <w:rPr>
          <w:rFonts w:cs="Arial"/>
          <w:szCs w:val="22"/>
          <w:lang w:val="hr-HR"/>
        </w:rPr>
        <w:t xml:space="preserve">6 osnova (rasno ili etničko podrijetlo, vjeru ili uvjerenje, invaliditet, dob, spol i spolnu orijentaciju), Zakon o suzbijanju diskriminacije mnogo </w:t>
      </w:r>
      <w:r w:rsidR="009F4C52" w:rsidRPr="00B830BB">
        <w:rPr>
          <w:rFonts w:cs="Arial"/>
          <w:szCs w:val="22"/>
          <w:lang w:val="hr-HR"/>
        </w:rPr>
        <w:t xml:space="preserve">je </w:t>
      </w:r>
      <w:r w:rsidRPr="00B830BB">
        <w:rPr>
          <w:rFonts w:cs="Arial"/>
          <w:szCs w:val="22"/>
          <w:lang w:val="hr-HR"/>
        </w:rPr>
        <w:t xml:space="preserve">obuhvatniji te taksativno nabraja </w:t>
      </w:r>
      <w:r w:rsidR="00960B82" w:rsidRPr="00B830BB">
        <w:rPr>
          <w:rFonts w:cs="Arial"/>
          <w:szCs w:val="22"/>
          <w:lang w:val="hr-HR"/>
        </w:rPr>
        <w:t xml:space="preserve">čak </w:t>
      </w:r>
      <w:r w:rsidRPr="00B830BB">
        <w:rPr>
          <w:rFonts w:cs="Arial"/>
          <w:szCs w:val="22"/>
          <w:lang w:val="hr-HR"/>
        </w:rPr>
        <w:t>1</w:t>
      </w:r>
      <w:r w:rsidR="00512EE7">
        <w:rPr>
          <w:rFonts w:cs="Arial"/>
          <w:szCs w:val="22"/>
          <w:lang w:val="hr-HR"/>
        </w:rPr>
        <w:t>6</w:t>
      </w:r>
      <w:r w:rsidRPr="00B830BB">
        <w:rPr>
          <w:rFonts w:cs="Arial"/>
          <w:szCs w:val="22"/>
          <w:lang w:val="hr-HR"/>
        </w:rPr>
        <w:t xml:space="preserve"> osnova. Njegov članak 2. glasi: “Ovim se Zakonom osigurava zaštita i promicanje jednakosti kao najviše vrednote ustavnog poretka Republike Hrvatske, stvaraju se pretpostavke za ostvarivanje jednakih mogućnosti i uređuje zaštita od diskriminacije na osnovi rase ili etničke pripadnosti ili boje kože, spola, jezika, vjere, političkog ili drugog uvjerenja, nacionalnog ili socijalnog podrijetla, imovnog stanja, članstva u sindikatu, </w:t>
      </w:r>
      <w:r w:rsidRPr="00BD6A7C">
        <w:rPr>
          <w:rFonts w:cs="Arial"/>
          <w:szCs w:val="22"/>
          <w:lang w:val="hr-HR"/>
        </w:rPr>
        <w:t>obrazovanja, društvenog položaja, bračnog ili obiteljskog statusa, dobi, zdravstvenog stanja, invaliditeta, genetskog naslijeđa, rodnog identiteta, izražavanja ili spolne orijentacije.”</w:t>
      </w:r>
    </w:p>
    <w:p w:rsidR="00940141" w:rsidRPr="00BD6A7C" w:rsidRDefault="00473641" w:rsidP="00523F74">
      <w:pPr>
        <w:spacing w:line="360" w:lineRule="auto"/>
        <w:ind w:firstLine="708"/>
        <w:jc w:val="both"/>
        <w:rPr>
          <w:rFonts w:cs="Arial"/>
          <w:szCs w:val="22"/>
          <w:lang w:val="hr-HR"/>
        </w:rPr>
      </w:pPr>
      <w:r w:rsidRPr="00BD6A7C">
        <w:rPr>
          <w:rFonts w:cs="Arial"/>
          <w:szCs w:val="22"/>
          <w:lang w:val="hr-HR"/>
        </w:rPr>
        <w:t xml:space="preserve">Člankom </w:t>
      </w:r>
      <w:r w:rsidR="00BD6A7C" w:rsidRPr="00BD6A7C">
        <w:rPr>
          <w:rFonts w:cs="Arial"/>
          <w:szCs w:val="22"/>
          <w:lang w:val="hr-HR"/>
        </w:rPr>
        <w:t>6</w:t>
      </w:r>
      <w:r w:rsidRPr="00BD6A7C">
        <w:rPr>
          <w:rFonts w:cs="Arial"/>
          <w:szCs w:val="22"/>
          <w:lang w:val="hr-HR"/>
        </w:rPr>
        <w:t xml:space="preserve">. stavkom </w:t>
      </w:r>
      <w:r w:rsidR="00BD6A7C" w:rsidRPr="00BD6A7C">
        <w:rPr>
          <w:rFonts w:cs="Arial"/>
          <w:szCs w:val="22"/>
          <w:lang w:val="hr-HR"/>
        </w:rPr>
        <w:t>2</w:t>
      </w:r>
      <w:r w:rsidRPr="00BD6A7C">
        <w:rPr>
          <w:rFonts w:cs="Arial"/>
          <w:szCs w:val="22"/>
          <w:lang w:val="hr-HR"/>
        </w:rPr>
        <w:t xml:space="preserve">. </w:t>
      </w:r>
      <w:r w:rsidR="00BD6A7C" w:rsidRPr="00BD6A7C">
        <w:rPr>
          <w:rFonts w:cs="Arial"/>
          <w:szCs w:val="22"/>
          <w:lang w:val="hr-HR"/>
        </w:rPr>
        <w:t xml:space="preserve">i 3. </w:t>
      </w:r>
      <w:r w:rsidR="00940141" w:rsidRPr="00BD6A7C">
        <w:rPr>
          <w:rFonts w:cs="Arial"/>
          <w:szCs w:val="22"/>
          <w:lang w:val="hr-HR"/>
        </w:rPr>
        <w:t>Zakon</w:t>
      </w:r>
      <w:r w:rsidRPr="00BD6A7C">
        <w:rPr>
          <w:rFonts w:cs="Arial"/>
          <w:szCs w:val="22"/>
          <w:lang w:val="hr-HR"/>
        </w:rPr>
        <w:t>a</w:t>
      </w:r>
      <w:r w:rsidR="00940141" w:rsidRPr="00BD6A7C">
        <w:rPr>
          <w:rFonts w:cs="Arial"/>
          <w:szCs w:val="22"/>
          <w:lang w:val="hr-HR"/>
        </w:rPr>
        <w:t xml:space="preserve"> o ravnopravnosti spolova</w:t>
      </w:r>
      <w:r w:rsidR="00940141" w:rsidRPr="00BD6A7C">
        <w:rPr>
          <w:rStyle w:val="FootnoteReference"/>
          <w:rFonts w:cs="Arial"/>
          <w:szCs w:val="22"/>
          <w:lang w:val="hr-HR"/>
        </w:rPr>
        <w:footnoteReference w:id="59"/>
      </w:r>
      <w:r w:rsidR="00940141" w:rsidRPr="00BD6A7C">
        <w:rPr>
          <w:rFonts w:cs="Arial"/>
          <w:szCs w:val="22"/>
          <w:lang w:val="hr-HR"/>
        </w:rPr>
        <w:t> </w:t>
      </w:r>
      <w:r w:rsidRPr="00BD6A7C">
        <w:rPr>
          <w:rFonts w:cs="Arial"/>
          <w:szCs w:val="22"/>
          <w:lang w:val="hr-HR"/>
        </w:rPr>
        <w:t xml:space="preserve">zabranjuje se svaka diskriminacija, izravna i neizravna </w:t>
      </w:r>
      <w:r w:rsidR="00940965" w:rsidRPr="00BD6A7C">
        <w:rPr>
          <w:rFonts w:cs="Arial"/>
          <w:szCs w:val="22"/>
          <w:lang w:val="hr-HR"/>
        </w:rPr>
        <w:t xml:space="preserve">učinjena </w:t>
      </w:r>
      <w:r w:rsidRPr="00BD6A7C">
        <w:rPr>
          <w:rFonts w:cs="Arial"/>
          <w:szCs w:val="22"/>
          <w:lang w:val="hr-HR"/>
        </w:rPr>
        <w:t xml:space="preserve">na osnovi </w:t>
      </w:r>
      <w:r w:rsidR="00BD6A7C" w:rsidRPr="00BD6A7C">
        <w:rPr>
          <w:rFonts w:cs="Arial"/>
          <w:szCs w:val="22"/>
          <w:lang w:val="hr-HR"/>
        </w:rPr>
        <w:t>bračnog i obiteljskog status</w:t>
      </w:r>
      <w:r w:rsidR="00BD6A7C">
        <w:rPr>
          <w:rFonts w:cs="Arial"/>
          <w:szCs w:val="22"/>
          <w:lang w:val="hr-HR"/>
        </w:rPr>
        <w:t xml:space="preserve">a, </w:t>
      </w:r>
      <w:r w:rsidR="00BD6A7C" w:rsidRPr="00BD6A7C">
        <w:rPr>
          <w:rFonts w:cs="Arial"/>
          <w:szCs w:val="22"/>
          <w:lang w:val="hr-HR"/>
        </w:rPr>
        <w:t>prema ženama na osnovi trudnoće i materinstva</w:t>
      </w:r>
      <w:r w:rsidR="00BD6A7C">
        <w:rPr>
          <w:rFonts w:cs="Arial"/>
          <w:szCs w:val="22"/>
          <w:lang w:val="hr-HR"/>
        </w:rPr>
        <w:t xml:space="preserve"> te na osnovi </w:t>
      </w:r>
      <w:r w:rsidR="00BD6A7C" w:rsidRPr="00BD6A7C">
        <w:rPr>
          <w:rFonts w:cs="Arial"/>
          <w:szCs w:val="22"/>
          <w:lang w:val="hr-HR"/>
        </w:rPr>
        <w:t>spolne orijentacije</w:t>
      </w:r>
      <w:r w:rsidRPr="00BD6A7C">
        <w:rPr>
          <w:rFonts w:cs="Arial"/>
          <w:szCs w:val="22"/>
          <w:lang w:val="hr-HR"/>
        </w:rPr>
        <w:t>. Štoviše</w:t>
      </w:r>
      <w:r w:rsidR="00750FAE" w:rsidRPr="00BD6A7C">
        <w:rPr>
          <w:rFonts w:cs="Arial"/>
          <w:szCs w:val="22"/>
          <w:lang w:val="hr-HR"/>
        </w:rPr>
        <w:t>, i</w:t>
      </w:r>
      <w:r w:rsidRPr="00BD6A7C">
        <w:rPr>
          <w:rFonts w:cs="Arial"/>
          <w:szCs w:val="22"/>
          <w:lang w:val="hr-HR"/>
        </w:rPr>
        <w:t xml:space="preserve"> poticanje na diskriminaciju prema stavku </w:t>
      </w:r>
      <w:r w:rsidR="00BD6A7C">
        <w:rPr>
          <w:rFonts w:cs="Arial"/>
          <w:szCs w:val="22"/>
          <w:lang w:val="hr-HR"/>
        </w:rPr>
        <w:t>5</w:t>
      </w:r>
      <w:r w:rsidRPr="00BD6A7C">
        <w:rPr>
          <w:rFonts w:cs="Arial"/>
          <w:szCs w:val="22"/>
          <w:lang w:val="hr-HR"/>
        </w:rPr>
        <w:t>. istog članka smatrat</w:t>
      </w:r>
      <w:r w:rsidR="008B2DDB" w:rsidRPr="00BD6A7C">
        <w:rPr>
          <w:rFonts w:cs="Arial"/>
          <w:szCs w:val="22"/>
          <w:lang w:val="hr-HR"/>
        </w:rPr>
        <w:t xml:space="preserve"> će se</w:t>
      </w:r>
      <w:r w:rsidRPr="00BD6A7C">
        <w:rPr>
          <w:rFonts w:cs="Arial"/>
          <w:szCs w:val="22"/>
          <w:lang w:val="hr-HR"/>
        </w:rPr>
        <w:t xml:space="preserve"> diskriminacijom. </w:t>
      </w:r>
      <w:r w:rsidR="00940141" w:rsidRPr="00BD6A7C">
        <w:rPr>
          <w:rFonts w:cs="Arial"/>
          <w:szCs w:val="22"/>
          <w:lang w:val="hr-HR"/>
        </w:rPr>
        <w:t>Zakon o istospolnim zajednicama</w:t>
      </w:r>
      <w:r w:rsidR="00940141" w:rsidRPr="00BD6A7C">
        <w:rPr>
          <w:vertAlign w:val="superscript"/>
          <w:lang w:val="hr-HR"/>
        </w:rPr>
        <w:footnoteReference w:id="60"/>
      </w:r>
      <w:r w:rsidR="00940141" w:rsidRPr="00BD6A7C">
        <w:rPr>
          <w:rFonts w:cs="Arial"/>
          <w:szCs w:val="22"/>
          <w:vertAlign w:val="superscript"/>
          <w:lang w:val="hr-HR"/>
        </w:rPr>
        <w:t> </w:t>
      </w:r>
      <w:r w:rsidR="00BD6A7C">
        <w:rPr>
          <w:rFonts w:cs="Arial"/>
          <w:szCs w:val="22"/>
          <w:lang w:val="hr-HR"/>
        </w:rPr>
        <w:t>u</w:t>
      </w:r>
      <w:r w:rsidR="00391598" w:rsidRPr="00BD6A7C">
        <w:rPr>
          <w:rFonts w:cs="Arial"/>
          <w:szCs w:val="22"/>
          <w:lang w:val="hr-HR"/>
        </w:rPr>
        <w:t xml:space="preserve"> čl.21.st.1. </w:t>
      </w:r>
      <w:r w:rsidR="00BD6A7C" w:rsidRPr="00BD6A7C">
        <w:rPr>
          <w:rFonts w:cs="Arial"/>
          <w:szCs w:val="22"/>
          <w:lang w:val="hr-HR"/>
        </w:rPr>
        <w:t>također sadrži odredbu kojom se zabranjuje svaka diskriminacija, izravna i neizravna na osnovi istospolne zajednice kao i činjenice homoseksualne orijentacije</w:t>
      </w:r>
      <w:r w:rsidR="00391598" w:rsidRPr="00BD6A7C">
        <w:rPr>
          <w:rFonts w:cs="Arial"/>
          <w:szCs w:val="22"/>
          <w:lang w:val="hr-HR"/>
        </w:rPr>
        <w:t>.</w:t>
      </w:r>
    </w:p>
    <w:p w:rsidR="00940141" w:rsidRPr="00BD6A7C" w:rsidRDefault="00523F74" w:rsidP="00523F74">
      <w:pPr>
        <w:spacing w:line="360" w:lineRule="auto"/>
        <w:ind w:firstLine="708"/>
        <w:jc w:val="both"/>
        <w:rPr>
          <w:rFonts w:cs="Arial"/>
          <w:szCs w:val="22"/>
          <w:lang w:val="hr-HR"/>
        </w:rPr>
      </w:pPr>
      <w:r w:rsidRPr="00BD6A7C">
        <w:rPr>
          <w:rFonts w:cs="Arial"/>
          <w:szCs w:val="22"/>
          <w:lang w:val="hr-HR"/>
        </w:rPr>
        <w:t>Zakonom o medijima</w:t>
      </w:r>
      <w:r w:rsidRPr="00BD6A7C">
        <w:rPr>
          <w:rStyle w:val="FootnoteReference"/>
          <w:rFonts w:cs="Arial"/>
          <w:lang w:val="hr-HR"/>
        </w:rPr>
        <w:footnoteReference w:id="61"/>
      </w:r>
      <w:r w:rsidRPr="00BD6A7C">
        <w:rPr>
          <w:rFonts w:cs="Arial"/>
          <w:szCs w:val="22"/>
          <w:lang w:val="hr-HR"/>
        </w:rPr>
        <w:t> člankom</w:t>
      </w:r>
      <w:r w:rsidR="006A23A6" w:rsidRPr="00BD6A7C">
        <w:rPr>
          <w:rFonts w:cs="Arial"/>
          <w:szCs w:val="22"/>
          <w:lang w:val="hr-HR"/>
        </w:rPr>
        <w:t xml:space="preserve"> 3. </w:t>
      </w:r>
      <w:r w:rsidRPr="00BD6A7C">
        <w:rPr>
          <w:rFonts w:cs="Arial"/>
          <w:szCs w:val="22"/>
          <w:lang w:val="hr-HR"/>
        </w:rPr>
        <w:t xml:space="preserve">stavkom 4. </w:t>
      </w:r>
      <w:r w:rsidR="006A23A6" w:rsidRPr="00BD6A7C">
        <w:rPr>
          <w:rFonts w:cs="Arial"/>
          <w:szCs w:val="22"/>
          <w:lang w:val="hr-HR"/>
        </w:rPr>
        <w:t>ograničena je sloboda medija na način da je zabranjeno prenošenje</w:t>
      </w:r>
      <w:r w:rsidR="00454C3D" w:rsidRPr="00BD6A7C">
        <w:rPr>
          <w:rFonts w:cs="Arial"/>
          <w:szCs w:val="22"/>
          <w:lang w:val="hr-HR"/>
        </w:rPr>
        <w:t>m</w:t>
      </w:r>
      <w:r w:rsidR="006A23A6" w:rsidRPr="00BD6A7C">
        <w:rPr>
          <w:rFonts w:cs="Arial"/>
          <w:szCs w:val="22"/>
          <w:lang w:val="hr-HR"/>
        </w:rPr>
        <w:t xml:space="preserve"> programskih sadržaja u medijima poticati ili veličati nacionalnu, rasnu, vjersku, spolnu ili drugu neravnopravnost ili neravnopravnost na temelju spolne orijentacije, kao i ideološke i državne tvorevine nastale na takvim osnovama, te izazivati nacionalno, rasno, vjersko, spolno ili drugo ne</w:t>
      </w:r>
      <w:r w:rsidR="00FF5D29" w:rsidRPr="00BD6A7C">
        <w:rPr>
          <w:rFonts w:cs="Arial"/>
          <w:szCs w:val="22"/>
          <w:lang w:val="hr-HR"/>
        </w:rPr>
        <w:t>prijateljstvo ili nesnošljivost</w:t>
      </w:r>
      <w:r w:rsidR="006A23A6" w:rsidRPr="00BD6A7C">
        <w:rPr>
          <w:rFonts w:cs="Arial"/>
          <w:szCs w:val="22"/>
          <w:lang w:val="hr-HR"/>
        </w:rPr>
        <w:t xml:space="preserve"> na temelju spolne orijentacije, poticati nasilje i rat.</w:t>
      </w:r>
    </w:p>
    <w:p w:rsidR="00940141" w:rsidRPr="00B830BB" w:rsidRDefault="00940141" w:rsidP="00523F74">
      <w:pPr>
        <w:spacing w:line="360" w:lineRule="auto"/>
        <w:ind w:firstLine="708"/>
        <w:jc w:val="both"/>
        <w:rPr>
          <w:rFonts w:cs="Arial"/>
          <w:szCs w:val="22"/>
          <w:lang w:val="hr-HR"/>
        </w:rPr>
      </w:pPr>
      <w:r w:rsidRPr="00BD6A7C">
        <w:rPr>
          <w:rFonts w:cs="Arial"/>
          <w:szCs w:val="22"/>
          <w:lang w:val="hr-HR"/>
        </w:rPr>
        <w:lastRenderedPageBreak/>
        <w:t>Zakon o elektroničkim medijima</w:t>
      </w:r>
      <w:r w:rsidRPr="00BD6A7C">
        <w:rPr>
          <w:rStyle w:val="FootnoteReference"/>
          <w:rFonts w:cs="Arial"/>
          <w:lang w:val="hr-HR"/>
        </w:rPr>
        <w:footnoteReference w:id="62"/>
      </w:r>
      <w:r w:rsidRPr="00BD6A7C">
        <w:rPr>
          <w:rFonts w:cs="Arial"/>
          <w:szCs w:val="22"/>
          <w:lang w:val="hr-HR"/>
        </w:rPr>
        <w:t> </w:t>
      </w:r>
      <w:r w:rsidR="00941553" w:rsidRPr="00BD6A7C">
        <w:rPr>
          <w:rFonts w:cs="Arial"/>
          <w:szCs w:val="22"/>
          <w:lang w:val="hr-HR"/>
        </w:rPr>
        <w:t>regulira</w:t>
      </w:r>
      <w:r w:rsidR="006413A1" w:rsidRPr="00BD6A7C">
        <w:rPr>
          <w:rFonts w:cs="Arial"/>
          <w:szCs w:val="22"/>
          <w:lang w:val="hr-HR"/>
        </w:rPr>
        <w:t xml:space="preserve"> prava, obveze i odgovornosti pravnih i fizičkih osoba koje obavljaju djelatnost pružanja audio i audiovizualnih medijskih usluga i usluga elektroničkih publikacija putem elektroničkih komunikacijskih mreža</w:t>
      </w:r>
      <w:r w:rsidR="000D7F89" w:rsidRPr="00BD6A7C">
        <w:rPr>
          <w:rFonts w:cs="Arial"/>
          <w:szCs w:val="22"/>
          <w:lang w:val="hr-HR"/>
        </w:rPr>
        <w:t>.</w:t>
      </w:r>
      <w:r w:rsidR="008D4A9F" w:rsidRPr="00BD6A7C">
        <w:rPr>
          <w:rFonts w:cs="Arial"/>
          <w:szCs w:val="22"/>
          <w:lang w:val="hr-HR"/>
        </w:rPr>
        <w:t xml:space="preserve"> </w:t>
      </w:r>
      <w:r w:rsidR="0058123F" w:rsidRPr="00BD6A7C">
        <w:rPr>
          <w:rFonts w:cs="Arial"/>
          <w:szCs w:val="22"/>
          <w:lang w:val="hr-HR"/>
        </w:rPr>
        <w:t>Taj zakon u</w:t>
      </w:r>
      <w:r w:rsidR="009C19BB" w:rsidRPr="00BD6A7C">
        <w:rPr>
          <w:rFonts w:cs="Arial"/>
          <w:szCs w:val="22"/>
          <w:lang w:val="hr-HR"/>
        </w:rPr>
        <w:t xml:space="preserve"> svojem </w:t>
      </w:r>
      <w:r w:rsidR="0058123F" w:rsidRPr="00BD6A7C">
        <w:rPr>
          <w:rFonts w:cs="Arial"/>
          <w:szCs w:val="22"/>
          <w:lang w:val="hr-HR"/>
        </w:rPr>
        <w:t>članku</w:t>
      </w:r>
      <w:r w:rsidR="005F05F4" w:rsidRPr="00BD6A7C">
        <w:rPr>
          <w:rFonts w:cs="Arial"/>
          <w:szCs w:val="22"/>
          <w:lang w:val="hr-HR"/>
        </w:rPr>
        <w:t xml:space="preserve"> </w:t>
      </w:r>
      <w:r w:rsidR="009C19BB" w:rsidRPr="00BD6A7C">
        <w:rPr>
          <w:rFonts w:cs="Arial"/>
          <w:szCs w:val="22"/>
          <w:lang w:val="hr-HR"/>
        </w:rPr>
        <w:t>12. s</w:t>
      </w:r>
      <w:r w:rsidR="00B9721D" w:rsidRPr="00BD6A7C">
        <w:rPr>
          <w:rFonts w:cs="Arial"/>
          <w:szCs w:val="22"/>
          <w:lang w:val="hr-HR"/>
        </w:rPr>
        <w:t xml:space="preserve">t. 2. </w:t>
      </w:r>
      <w:r w:rsidR="009C19BB" w:rsidRPr="00BD6A7C">
        <w:rPr>
          <w:rFonts w:cs="Arial"/>
          <w:szCs w:val="22"/>
          <w:lang w:val="hr-HR"/>
        </w:rPr>
        <w:t>sadrži sljedeću odredbu: „U audio i/ili audiovizualnim medijskim uslugama nije dopušteno poticati, pogodovati</w:t>
      </w:r>
      <w:r w:rsidR="009C19BB" w:rsidRPr="00B830BB">
        <w:rPr>
          <w:rFonts w:cs="Arial"/>
          <w:szCs w:val="22"/>
          <w:lang w:val="hr-HR"/>
        </w:rPr>
        <w:t xml:space="preserve"> poticanju i širiti mržnju ili diskriminaciju na osnovi rase ili etničke pripadnosti ili boje kože, spola, jezika, vjere, političkog ili drugog uvjerenja, nacionalnog ili socijalnog podrijetla, imovnog stanja, članstva u sindikatu, obrazovanja, društvenog položaja, bračnog ili obiteljskog statusa, dobi, zdravstvenog stanja, invaliditeta, genetskog naslijeđa, rodnog identiteta, izražavanja ili spolne orijentacije, te antisemitizam i ksenofobiju, ideje fašističkih, nacionalističkih, komunističkih i drugih totalitarnih režima.</w:t>
      </w:r>
      <w:r w:rsidR="00967C86" w:rsidRPr="00B830BB">
        <w:rPr>
          <w:rFonts w:cs="Arial"/>
          <w:szCs w:val="22"/>
          <w:lang w:val="hr-HR"/>
        </w:rPr>
        <w:t>“</w:t>
      </w:r>
      <w:r w:rsidR="002D1617">
        <w:rPr>
          <w:rFonts w:cs="Arial"/>
          <w:szCs w:val="22"/>
          <w:lang w:val="hr-HR"/>
        </w:rPr>
        <w:t xml:space="preserve"> Nadalje, mjera privremenog ograničenja prenošenja audiovizualnih usluga i iz druge zemlje članice Europske unije može se donijeti onda kada je njihovo emitiranje takvo da potiče mržnju na osnovi rase, spola, vjere ili nacionalnosti (</w:t>
      </w:r>
      <w:r w:rsidR="002D1617" w:rsidRPr="002D1617">
        <w:rPr>
          <w:rFonts w:cs="Arial"/>
          <w:i/>
          <w:szCs w:val="22"/>
          <w:lang w:val="hr-HR"/>
        </w:rPr>
        <w:t>ar. ex.</w:t>
      </w:r>
      <w:r w:rsidR="002D1617">
        <w:rPr>
          <w:rFonts w:cs="Arial"/>
          <w:szCs w:val="22"/>
          <w:lang w:val="hr-HR"/>
        </w:rPr>
        <w:t xml:space="preserve"> čl. 77. st. 1. i 2.).</w:t>
      </w:r>
    </w:p>
    <w:p w:rsidR="0036009C" w:rsidRDefault="00967C86" w:rsidP="00FE760F">
      <w:pPr>
        <w:spacing w:line="360" w:lineRule="auto"/>
        <w:ind w:firstLine="708"/>
        <w:jc w:val="both"/>
        <w:rPr>
          <w:rFonts w:cs="Arial"/>
          <w:szCs w:val="22"/>
          <w:lang w:val="hr-HR"/>
        </w:rPr>
      </w:pPr>
      <w:r w:rsidRPr="00B830BB">
        <w:rPr>
          <w:rFonts w:cs="Arial"/>
          <w:szCs w:val="22"/>
          <w:lang w:val="hr-HR"/>
        </w:rPr>
        <w:t xml:space="preserve">Ipak, Zakon o elektroničkim medijima odnosi se </w:t>
      </w:r>
      <w:r w:rsidR="00515094" w:rsidRPr="00B830BB">
        <w:rPr>
          <w:rFonts w:cs="Arial"/>
          <w:szCs w:val="22"/>
          <w:lang w:val="hr-HR"/>
        </w:rPr>
        <w:t xml:space="preserve">samo na audiovizualne programe, radijske programe i elektroničke publikacije. Za pitanja vezana uz internet relevantne su tek elektroničke publikacije koje su čl. 2. st. </w:t>
      </w:r>
      <w:r w:rsidR="00EA5907">
        <w:rPr>
          <w:rFonts w:cs="Arial"/>
          <w:szCs w:val="22"/>
          <w:lang w:val="hr-HR"/>
        </w:rPr>
        <w:t xml:space="preserve">1. </w:t>
      </w:r>
      <w:r w:rsidR="00515094" w:rsidRPr="00B830BB">
        <w:rPr>
          <w:rFonts w:cs="Arial"/>
          <w:szCs w:val="22"/>
          <w:lang w:val="hr-HR"/>
        </w:rPr>
        <w:t>t. 2 definirane kao urednički oblikovani</w:t>
      </w:r>
      <w:r w:rsidRPr="00B830BB">
        <w:rPr>
          <w:rFonts w:cs="Arial"/>
          <w:szCs w:val="22"/>
          <w:lang w:val="hr-HR"/>
        </w:rPr>
        <w:t xml:space="preserve"> </w:t>
      </w:r>
      <w:r w:rsidR="00B9721D" w:rsidRPr="00B830BB">
        <w:rPr>
          <w:rFonts w:cs="Arial"/>
          <w:szCs w:val="22"/>
          <w:lang w:val="hr-HR"/>
        </w:rPr>
        <w:t>programsk</w:t>
      </w:r>
      <w:r w:rsidR="00515094" w:rsidRPr="00B830BB">
        <w:rPr>
          <w:rFonts w:cs="Arial"/>
          <w:szCs w:val="22"/>
          <w:lang w:val="hr-HR"/>
        </w:rPr>
        <w:t xml:space="preserve">i </w:t>
      </w:r>
      <w:r w:rsidR="00B9721D" w:rsidRPr="00B830BB">
        <w:rPr>
          <w:rFonts w:cs="Arial"/>
          <w:szCs w:val="22"/>
          <w:lang w:val="hr-HR"/>
        </w:rPr>
        <w:t>sadržaj</w:t>
      </w:r>
      <w:r w:rsidR="00515094" w:rsidRPr="00B830BB">
        <w:rPr>
          <w:rFonts w:cs="Arial"/>
          <w:szCs w:val="22"/>
          <w:lang w:val="hr-HR"/>
        </w:rPr>
        <w:t>i</w:t>
      </w:r>
      <w:r w:rsidR="00B9721D" w:rsidRPr="00B830BB">
        <w:rPr>
          <w:rFonts w:cs="Arial"/>
          <w:szCs w:val="22"/>
          <w:lang w:val="hr-HR"/>
        </w:rPr>
        <w:t xml:space="preserve"> koji se objavljuju dnevno ili periodično putem interneta od strane pružatelja elektroničkih publikacija u svrhu javnog informiranja i obrazovanja. </w:t>
      </w:r>
      <w:r w:rsidRPr="00B830BB">
        <w:rPr>
          <w:rFonts w:cs="Arial"/>
          <w:szCs w:val="22"/>
          <w:lang w:val="hr-HR"/>
        </w:rPr>
        <w:t xml:space="preserve">U njima nije dopušteno objavljivati priloge koji vrijeđaju dostojanstvo čovjeka, a takva zabrana uređena je gore navedenim čl. 12. </w:t>
      </w:r>
      <w:r w:rsidR="00B9721D" w:rsidRPr="00B830BB">
        <w:rPr>
          <w:rFonts w:cs="Arial"/>
          <w:szCs w:val="22"/>
          <w:lang w:val="hr-HR"/>
        </w:rPr>
        <w:t xml:space="preserve">st. 2. </w:t>
      </w:r>
      <w:r w:rsidRPr="00B830BB">
        <w:rPr>
          <w:rFonts w:cs="Arial"/>
          <w:szCs w:val="22"/>
          <w:lang w:val="hr-HR"/>
        </w:rPr>
        <w:t xml:space="preserve">Međutim, </w:t>
      </w:r>
      <w:r w:rsidR="00966C96" w:rsidRPr="00B830BB">
        <w:rPr>
          <w:rFonts w:cs="Arial"/>
          <w:szCs w:val="22"/>
          <w:lang w:val="hr-HR"/>
        </w:rPr>
        <w:t xml:space="preserve">kako je vidljivo iz izloženog, </w:t>
      </w:r>
      <w:r w:rsidRPr="00B830BB">
        <w:rPr>
          <w:rFonts w:cs="Arial"/>
          <w:szCs w:val="22"/>
          <w:lang w:val="hr-HR"/>
        </w:rPr>
        <w:t>Zakon o e</w:t>
      </w:r>
      <w:r w:rsidR="00515094" w:rsidRPr="00B830BB">
        <w:rPr>
          <w:rFonts w:cs="Arial"/>
          <w:szCs w:val="22"/>
          <w:lang w:val="hr-HR"/>
        </w:rPr>
        <w:t>lektroničkim medijima ne regulira funkcioniranje internetskih foruma, blogova i društvenih mreža</w:t>
      </w:r>
      <w:r w:rsidRPr="00B830BB">
        <w:rPr>
          <w:rFonts w:cs="Arial"/>
          <w:szCs w:val="22"/>
          <w:lang w:val="hr-HR"/>
        </w:rPr>
        <w:t>.</w:t>
      </w:r>
    </w:p>
    <w:p w:rsidR="00956288" w:rsidRPr="00B830BB" w:rsidRDefault="00956288" w:rsidP="00FE760F">
      <w:pPr>
        <w:spacing w:line="360" w:lineRule="auto"/>
        <w:ind w:firstLine="708"/>
        <w:jc w:val="both"/>
        <w:rPr>
          <w:rFonts w:cs="Arial"/>
          <w:szCs w:val="22"/>
          <w:lang w:val="hr-HR"/>
        </w:rPr>
      </w:pPr>
    </w:p>
    <w:p w:rsidR="00A500E3" w:rsidRDefault="00A500E3" w:rsidP="00A07F7E">
      <w:pPr>
        <w:pStyle w:val="Heading1"/>
        <w:numPr>
          <w:ilvl w:val="0"/>
          <w:numId w:val="0"/>
        </w:numPr>
        <w:rPr>
          <w:rFonts w:eastAsia="Times New Roman" w:cs="Arial"/>
          <w:b w:val="0"/>
          <w:bCs w:val="0"/>
          <w:caps w:val="0"/>
          <w:sz w:val="22"/>
          <w:szCs w:val="22"/>
          <w:lang w:val="hr-HR"/>
        </w:rPr>
      </w:pPr>
    </w:p>
    <w:p w:rsidR="00A07F7E" w:rsidRDefault="00A07F7E" w:rsidP="006E7662">
      <w:pPr>
        <w:pStyle w:val="Heading1"/>
        <w:spacing w:after="240"/>
        <w:rPr>
          <w:lang w:val="hr-HR"/>
        </w:rPr>
      </w:pPr>
      <w:bookmarkStart w:id="144" w:name="_Toc386285788"/>
      <w:bookmarkStart w:id="145" w:name="_Toc386498327"/>
      <w:bookmarkStart w:id="146" w:name="_Toc386563072"/>
      <w:bookmarkStart w:id="147" w:name="_Toc386567234"/>
      <w:bookmarkStart w:id="148" w:name="_Toc386619627"/>
      <w:r>
        <w:rPr>
          <w:lang w:val="hr-HR"/>
        </w:rPr>
        <w:t>Differentia specifica govora mržnje na internetu</w:t>
      </w:r>
      <w:bookmarkEnd w:id="144"/>
      <w:bookmarkEnd w:id="145"/>
      <w:bookmarkEnd w:id="146"/>
      <w:bookmarkEnd w:id="147"/>
      <w:bookmarkEnd w:id="148"/>
    </w:p>
    <w:p w:rsidR="00B26E72" w:rsidRDefault="00B26E72" w:rsidP="00B26E72">
      <w:pPr>
        <w:pStyle w:val="Heading1"/>
        <w:numPr>
          <w:ilvl w:val="0"/>
          <w:numId w:val="0"/>
        </w:numPr>
        <w:spacing w:after="240"/>
        <w:ind w:left="432"/>
        <w:rPr>
          <w:lang w:val="hr-HR"/>
        </w:rPr>
      </w:pPr>
    </w:p>
    <w:p w:rsidR="00A500E3" w:rsidRPr="00B830BB" w:rsidRDefault="00A500E3" w:rsidP="00523F74">
      <w:pPr>
        <w:pStyle w:val="ListParagraph"/>
        <w:spacing w:line="360" w:lineRule="auto"/>
        <w:ind w:left="0" w:right="-329" w:firstLine="432"/>
        <w:jc w:val="both"/>
        <w:rPr>
          <w:rFonts w:cs="Arial"/>
          <w:szCs w:val="22"/>
          <w:lang w:val="hr-HR"/>
        </w:rPr>
      </w:pPr>
      <w:r w:rsidRPr="00B830BB">
        <w:rPr>
          <w:rFonts w:cs="Arial"/>
          <w:szCs w:val="22"/>
          <w:lang w:val="hr-HR"/>
        </w:rPr>
        <w:t>Internet je postup</w:t>
      </w:r>
      <w:r w:rsidR="00084178" w:rsidRPr="00B830BB">
        <w:rPr>
          <w:rFonts w:cs="Arial"/>
          <w:szCs w:val="22"/>
          <w:lang w:val="hr-HR"/>
        </w:rPr>
        <w:t>no postao</w:t>
      </w:r>
      <w:r w:rsidRPr="00B830BB">
        <w:rPr>
          <w:rFonts w:cs="Arial"/>
          <w:szCs w:val="22"/>
          <w:lang w:val="hr-HR"/>
        </w:rPr>
        <w:t xml:space="preserve"> najzastupljeniji medij komunikacije, a naročito </w:t>
      </w:r>
      <w:r w:rsidR="00A212E9" w:rsidRPr="00B830BB">
        <w:rPr>
          <w:rFonts w:cs="Arial"/>
          <w:szCs w:val="22"/>
          <w:lang w:val="hr-HR"/>
        </w:rPr>
        <w:t xml:space="preserve">među </w:t>
      </w:r>
      <w:r w:rsidRPr="00B830BB">
        <w:rPr>
          <w:rFonts w:cs="Arial"/>
          <w:szCs w:val="22"/>
          <w:lang w:val="hr-HR"/>
        </w:rPr>
        <w:t>mlađi</w:t>
      </w:r>
      <w:r w:rsidR="00084178" w:rsidRPr="00B830BB">
        <w:rPr>
          <w:rFonts w:cs="Arial"/>
          <w:szCs w:val="22"/>
          <w:lang w:val="hr-HR"/>
        </w:rPr>
        <w:t>m</w:t>
      </w:r>
      <w:r w:rsidRPr="00B830BB">
        <w:rPr>
          <w:rFonts w:cs="Arial"/>
          <w:szCs w:val="22"/>
          <w:lang w:val="hr-HR"/>
        </w:rPr>
        <w:t xml:space="preserve"> generacija</w:t>
      </w:r>
      <w:r w:rsidR="00084178" w:rsidRPr="00B830BB">
        <w:rPr>
          <w:rFonts w:cs="Arial"/>
          <w:szCs w:val="22"/>
          <w:lang w:val="hr-HR"/>
        </w:rPr>
        <w:t>ma</w:t>
      </w:r>
      <w:r w:rsidRPr="00B830BB">
        <w:rPr>
          <w:rFonts w:cs="Arial"/>
          <w:szCs w:val="22"/>
          <w:lang w:val="hr-HR"/>
        </w:rPr>
        <w:t xml:space="preserve">. </w:t>
      </w:r>
      <w:r w:rsidR="00BA6992" w:rsidRPr="00B830BB">
        <w:rPr>
          <w:rFonts w:cs="Arial"/>
          <w:szCs w:val="22"/>
          <w:lang w:val="hr-HR"/>
        </w:rPr>
        <w:t>Svrha tradicionalnih medija bila je prijenos informacija do publike</w:t>
      </w:r>
      <w:r w:rsidR="00952CFB" w:rsidRPr="00B830BB">
        <w:rPr>
          <w:rFonts w:cs="Arial"/>
          <w:szCs w:val="22"/>
          <w:lang w:val="hr-HR"/>
        </w:rPr>
        <w:t>, a ona se r</w:t>
      </w:r>
      <w:r w:rsidR="00BA6992" w:rsidRPr="00B830BB">
        <w:rPr>
          <w:rFonts w:cs="Arial"/>
          <w:szCs w:val="22"/>
          <w:lang w:val="hr-HR"/>
        </w:rPr>
        <w:t>azvitkom interneta iz temelj</w:t>
      </w:r>
      <w:r w:rsidR="00BE17E4" w:rsidRPr="00B830BB">
        <w:rPr>
          <w:rFonts w:cs="Arial"/>
          <w:szCs w:val="22"/>
          <w:lang w:val="hr-HR"/>
        </w:rPr>
        <w:t>a</w:t>
      </w:r>
      <w:r w:rsidR="00BA6992" w:rsidRPr="00B830BB">
        <w:rPr>
          <w:rFonts w:cs="Arial"/>
          <w:szCs w:val="22"/>
          <w:lang w:val="hr-HR"/>
        </w:rPr>
        <w:t xml:space="preserve"> mijenja</w:t>
      </w:r>
      <w:r w:rsidR="00441192" w:rsidRPr="00B830BB">
        <w:rPr>
          <w:rFonts w:cs="Arial"/>
          <w:szCs w:val="22"/>
          <w:lang w:val="hr-HR"/>
        </w:rPr>
        <w:t>.</w:t>
      </w:r>
      <w:r w:rsidR="00952CFB" w:rsidRPr="00B830BB">
        <w:rPr>
          <w:rStyle w:val="FootnoteReference"/>
          <w:rFonts w:cs="Arial"/>
          <w:szCs w:val="22"/>
          <w:lang w:val="hr-HR"/>
        </w:rPr>
        <w:footnoteReference w:id="63"/>
      </w:r>
      <w:r w:rsidR="00BA6992" w:rsidRPr="00B830BB">
        <w:rPr>
          <w:rFonts w:cs="Arial"/>
          <w:szCs w:val="22"/>
          <w:lang w:val="hr-HR"/>
        </w:rPr>
        <w:t xml:space="preserve"> Informacija postaje povodom </w:t>
      </w:r>
      <w:r w:rsidR="00313654" w:rsidRPr="00B830BB">
        <w:rPr>
          <w:rFonts w:cs="Arial"/>
          <w:szCs w:val="22"/>
          <w:lang w:val="hr-HR"/>
        </w:rPr>
        <w:t xml:space="preserve">za diskusiju </w:t>
      </w:r>
      <w:r w:rsidR="00BA6992" w:rsidRPr="00B830BB">
        <w:rPr>
          <w:rFonts w:cs="Arial"/>
          <w:szCs w:val="22"/>
          <w:lang w:val="hr-HR"/>
        </w:rPr>
        <w:t xml:space="preserve">na internetskim platformama </w:t>
      </w:r>
      <w:r w:rsidR="00BE17E4" w:rsidRPr="00B830BB">
        <w:rPr>
          <w:rFonts w:cs="Arial"/>
          <w:szCs w:val="22"/>
          <w:lang w:val="hr-HR"/>
        </w:rPr>
        <w:t xml:space="preserve">pri čemu sudionici prakticiraju svoje pravo na izražavanje. </w:t>
      </w:r>
      <w:r w:rsidR="00477B94" w:rsidRPr="00B830BB">
        <w:rPr>
          <w:rFonts w:cs="Arial"/>
          <w:szCs w:val="22"/>
          <w:lang w:val="hr-HR"/>
        </w:rPr>
        <w:t>Tradicionalni mediji</w:t>
      </w:r>
      <w:r w:rsidR="00D8491D" w:rsidRPr="00B830BB">
        <w:rPr>
          <w:rFonts w:cs="Arial"/>
          <w:szCs w:val="22"/>
          <w:lang w:val="hr-HR"/>
        </w:rPr>
        <w:t xml:space="preserve"> </w:t>
      </w:r>
      <w:r w:rsidR="00477B94" w:rsidRPr="00B830BB">
        <w:rPr>
          <w:rFonts w:cs="Arial"/>
          <w:szCs w:val="22"/>
          <w:lang w:val="hr-HR"/>
        </w:rPr>
        <w:t>imaju dijelove poput „pisma čitatelja“, „vox populi“ i slično, no njima svojstven</w:t>
      </w:r>
      <w:r w:rsidR="00D8491D" w:rsidRPr="00B830BB">
        <w:rPr>
          <w:rFonts w:cs="Arial"/>
          <w:szCs w:val="22"/>
          <w:lang w:val="hr-HR"/>
        </w:rPr>
        <w:t>a</w:t>
      </w:r>
      <w:r w:rsidR="00477B94" w:rsidRPr="00B830BB">
        <w:rPr>
          <w:rFonts w:cs="Arial"/>
          <w:szCs w:val="22"/>
          <w:lang w:val="hr-HR"/>
        </w:rPr>
        <w:t xml:space="preserve"> jest činjenica da su </w:t>
      </w:r>
      <w:r w:rsidR="00D8491D" w:rsidRPr="00B830BB">
        <w:rPr>
          <w:rFonts w:cs="Arial"/>
          <w:szCs w:val="22"/>
          <w:lang w:val="hr-HR"/>
        </w:rPr>
        <w:t xml:space="preserve">pristigli sadržaji </w:t>
      </w:r>
      <w:r w:rsidR="00477B94" w:rsidRPr="00B830BB">
        <w:rPr>
          <w:rFonts w:cs="Arial"/>
          <w:szCs w:val="22"/>
          <w:lang w:val="hr-HR"/>
        </w:rPr>
        <w:t>u pravilu provjereni te odobreni prije nego</w:t>
      </w:r>
      <w:r w:rsidR="00914693" w:rsidRPr="00B830BB">
        <w:rPr>
          <w:rFonts w:cs="Arial"/>
          <w:szCs w:val="22"/>
          <w:lang w:val="hr-HR"/>
        </w:rPr>
        <w:t xml:space="preserve"> </w:t>
      </w:r>
      <w:r w:rsidR="00477B94" w:rsidRPr="00B830BB">
        <w:rPr>
          <w:rFonts w:cs="Arial"/>
          <w:szCs w:val="22"/>
          <w:lang w:val="hr-HR"/>
        </w:rPr>
        <w:t xml:space="preserve">li takvo </w:t>
      </w:r>
      <w:r w:rsidR="00477B94" w:rsidRPr="00B830BB">
        <w:rPr>
          <w:rFonts w:cs="Arial"/>
          <w:szCs w:val="22"/>
          <w:lang w:val="hr-HR"/>
        </w:rPr>
        <w:lastRenderedPageBreak/>
        <w:t>mišljenje posta</w:t>
      </w:r>
      <w:r w:rsidR="00D8491D" w:rsidRPr="00B830BB">
        <w:rPr>
          <w:rFonts w:cs="Arial"/>
          <w:szCs w:val="22"/>
          <w:lang w:val="hr-HR"/>
        </w:rPr>
        <w:t>ne</w:t>
      </w:r>
      <w:r w:rsidR="00477B94" w:rsidRPr="00B830BB">
        <w:rPr>
          <w:rFonts w:cs="Arial"/>
          <w:szCs w:val="22"/>
          <w:lang w:val="hr-HR"/>
        </w:rPr>
        <w:t xml:space="preserve"> dostupno javnosti. Na internetu ono post</w:t>
      </w:r>
      <w:r w:rsidR="0093180A" w:rsidRPr="00B830BB">
        <w:rPr>
          <w:rFonts w:cs="Arial"/>
          <w:szCs w:val="22"/>
          <w:lang w:val="hr-HR"/>
        </w:rPr>
        <w:t>a</w:t>
      </w:r>
      <w:r w:rsidR="00477B94" w:rsidRPr="00B830BB">
        <w:rPr>
          <w:rFonts w:cs="Arial"/>
          <w:szCs w:val="22"/>
          <w:lang w:val="hr-HR"/>
        </w:rPr>
        <w:t xml:space="preserve">je javno </w:t>
      </w:r>
      <w:r w:rsidR="0004346F" w:rsidRPr="00B830BB">
        <w:rPr>
          <w:rFonts w:cs="Arial"/>
          <w:szCs w:val="22"/>
          <w:lang w:val="hr-HR"/>
        </w:rPr>
        <w:t xml:space="preserve">neposredno </w:t>
      </w:r>
      <w:r w:rsidR="00477B94" w:rsidRPr="00B830BB">
        <w:rPr>
          <w:rFonts w:cs="Arial"/>
          <w:szCs w:val="22"/>
          <w:lang w:val="hr-HR"/>
        </w:rPr>
        <w:t>nakon izvršetka neke od tehnički</w:t>
      </w:r>
      <w:r w:rsidR="00E66877">
        <w:rPr>
          <w:rFonts w:cs="Arial"/>
          <w:szCs w:val="22"/>
          <w:lang w:val="hr-HR"/>
        </w:rPr>
        <w:t xml:space="preserve"> uvjetovanih radnji (klikom miša</w:t>
      </w:r>
      <w:r w:rsidR="00477B94" w:rsidRPr="00B830BB">
        <w:rPr>
          <w:rFonts w:cs="Arial"/>
          <w:szCs w:val="22"/>
          <w:lang w:val="hr-HR"/>
        </w:rPr>
        <w:t xml:space="preserve">, pritiskom tipke enter), a kontrola, ako do nje i dođe, nastupa </w:t>
      </w:r>
      <w:r w:rsidR="00477B94" w:rsidRPr="00B830BB">
        <w:rPr>
          <w:rFonts w:cs="Arial"/>
          <w:i/>
          <w:szCs w:val="22"/>
          <w:lang w:val="hr-HR"/>
        </w:rPr>
        <w:t>a posteriori</w:t>
      </w:r>
      <w:r w:rsidR="00477B94" w:rsidRPr="00B830BB">
        <w:rPr>
          <w:rFonts w:cs="Arial"/>
          <w:szCs w:val="22"/>
          <w:lang w:val="hr-HR"/>
        </w:rPr>
        <w:t xml:space="preserve">. </w:t>
      </w:r>
    </w:p>
    <w:p w:rsidR="00A500E3" w:rsidRPr="00B830BB" w:rsidRDefault="009B2B44" w:rsidP="009B2B44">
      <w:pPr>
        <w:pStyle w:val="ListParagraph"/>
        <w:spacing w:line="360" w:lineRule="auto"/>
        <w:ind w:left="0" w:right="-329"/>
        <w:jc w:val="both"/>
        <w:rPr>
          <w:rFonts w:cs="Arial"/>
          <w:szCs w:val="22"/>
          <w:lang w:val="hr-HR"/>
        </w:rPr>
      </w:pPr>
      <w:r w:rsidRPr="00B830BB">
        <w:rPr>
          <w:rFonts w:cs="Arial"/>
          <w:szCs w:val="22"/>
          <w:lang w:val="hr-HR"/>
        </w:rPr>
        <w:tab/>
        <w:t>Nadalje, internet pruža i mogućnost a</w:t>
      </w:r>
      <w:r w:rsidR="00A500E3" w:rsidRPr="00B830BB">
        <w:rPr>
          <w:rFonts w:cs="Arial"/>
          <w:szCs w:val="22"/>
          <w:lang w:val="hr-HR"/>
        </w:rPr>
        <w:t>nonimnost</w:t>
      </w:r>
      <w:r w:rsidRPr="00B830BB">
        <w:rPr>
          <w:rFonts w:cs="Arial"/>
          <w:szCs w:val="22"/>
          <w:lang w:val="hr-HR"/>
        </w:rPr>
        <w:t xml:space="preserve">i, bilo potpune bilo </w:t>
      </w:r>
      <w:r w:rsidR="00A500E3" w:rsidRPr="00B830BB">
        <w:rPr>
          <w:rFonts w:cs="Arial"/>
          <w:szCs w:val="22"/>
          <w:lang w:val="hr-HR"/>
        </w:rPr>
        <w:t>postavljanj</w:t>
      </w:r>
      <w:r w:rsidRPr="00B830BB">
        <w:rPr>
          <w:rFonts w:cs="Arial"/>
          <w:szCs w:val="22"/>
          <w:lang w:val="hr-HR"/>
        </w:rPr>
        <w:t>em</w:t>
      </w:r>
      <w:r w:rsidR="00A500E3" w:rsidRPr="00B830BB">
        <w:rPr>
          <w:rFonts w:cs="Arial"/>
          <w:szCs w:val="22"/>
          <w:lang w:val="hr-HR"/>
        </w:rPr>
        <w:t xml:space="preserve"> lažnog imena ili nadimka (</w:t>
      </w:r>
      <w:r w:rsidRPr="00B830BB">
        <w:rPr>
          <w:rFonts w:cs="Arial"/>
          <w:szCs w:val="22"/>
          <w:lang w:val="hr-HR"/>
        </w:rPr>
        <w:t xml:space="preserve">u tradicionalnim medijima pseudonim). </w:t>
      </w:r>
    </w:p>
    <w:p w:rsidR="00A85880" w:rsidRPr="00B830BB" w:rsidRDefault="009B2B44" w:rsidP="00F95B66">
      <w:pPr>
        <w:spacing w:line="360" w:lineRule="auto"/>
        <w:ind w:firstLine="432"/>
        <w:jc w:val="both"/>
        <w:rPr>
          <w:rFonts w:cs="Arial"/>
          <w:szCs w:val="22"/>
          <w:lang w:val="hr-HR"/>
        </w:rPr>
      </w:pPr>
      <w:r w:rsidRPr="00B830BB">
        <w:rPr>
          <w:rFonts w:cs="Arial"/>
          <w:szCs w:val="22"/>
          <w:lang w:val="hr-HR"/>
        </w:rPr>
        <w:t xml:space="preserve">Sljedeći izazov reguliranja neke problematike na internetu jest </w:t>
      </w:r>
      <w:r w:rsidR="0093180A" w:rsidRPr="00B830BB">
        <w:rPr>
          <w:rFonts w:cs="Arial"/>
          <w:szCs w:val="22"/>
          <w:lang w:val="hr-HR"/>
        </w:rPr>
        <w:t>t</w:t>
      </w:r>
      <w:r w:rsidR="0004346F" w:rsidRPr="00B830BB">
        <w:rPr>
          <w:rFonts w:cs="Arial"/>
          <w:szCs w:val="22"/>
          <w:lang w:val="hr-HR"/>
        </w:rPr>
        <w:t>aj</w:t>
      </w:r>
      <w:r w:rsidR="0093180A" w:rsidRPr="00B830BB">
        <w:rPr>
          <w:rFonts w:cs="Arial"/>
          <w:szCs w:val="22"/>
          <w:lang w:val="hr-HR"/>
        </w:rPr>
        <w:t xml:space="preserve"> </w:t>
      </w:r>
      <w:r w:rsidRPr="00B830BB">
        <w:rPr>
          <w:rFonts w:cs="Arial"/>
          <w:szCs w:val="22"/>
          <w:lang w:val="hr-HR"/>
        </w:rPr>
        <w:t xml:space="preserve">što je internet zapravo prostor bez (fizičkih) granica, a brzina i opseg diseminacije sadržaja </w:t>
      </w:r>
      <w:r w:rsidR="00DD662D" w:rsidRPr="00B830BB">
        <w:rPr>
          <w:rFonts w:cs="Arial"/>
          <w:szCs w:val="22"/>
          <w:lang w:val="hr-HR"/>
        </w:rPr>
        <w:t xml:space="preserve">teško </w:t>
      </w:r>
      <w:r w:rsidR="0093180A" w:rsidRPr="00B830BB">
        <w:rPr>
          <w:rFonts w:cs="Arial"/>
          <w:szCs w:val="22"/>
          <w:lang w:val="hr-HR"/>
        </w:rPr>
        <w:t xml:space="preserve">su </w:t>
      </w:r>
      <w:r w:rsidR="00A85880" w:rsidRPr="00B830BB">
        <w:rPr>
          <w:rFonts w:cs="Arial"/>
          <w:szCs w:val="22"/>
          <w:lang w:val="hr-HR"/>
        </w:rPr>
        <w:t>zaustavljivi.</w:t>
      </w:r>
      <w:r w:rsidR="00D45AFE" w:rsidRPr="00B830BB">
        <w:rPr>
          <w:rFonts w:cs="Arial"/>
          <w:szCs w:val="22"/>
          <w:lang w:val="hr-HR"/>
        </w:rPr>
        <w:t xml:space="preserve"> Razloge takve nemogućnosti efikasnog kontroliranja interneta valja tražiti, između ostalog, u činjenici da je internet kao globalni medij načelno podložan različitostima pravnog uređenja u svakoj pojedinoj državi, dok je istovremeno nedovoljno reguliran na međunarodnoj razini, bez koje njegovo obuhvatno uređenje nije moguće.</w:t>
      </w:r>
    </w:p>
    <w:p w:rsidR="00B61F3A" w:rsidRPr="00B830BB" w:rsidRDefault="00D45AFE" w:rsidP="00F95B66">
      <w:pPr>
        <w:spacing w:line="360" w:lineRule="auto"/>
        <w:ind w:firstLine="432"/>
        <w:jc w:val="both"/>
        <w:rPr>
          <w:rFonts w:cs="Arial"/>
          <w:szCs w:val="22"/>
          <w:lang w:val="hr-HR"/>
        </w:rPr>
      </w:pPr>
      <w:r w:rsidRPr="00B830BB">
        <w:rPr>
          <w:rFonts w:cs="Arial"/>
          <w:szCs w:val="22"/>
          <w:lang w:val="hr-HR"/>
        </w:rPr>
        <w:t>Baš zbog spomenute sveprisutnosti interneta, a</w:t>
      </w:r>
      <w:r w:rsidR="00DD662D" w:rsidRPr="00B830BB">
        <w:rPr>
          <w:rFonts w:cs="Arial"/>
          <w:szCs w:val="22"/>
          <w:lang w:val="hr-HR"/>
        </w:rPr>
        <w:t xml:space="preserve">utori govora mržnje mogu </w:t>
      </w:r>
      <w:r w:rsidRPr="00B830BB">
        <w:rPr>
          <w:rFonts w:cs="Arial"/>
          <w:szCs w:val="22"/>
          <w:lang w:val="hr-HR"/>
        </w:rPr>
        <w:t xml:space="preserve">putem njega </w:t>
      </w:r>
      <w:r w:rsidR="00DD662D" w:rsidRPr="00B830BB">
        <w:rPr>
          <w:rFonts w:cs="Arial"/>
          <w:szCs w:val="22"/>
          <w:lang w:val="hr-HR"/>
        </w:rPr>
        <w:t xml:space="preserve">besplatno širiti mržnju te doseći veliki broj ljudi u jako kratko vrijeme. </w:t>
      </w:r>
      <w:r w:rsidR="00424031" w:rsidRPr="00B830BB">
        <w:rPr>
          <w:rFonts w:cs="Arial"/>
          <w:szCs w:val="22"/>
          <w:lang w:val="hr-HR"/>
        </w:rPr>
        <w:t xml:space="preserve">Kroz brojne društvene mreže, marginalizirane i nepovezane skupine ljudi koje dijele isti interes i motivaciju mogu se povezati te tako ojačati. </w:t>
      </w:r>
      <w:r w:rsidR="006F2567" w:rsidRPr="00B830BB">
        <w:rPr>
          <w:rFonts w:cs="Arial"/>
          <w:szCs w:val="22"/>
          <w:lang w:val="hr-HR"/>
        </w:rPr>
        <w:t>Isto tako, b</w:t>
      </w:r>
      <w:r w:rsidR="00617971" w:rsidRPr="00B830BB">
        <w:rPr>
          <w:rFonts w:cs="Arial"/>
          <w:szCs w:val="22"/>
          <w:lang w:val="hr-HR"/>
        </w:rPr>
        <w:t>udući da ne postoje djelotvorni mehanizmi kontrole, mal</w:t>
      </w:r>
      <w:r w:rsidRPr="00B830BB">
        <w:rPr>
          <w:rFonts w:cs="Arial"/>
          <w:szCs w:val="22"/>
          <w:lang w:val="hr-HR"/>
        </w:rPr>
        <w:t>oljetnici imaju jednak pristup.</w:t>
      </w:r>
    </w:p>
    <w:p w:rsidR="00A500E3" w:rsidRPr="00B830BB" w:rsidRDefault="00617971" w:rsidP="00F95B66">
      <w:pPr>
        <w:spacing w:line="360" w:lineRule="auto"/>
        <w:ind w:firstLine="432"/>
        <w:jc w:val="both"/>
        <w:rPr>
          <w:rFonts w:cs="Arial"/>
          <w:szCs w:val="22"/>
          <w:lang w:val="hr-HR"/>
        </w:rPr>
      </w:pPr>
      <w:r w:rsidRPr="00B830BB">
        <w:rPr>
          <w:rFonts w:cs="Arial"/>
          <w:szCs w:val="22"/>
          <w:lang w:val="hr-HR"/>
        </w:rPr>
        <w:t>Iako je svakako veliki problem mržnja koju zagovaraju razne ekstremističke skupine</w:t>
      </w:r>
      <w:r w:rsidR="00B61F3A" w:rsidRPr="00B830BB">
        <w:rPr>
          <w:rFonts w:cs="Arial"/>
          <w:szCs w:val="22"/>
          <w:lang w:val="hr-HR"/>
        </w:rPr>
        <w:t xml:space="preserve"> te ga ne umanjujemo, </w:t>
      </w:r>
      <w:r w:rsidRPr="00B830BB">
        <w:rPr>
          <w:rFonts w:cs="Arial"/>
          <w:szCs w:val="22"/>
          <w:lang w:val="hr-HR"/>
        </w:rPr>
        <w:t>ovaj rad bi ipak htjeli fokusirati na svakodnevne probleme koje govor mržnje na internetu uzrokuje pro</w:t>
      </w:r>
      <w:r w:rsidR="00DE4D35" w:rsidRPr="00B830BB">
        <w:rPr>
          <w:rFonts w:cs="Arial"/>
          <w:szCs w:val="22"/>
          <w:lang w:val="hr-HR"/>
        </w:rPr>
        <w:t>s</w:t>
      </w:r>
      <w:r w:rsidRPr="00B830BB">
        <w:rPr>
          <w:rFonts w:cs="Arial"/>
          <w:szCs w:val="22"/>
          <w:lang w:val="hr-HR"/>
        </w:rPr>
        <w:t>ječnom građaninu, učeniku, studentu, zaposleniku, itd. Psihičko zlostavljanje, diskriminacija</w:t>
      </w:r>
      <w:r w:rsidR="004D41D9" w:rsidRPr="00B830BB">
        <w:rPr>
          <w:rFonts w:cs="Arial"/>
          <w:szCs w:val="22"/>
          <w:lang w:val="hr-HR"/>
        </w:rPr>
        <w:t>, zastrašivanje i prijetnje, bullying, mobbing</w:t>
      </w:r>
      <w:r w:rsidR="00985DEC" w:rsidRPr="00B830BB">
        <w:rPr>
          <w:rFonts w:cs="Arial"/>
          <w:szCs w:val="22"/>
          <w:lang w:val="hr-HR"/>
        </w:rPr>
        <w:t>, pozivanje na nasilje</w:t>
      </w:r>
      <w:r w:rsidR="004D41D9" w:rsidRPr="00B830BB">
        <w:rPr>
          <w:rFonts w:cs="Arial"/>
          <w:szCs w:val="22"/>
          <w:lang w:val="hr-HR"/>
        </w:rPr>
        <w:t xml:space="preserve"> te drugi oblici ugrožavanja prava i sigurnosti drugoga dobili su i svoju </w:t>
      </w:r>
      <w:r w:rsidR="004D41D9" w:rsidRPr="00B830BB">
        <w:rPr>
          <w:rFonts w:cs="Arial"/>
          <w:i/>
          <w:szCs w:val="22"/>
          <w:lang w:val="hr-HR"/>
        </w:rPr>
        <w:t>online</w:t>
      </w:r>
      <w:r w:rsidR="004D41D9" w:rsidRPr="00B830BB">
        <w:rPr>
          <w:rFonts w:cs="Arial"/>
          <w:szCs w:val="22"/>
          <w:lang w:val="hr-HR"/>
        </w:rPr>
        <w:t xml:space="preserve"> inačicu. </w:t>
      </w:r>
      <w:r w:rsidR="005F08A1" w:rsidRPr="00B830BB">
        <w:rPr>
          <w:rFonts w:cs="Arial"/>
          <w:szCs w:val="22"/>
          <w:lang w:val="hr-HR"/>
        </w:rPr>
        <w:t>Izvješće pučke pravobraniteljice navodi kako su i tijekom 2013. komentari na internet  portalima takvog sadržaja bili prevladavajuća poja</w:t>
      </w:r>
      <w:r w:rsidR="007D13B2" w:rsidRPr="00B830BB">
        <w:rPr>
          <w:rFonts w:cs="Arial"/>
          <w:szCs w:val="22"/>
          <w:lang w:val="hr-HR"/>
        </w:rPr>
        <w:t>v</w:t>
      </w:r>
      <w:r w:rsidR="005F08A1" w:rsidRPr="00B830BB">
        <w:rPr>
          <w:rFonts w:cs="Arial"/>
          <w:szCs w:val="22"/>
          <w:lang w:val="hr-HR"/>
        </w:rPr>
        <w:t>a</w:t>
      </w:r>
      <w:r w:rsidR="005F08A1" w:rsidRPr="00B830BB">
        <w:rPr>
          <w:rStyle w:val="FootnoteReference"/>
          <w:rFonts w:cs="Arial"/>
          <w:szCs w:val="22"/>
          <w:lang w:val="hr-HR"/>
        </w:rPr>
        <w:footnoteReference w:id="64"/>
      </w:r>
      <w:r w:rsidR="005F08A1" w:rsidRPr="00B830BB">
        <w:rPr>
          <w:rFonts w:cs="Arial"/>
          <w:szCs w:val="22"/>
          <w:lang w:val="hr-HR"/>
        </w:rPr>
        <w:t xml:space="preserve">. </w:t>
      </w:r>
    </w:p>
    <w:p w:rsidR="000C6B5D" w:rsidRPr="00B830BB" w:rsidRDefault="006425A9" w:rsidP="00AD19A6">
      <w:pPr>
        <w:spacing w:line="360" w:lineRule="auto"/>
        <w:jc w:val="both"/>
        <w:rPr>
          <w:rFonts w:cs="Arial"/>
          <w:szCs w:val="22"/>
          <w:lang w:val="hr-HR"/>
        </w:rPr>
      </w:pPr>
      <w:r w:rsidRPr="00B830BB">
        <w:rPr>
          <w:rFonts w:cs="Arial"/>
          <w:szCs w:val="22"/>
          <w:lang w:val="hr-HR"/>
        </w:rPr>
        <w:tab/>
        <w:t>Već navedeni izazovi koje internet postavlja, često obeshrabruj</w:t>
      </w:r>
      <w:r w:rsidR="001B7D7E" w:rsidRPr="00B830BB">
        <w:rPr>
          <w:rFonts w:cs="Arial"/>
          <w:szCs w:val="22"/>
          <w:lang w:val="hr-HR"/>
        </w:rPr>
        <w:t>u</w:t>
      </w:r>
      <w:r w:rsidRPr="00B830BB">
        <w:rPr>
          <w:rFonts w:cs="Arial"/>
          <w:szCs w:val="22"/>
          <w:lang w:val="hr-HR"/>
        </w:rPr>
        <w:t xml:space="preserve"> pokušaj</w:t>
      </w:r>
      <w:r w:rsidR="00914693" w:rsidRPr="00B830BB">
        <w:rPr>
          <w:rFonts w:cs="Arial"/>
          <w:szCs w:val="22"/>
          <w:lang w:val="hr-HR"/>
        </w:rPr>
        <w:t>e</w:t>
      </w:r>
      <w:r w:rsidRPr="00B830BB">
        <w:rPr>
          <w:rFonts w:cs="Arial"/>
          <w:szCs w:val="22"/>
          <w:lang w:val="hr-HR"/>
        </w:rPr>
        <w:t xml:space="preserve"> rješavanja. Komentari ili drugi sadržaj</w:t>
      </w:r>
      <w:r w:rsidR="00215617" w:rsidRPr="00B830BB">
        <w:rPr>
          <w:rFonts w:cs="Arial"/>
          <w:szCs w:val="22"/>
          <w:lang w:val="hr-HR"/>
        </w:rPr>
        <w:t>i</w:t>
      </w:r>
      <w:r w:rsidRPr="00B830BB">
        <w:rPr>
          <w:rFonts w:cs="Arial"/>
          <w:szCs w:val="22"/>
          <w:lang w:val="hr-HR"/>
        </w:rPr>
        <w:t xml:space="preserve"> takvog izražavanja vrlo se brzo multipliciraju te je njihov broj jako velik. Tu činjenicu mnogi koriste kao argument za ignoriranje ili omalovažavanje težine tog problema. </w:t>
      </w:r>
      <w:r w:rsidR="00516C05" w:rsidRPr="00B830BB">
        <w:rPr>
          <w:rFonts w:cs="Arial"/>
          <w:szCs w:val="22"/>
          <w:lang w:val="hr-HR"/>
        </w:rPr>
        <w:t>Grafiti se uklanjanju s pročelja zgrada, izgovorena riječ ostaje u vremenu kada je izgovorena, ali napisana riječ ostaje. Koliko trajno će ona ostati, ovisi, između ostalog, o</w:t>
      </w:r>
      <w:r w:rsidR="000C6B5D" w:rsidRPr="00B830BB">
        <w:rPr>
          <w:rFonts w:cs="Arial"/>
          <w:szCs w:val="22"/>
          <w:lang w:val="hr-HR"/>
        </w:rPr>
        <w:t xml:space="preserve"> mediju na kojem je zabilježena</w:t>
      </w:r>
      <w:r w:rsidR="00215617" w:rsidRPr="00B830BB">
        <w:rPr>
          <w:rFonts w:cs="Arial"/>
          <w:szCs w:val="22"/>
          <w:lang w:val="hr-HR"/>
        </w:rPr>
        <w:t>.</w:t>
      </w:r>
    </w:p>
    <w:p w:rsidR="00F76DC5" w:rsidRPr="00B830BB" w:rsidRDefault="000C6B5D" w:rsidP="00CB5674">
      <w:pPr>
        <w:spacing w:line="360" w:lineRule="auto"/>
        <w:ind w:firstLine="432"/>
        <w:jc w:val="both"/>
        <w:rPr>
          <w:rFonts w:cs="Arial"/>
          <w:szCs w:val="22"/>
          <w:lang w:val="hr-HR"/>
        </w:rPr>
      </w:pPr>
      <w:r w:rsidRPr="00B830BB">
        <w:rPr>
          <w:rFonts w:cs="Arial"/>
          <w:szCs w:val="22"/>
          <w:lang w:val="hr-HR"/>
        </w:rPr>
        <w:t>Autori ovog rada smatraju</w:t>
      </w:r>
      <w:r w:rsidR="005E7913" w:rsidRPr="00B830BB">
        <w:rPr>
          <w:rFonts w:cs="Arial"/>
          <w:szCs w:val="22"/>
          <w:lang w:val="hr-HR"/>
        </w:rPr>
        <w:t xml:space="preserve"> kako</w:t>
      </w:r>
      <w:r w:rsidRPr="00B830BB">
        <w:rPr>
          <w:rFonts w:cs="Arial"/>
          <w:szCs w:val="22"/>
          <w:lang w:val="hr-HR"/>
        </w:rPr>
        <w:t xml:space="preserve"> činjenica da je govor mržnje zabilježen na drugom, novom mediju, znači da sva načela trebaju biti podjednako prim</w:t>
      </w:r>
      <w:r w:rsidR="001B2B87">
        <w:rPr>
          <w:rFonts w:cs="Arial"/>
          <w:szCs w:val="22"/>
          <w:lang w:val="hr-HR"/>
        </w:rPr>
        <w:t>i</w:t>
      </w:r>
      <w:r w:rsidRPr="00B830BB">
        <w:rPr>
          <w:rFonts w:cs="Arial"/>
          <w:szCs w:val="22"/>
          <w:lang w:val="hr-HR"/>
        </w:rPr>
        <w:t>jenjena. Smatramo</w:t>
      </w:r>
      <w:r w:rsidR="005D0C8F" w:rsidRPr="00B830BB">
        <w:rPr>
          <w:rFonts w:cs="Arial"/>
          <w:szCs w:val="22"/>
          <w:lang w:val="hr-HR"/>
        </w:rPr>
        <w:t>, primjerice,</w:t>
      </w:r>
      <w:r w:rsidRPr="00B830BB">
        <w:rPr>
          <w:rFonts w:cs="Arial"/>
          <w:szCs w:val="22"/>
          <w:lang w:val="hr-HR"/>
        </w:rPr>
        <w:t xml:space="preserve"> da</w:t>
      </w:r>
      <w:r w:rsidR="005E7913" w:rsidRPr="00B830BB">
        <w:rPr>
          <w:rFonts w:cs="Arial"/>
          <w:szCs w:val="22"/>
          <w:lang w:val="hr-HR"/>
        </w:rPr>
        <w:t>,</w:t>
      </w:r>
      <w:r w:rsidRPr="00B830BB">
        <w:rPr>
          <w:rFonts w:cs="Arial"/>
          <w:szCs w:val="22"/>
          <w:lang w:val="hr-HR"/>
        </w:rPr>
        <w:t xml:space="preserve"> jednako kao što je kažnjivo dijeljenje letaka kojima se poziva na mržnju, </w:t>
      </w:r>
      <w:r w:rsidR="005E7913" w:rsidRPr="00B830BB">
        <w:rPr>
          <w:rFonts w:cs="Arial"/>
          <w:szCs w:val="22"/>
          <w:lang w:val="hr-HR"/>
        </w:rPr>
        <w:t>isto</w:t>
      </w:r>
      <w:r w:rsidRPr="00B830BB">
        <w:rPr>
          <w:rFonts w:cs="Arial"/>
          <w:szCs w:val="22"/>
          <w:lang w:val="hr-HR"/>
        </w:rPr>
        <w:t xml:space="preserve"> treba biti primijenjeno i na dijeljenje</w:t>
      </w:r>
      <w:r w:rsidR="005E7913" w:rsidRPr="00B830BB">
        <w:rPr>
          <w:rFonts w:cs="Arial"/>
          <w:szCs w:val="22"/>
          <w:lang w:val="hr-HR"/>
        </w:rPr>
        <w:t xml:space="preserve"> sadržaja</w:t>
      </w:r>
      <w:r w:rsidRPr="00B830BB">
        <w:rPr>
          <w:rFonts w:cs="Arial"/>
          <w:szCs w:val="22"/>
          <w:lang w:val="hr-HR"/>
        </w:rPr>
        <w:t xml:space="preserve"> (tzv. eng. „</w:t>
      </w:r>
      <w:r w:rsidRPr="00B830BB">
        <w:rPr>
          <w:rFonts w:cs="Arial"/>
          <w:i/>
          <w:szCs w:val="22"/>
          <w:lang w:val="hr-HR"/>
        </w:rPr>
        <w:t>share</w:t>
      </w:r>
      <w:r w:rsidR="008D4A9F" w:rsidRPr="00B830BB">
        <w:rPr>
          <w:rFonts w:cs="Arial"/>
          <w:szCs w:val="22"/>
          <w:lang w:val="hr-HR"/>
        </w:rPr>
        <w:t>“ opcija na društvenim mrežama</w:t>
      </w:r>
      <w:r w:rsidRPr="00B830BB">
        <w:rPr>
          <w:rFonts w:cs="Arial"/>
          <w:szCs w:val="22"/>
          <w:lang w:val="hr-HR"/>
        </w:rPr>
        <w:t xml:space="preserve"> poput Facebooka) </w:t>
      </w:r>
      <w:r w:rsidR="005E7913" w:rsidRPr="00B830BB">
        <w:rPr>
          <w:rFonts w:cs="Arial"/>
          <w:szCs w:val="22"/>
          <w:lang w:val="hr-HR"/>
        </w:rPr>
        <w:t xml:space="preserve">kao i na </w:t>
      </w:r>
      <w:r w:rsidR="001B2B87">
        <w:rPr>
          <w:rFonts w:cs="Arial"/>
          <w:szCs w:val="22"/>
          <w:lang w:val="hr-HR"/>
        </w:rPr>
        <w:t>označav</w:t>
      </w:r>
      <w:r w:rsidRPr="00B830BB">
        <w:rPr>
          <w:rFonts w:cs="Arial"/>
          <w:szCs w:val="22"/>
          <w:lang w:val="hr-HR"/>
        </w:rPr>
        <w:t xml:space="preserve">anje da se slažemo s nekim </w:t>
      </w:r>
      <w:r w:rsidR="005E7913" w:rsidRPr="00B830BB">
        <w:rPr>
          <w:rFonts w:cs="Arial"/>
          <w:szCs w:val="22"/>
          <w:lang w:val="hr-HR"/>
        </w:rPr>
        <w:t>objavljenim sadržajem</w:t>
      </w:r>
      <w:r w:rsidRPr="00B830BB">
        <w:rPr>
          <w:rFonts w:cs="Arial"/>
          <w:szCs w:val="22"/>
          <w:lang w:val="hr-HR"/>
        </w:rPr>
        <w:t xml:space="preserve"> (eng. „</w:t>
      </w:r>
      <w:r w:rsidRPr="00B830BB">
        <w:rPr>
          <w:rFonts w:cs="Arial"/>
          <w:i/>
          <w:szCs w:val="22"/>
          <w:lang w:val="hr-HR"/>
        </w:rPr>
        <w:t>like</w:t>
      </w:r>
      <w:r w:rsidRPr="00B830BB">
        <w:rPr>
          <w:rFonts w:cs="Arial"/>
          <w:szCs w:val="22"/>
          <w:lang w:val="hr-HR"/>
        </w:rPr>
        <w:t xml:space="preserve">“ opcija). </w:t>
      </w:r>
      <w:r w:rsidR="00CB5674" w:rsidRPr="00B830BB">
        <w:rPr>
          <w:rFonts w:cs="Arial"/>
          <w:szCs w:val="22"/>
          <w:lang w:val="hr-HR"/>
        </w:rPr>
        <w:t xml:space="preserve">Kroz sljedeća poglavlja prikazat ćemo kako su instituti </w:t>
      </w:r>
      <w:r w:rsidR="00CB5674" w:rsidRPr="00B830BB">
        <w:rPr>
          <w:rFonts w:cs="Arial"/>
          <w:szCs w:val="22"/>
          <w:lang w:val="hr-HR"/>
        </w:rPr>
        <w:lastRenderedPageBreak/>
        <w:t>odgovornosti prim</w:t>
      </w:r>
      <w:r w:rsidR="001B2B87">
        <w:rPr>
          <w:rFonts w:cs="Arial"/>
          <w:szCs w:val="22"/>
          <w:lang w:val="hr-HR"/>
        </w:rPr>
        <w:t>i</w:t>
      </w:r>
      <w:r w:rsidR="00CB5674" w:rsidRPr="00B830BB">
        <w:rPr>
          <w:rFonts w:cs="Arial"/>
          <w:szCs w:val="22"/>
          <w:lang w:val="hr-HR"/>
        </w:rPr>
        <w:t xml:space="preserve">jenjeni u različitim sustavima te </w:t>
      </w:r>
      <w:r w:rsidR="00FB1E14" w:rsidRPr="00B830BB">
        <w:rPr>
          <w:rFonts w:cs="Arial"/>
          <w:szCs w:val="22"/>
          <w:lang w:val="hr-HR"/>
        </w:rPr>
        <w:t>koj</w:t>
      </w:r>
      <w:r w:rsidR="000A07C0" w:rsidRPr="00B830BB">
        <w:rPr>
          <w:rFonts w:cs="Arial"/>
          <w:szCs w:val="22"/>
          <w:lang w:val="hr-HR"/>
        </w:rPr>
        <w:t xml:space="preserve">i su postojeći </w:t>
      </w:r>
      <w:r w:rsidR="00FB1E14" w:rsidRPr="00B830BB">
        <w:rPr>
          <w:rFonts w:cs="Arial"/>
          <w:szCs w:val="22"/>
          <w:lang w:val="hr-HR"/>
        </w:rPr>
        <w:t>način</w:t>
      </w:r>
      <w:r w:rsidR="000A07C0" w:rsidRPr="00B830BB">
        <w:rPr>
          <w:rFonts w:cs="Arial"/>
          <w:szCs w:val="22"/>
          <w:lang w:val="hr-HR"/>
        </w:rPr>
        <w:t>i</w:t>
      </w:r>
      <w:r w:rsidR="00FB1E14" w:rsidRPr="00B830BB">
        <w:rPr>
          <w:rFonts w:cs="Arial"/>
          <w:szCs w:val="22"/>
          <w:lang w:val="hr-HR"/>
        </w:rPr>
        <w:t xml:space="preserve"> postupanja prema autorima</w:t>
      </w:r>
      <w:r w:rsidR="00F41CA0" w:rsidRPr="00B830BB">
        <w:rPr>
          <w:rFonts w:cs="Arial"/>
          <w:szCs w:val="22"/>
          <w:lang w:val="hr-HR"/>
        </w:rPr>
        <w:t xml:space="preserve"> nelegalnih sadržaja</w:t>
      </w:r>
      <w:r w:rsidR="00CB5674" w:rsidRPr="00B830BB">
        <w:rPr>
          <w:rFonts w:cs="Arial"/>
          <w:szCs w:val="22"/>
          <w:lang w:val="hr-HR"/>
        </w:rPr>
        <w:t xml:space="preserve">. </w:t>
      </w:r>
    </w:p>
    <w:p w:rsidR="009A08DB" w:rsidRPr="00B830BB" w:rsidRDefault="009A08DB" w:rsidP="00AD19A6">
      <w:pPr>
        <w:spacing w:line="360" w:lineRule="auto"/>
        <w:jc w:val="both"/>
        <w:rPr>
          <w:rFonts w:cs="Arial"/>
          <w:szCs w:val="22"/>
          <w:lang w:val="hr-HR"/>
        </w:rPr>
      </w:pPr>
    </w:p>
    <w:p w:rsidR="009A08DB" w:rsidRPr="00B830BB" w:rsidRDefault="009A08DB" w:rsidP="00AD19A6">
      <w:pPr>
        <w:spacing w:line="360" w:lineRule="auto"/>
        <w:jc w:val="both"/>
        <w:rPr>
          <w:rFonts w:cs="Arial"/>
          <w:szCs w:val="22"/>
          <w:lang w:val="hr-HR"/>
        </w:rPr>
      </w:pPr>
    </w:p>
    <w:p w:rsidR="009A08DB" w:rsidRDefault="00CD5075" w:rsidP="009A08DB">
      <w:pPr>
        <w:pStyle w:val="Heading1"/>
        <w:rPr>
          <w:rFonts w:cs="Arial"/>
          <w:lang w:val="hr-HR"/>
        </w:rPr>
      </w:pPr>
      <w:bookmarkStart w:id="149" w:name="_Toc386285789"/>
      <w:bookmarkStart w:id="150" w:name="_Toc386498328"/>
      <w:bookmarkStart w:id="151" w:name="_Toc386563073"/>
      <w:bookmarkStart w:id="152" w:name="_Toc386567235"/>
      <w:bookmarkStart w:id="153" w:name="_Toc386619628"/>
      <w:r>
        <w:rPr>
          <w:rFonts w:cs="Arial"/>
          <w:lang w:val="hr-HR"/>
        </w:rPr>
        <w:t>nositelji</w:t>
      </w:r>
      <w:r w:rsidR="00E279D0">
        <w:rPr>
          <w:rFonts w:cs="Arial"/>
          <w:lang w:val="hr-HR"/>
        </w:rPr>
        <w:t xml:space="preserve"> </w:t>
      </w:r>
      <w:r w:rsidR="008D7E25">
        <w:rPr>
          <w:rFonts w:cs="Arial"/>
          <w:lang w:val="hr-HR"/>
        </w:rPr>
        <w:t>odgovornosti</w:t>
      </w:r>
      <w:r w:rsidR="0051045B">
        <w:rPr>
          <w:rFonts w:cs="Arial"/>
          <w:lang w:val="hr-HR"/>
        </w:rPr>
        <w:t xml:space="preserve"> – </w:t>
      </w:r>
      <w:r>
        <w:rPr>
          <w:rFonts w:cs="Arial"/>
          <w:lang w:val="hr-HR"/>
        </w:rPr>
        <w:t>tvorci sadržaja</w:t>
      </w:r>
      <w:r w:rsidR="0051045B">
        <w:rPr>
          <w:rFonts w:cs="Arial"/>
          <w:lang w:val="hr-HR"/>
        </w:rPr>
        <w:t xml:space="preserve"> i </w:t>
      </w:r>
      <w:r>
        <w:rPr>
          <w:rFonts w:cs="Arial"/>
          <w:lang w:val="hr-HR"/>
        </w:rPr>
        <w:t>posrednici</w:t>
      </w:r>
      <w:bookmarkEnd w:id="149"/>
      <w:bookmarkEnd w:id="150"/>
      <w:bookmarkEnd w:id="151"/>
      <w:bookmarkEnd w:id="152"/>
      <w:bookmarkEnd w:id="153"/>
    </w:p>
    <w:p w:rsidR="00B26E72" w:rsidRDefault="00B26E72" w:rsidP="00B26E72">
      <w:pPr>
        <w:pStyle w:val="Heading1"/>
        <w:numPr>
          <w:ilvl w:val="0"/>
          <w:numId w:val="0"/>
        </w:numPr>
        <w:ind w:left="432" w:hanging="432"/>
        <w:rPr>
          <w:rFonts w:cs="Arial"/>
          <w:lang w:val="hr-HR"/>
        </w:rPr>
      </w:pPr>
    </w:p>
    <w:p w:rsidR="00B7188C" w:rsidRPr="00B830BB" w:rsidRDefault="00B7188C" w:rsidP="00B7188C">
      <w:pPr>
        <w:pStyle w:val="Heading1"/>
        <w:numPr>
          <w:ilvl w:val="0"/>
          <w:numId w:val="0"/>
        </w:numPr>
        <w:ind w:left="432" w:hanging="432"/>
        <w:rPr>
          <w:rFonts w:cs="Arial"/>
          <w:lang w:val="hr-HR"/>
        </w:rPr>
      </w:pPr>
    </w:p>
    <w:p w:rsidR="00921C8B" w:rsidRPr="00B830BB" w:rsidRDefault="009A08DB" w:rsidP="00303780">
      <w:pPr>
        <w:spacing w:line="360" w:lineRule="auto"/>
        <w:ind w:firstLine="432"/>
        <w:jc w:val="both"/>
        <w:rPr>
          <w:rFonts w:cs="Arial"/>
          <w:szCs w:val="22"/>
          <w:lang w:val="hr-HR"/>
        </w:rPr>
      </w:pPr>
      <w:r w:rsidRPr="00B830BB">
        <w:rPr>
          <w:rFonts w:cs="Arial"/>
          <w:szCs w:val="22"/>
          <w:lang w:val="hr-HR"/>
        </w:rPr>
        <w:t xml:space="preserve">Poznata je pravna maksima da je sloboda svakog čovjeka ograničena slobodom drugih ljudi te da se svaki pojedinac može koristiti svojim pravima u onoj mjeri u kojoj njegovo </w:t>
      </w:r>
      <w:r w:rsidR="00480B35">
        <w:rPr>
          <w:rFonts w:cs="Arial"/>
          <w:szCs w:val="22"/>
          <w:lang w:val="hr-HR"/>
        </w:rPr>
        <w:t>uživanje tih prava ne ograničava</w:t>
      </w:r>
      <w:r w:rsidRPr="00B830BB">
        <w:rPr>
          <w:rFonts w:cs="Arial"/>
          <w:szCs w:val="22"/>
          <w:lang w:val="hr-HR"/>
        </w:rPr>
        <w:t xml:space="preserve"> druge osobe u istom takvom uživanju njihovih prava. Dakle, ponašanje svakog individualca uvjetovano je njegovim životom u d</w:t>
      </w:r>
      <w:r w:rsidR="00480B35">
        <w:rPr>
          <w:rFonts w:cs="Arial"/>
          <w:szCs w:val="22"/>
          <w:lang w:val="hr-HR"/>
        </w:rPr>
        <w:t>r</w:t>
      </w:r>
      <w:r w:rsidRPr="00B830BB">
        <w:rPr>
          <w:rFonts w:cs="Arial"/>
          <w:szCs w:val="22"/>
          <w:lang w:val="hr-HR"/>
        </w:rPr>
        <w:t>uštvenoj zajednici. Slijedom toga, jasno je da svako pravo nužno nosi sa sobom određena ograničenja i određene obveze, a uz svako djelovanje suprotno njima neizostavno je vezana i određena odgovornost. Upravo internet kao najutjecajniji medij današnjice svojim korisnicima daje mogućnosti puno šireg uživanja njihovih prava, no pitanje odgovornosti za ponašanje koje premašuje opseg tih prava na internetu</w:t>
      </w:r>
      <w:r w:rsidR="00A85880" w:rsidRPr="00B830BB">
        <w:rPr>
          <w:rFonts w:cs="Arial"/>
          <w:szCs w:val="22"/>
          <w:lang w:val="hr-HR"/>
        </w:rPr>
        <w:t xml:space="preserve"> nije potpuno jasno regulirano.</w:t>
      </w:r>
    </w:p>
    <w:p w:rsidR="009A08DB" w:rsidRPr="00B830BB" w:rsidRDefault="00A85880" w:rsidP="00303780">
      <w:pPr>
        <w:spacing w:line="360" w:lineRule="auto"/>
        <w:ind w:firstLine="432"/>
        <w:jc w:val="both"/>
        <w:rPr>
          <w:rFonts w:cs="Arial"/>
          <w:szCs w:val="22"/>
          <w:lang w:val="hr-HR"/>
        </w:rPr>
      </w:pPr>
      <w:r w:rsidRPr="00B830BB">
        <w:rPr>
          <w:rFonts w:cs="Arial"/>
          <w:szCs w:val="22"/>
          <w:lang w:val="hr-HR"/>
        </w:rPr>
        <w:t>Naime</w:t>
      </w:r>
      <w:r w:rsidR="009A08DB" w:rsidRPr="00B830BB">
        <w:rPr>
          <w:rFonts w:cs="Arial"/>
          <w:szCs w:val="22"/>
          <w:lang w:val="hr-HR"/>
        </w:rPr>
        <w:t xml:space="preserve">, svojstvo interneta kao promicatelja demokracije, socijalnog uključivanja i slobode govora donijelo je sa sobom i </w:t>
      </w:r>
      <w:r w:rsidR="001F5C62" w:rsidRPr="00B830BB">
        <w:rPr>
          <w:rFonts w:cs="Arial"/>
          <w:szCs w:val="22"/>
          <w:lang w:val="hr-HR"/>
        </w:rPr>
        <w:t xml:space="preserve">već spomenutu </w:t>
      </w:r>
      <w:r w:rsidR="009A08DB" w:rsidRPr="00B830BB">
        <w:rPr>
          <w:rFonts w:cs="Arial"/>
          <w:szCs w:val="22"/>
          <w:lang w:val="hr-HR"/>
        </w:rPr>
        <w:t xml:space="preserve">pojavu anonimnosti – pitanje nebrojeno puta polemizirano pa ipak još uvijek nerazjašnjeno. Mnoge su implikacije anonimnosti, no najvažnija od njih nedvojbeno je to što se prilikom anonimnog korištenja pravima narušava ona temeljna ravnoteža između prava i odgovornosti, gubi se adresat kojemu se pravnim normama pripisuje odgovornost za protupravno ponašanje zbog čega u virtualnom prostoru te norme postaju bespredmetne. Takvo stanje pravno je nedopustivo, a njegovo rješenje nazire se u dva smjera – ili u ukidanju anonimnosti ili u usmjeravanju odgovornosti na subjekte koji su poznati i pravu dostižni. O prvoj opciji više govora bit će nešto </w:t>
      </w:r>
      <w:r w:rsidR="00DD0094">
        <w:rPr>
          <w:rFonts w:cs="Arial"/>
          <w:szCs w:val="22"/>
          <w:lang w:val="hr-HR"/>
        </w:rPr>
        <w:t>kasnije</w:t>
      </w:r>
      <w:r w:rsidR="009A08DB" w:rsidRPr="00B830BB">
        <w:rPr>
          <w:rFonts w:cs="Arial"/>
          <w:szCs w:val="22"/>
          <w:lang w:val="hr-HR"/>
        </w:rPr>
        <w:t xml:space="preserve"> u radu, a konotacije ovog drugog bit će iznesene u ovom poglavlju.</w:t>
      </w:r>
    </w:p>
    <w:p w:rsidR="00386CB7" w:rsidRPr="00B830BB" w:rsidRDefault="009A08DB" w:rsidP="00386CB7">
      <w:pPr>
        <w:spacing w:line="360" w:lineRule="auto"/>
        <w:ind w:firstLine="432"/>
        <w:jc w:val="both"/>
        <w:rPr>
          <w:rFonts w:cs="Arial"/>
          <w:szCs w:val="22"/>
          <w:lang w:val="hr-HR"/>
        </w:rPr>
      </w:pPr>
      <w:r w:rsidRPr="00B830BB">
        <w:rPr>
          <w:rFonts w:cs="Arial"/>
          <w:szCs w:val="22"/>
          <w:lang w:val="hr-HR"/>
        </w:rPr>
        <w:t>No, prije samog pitanja odgovornosti potrebno je utvrditi neke osnovne podjele među različitim kategorijama internet stranica i identitetima njihovih korisnika. Naime, dva su puta kojima je moguće širiti govor mržnje. S jedne strane to su samostalne Internet stranice, dok se s druge strane takvi sadržaji šire interaktivnim web servisima, posebno putem blogova, foruma i novinskih portala.</w:t>
      </w:r>
      <w:r w:rsidR="00386CB7" w:rsidRPr="00B830BB">
        <w:rPr>
          <w:rStyle w:val="FootnoteReference"/>
          <w:rFonts w:cs="Arial"/>
          <w:szCs w:val="22"/>
          <w:lang w:val="hr-HR"/>
        </w:rPr>
        <w:footnoteReference w:id="65"/>
      </w:r>
    </w:p>
    <w:p w:rsidR="009A08DB" w:rsidRPr="00B830BB" w:rsidRDefault="009A08DB" w:rsidP="00386CB7">
      <w:pPr>
        <w:spacing w:line="360" w:lineRule="auto"/>
        <w:ind w:firstLine="432"/>
        <w:jc w:val="both"/>
        <w:rPr>
          <w:rFonts w:cs="Arial"/>
          <w:szCs w:val="22"/>
          <w:lang w:val="hr-HR"/>
        </w:rPr>
      </w:pPr>
      <w:r w:rsidRPr="00B830BB">
        <w:rPr>
          <w:rFonts w:cs="Arial"/>
          <w:szCs w:val="22"/>
          <w:lang w:val="hr-HR"/>
        </w:rPr>
        <w:t xml:space="preserve">Nadalje, što se tiče korisnika, osnovno razlikovanje među njima jest upravo ono ranije spomenuto – dakle, razlikovanje između onih čiji je identitet poznat, ili barem može biti utvrđen korištenjem tehničkih dostignuća, i onih koji nastupaju pod plaštom anonimnosti te </w:t>
      </w:r>
      <w:r w:rsidRPr="00B830BB">
        <w:rPr>
          <w:rFonts w:cs="Arial"/>
          <w:szCs w:val="22"/>
          <w:lang w:val="hr-HR"/>
        </w:rPr>
        <w:lastRenderedPageBreak/>
        <w:t>čiji identitet ni u kojem slučaju ne može biti otkriven. Prema tome, u svakoj situaciji u kojoj je identitet počinitelja protupravnog djela poznat, odgovornost je primarno usmjerena na njega te je daljnji slijed postupanja nedvojben i u potpunosti jednak onome kad je djelo počinjeno u fizičkom a ne u virtualnom svijetu. Ova diferencijacija, jasno, vrijedi bez obzira na to je li određena osoba vlasnik i autor sadržaja neinteraktivne internet stranice ili pak samo korisnik koji objavljuje svoje izjave na tuđoj interaktivnoj internet stranici. Upravo zbog ovog nepostojanja spornih aspekata, pitanje poznatih počinitelja neće dalje biti raspravljano već će fokus biti usmjeren na slučajeve u kojima identitet počinitelja nije poznat i ne može biti otkriven, a uz koje se vežu sve glavne nejasnoće ovoga područja.</w:t>
      </w:r>
    </w:p>
    <w:p w:rsidR="00303780" w:rsidRPr="00B830BB" w:rsidRDefault="00303780" w:rsidP="009A08DB">
      <w:pPr>
        <w:spacing w:line="360" w:lineRule="auto"/>
        <w:jc w:val="both"/>
        <w:rPr>
          <w:rFonts w:cs="Arial"/>
          <w:szCs w:val="22"/>
          <w:lang w:val="hr-HR"/>
        </w:rPr>
      </w:pPr>
    </w:p>
    <w:p w:rsidR="009A08DB" w:rsidRPr="00B830BB" w:rsidRDefault="009A08DB" w:rsidP="00303780">
      <w:pPr>
        <w:pStyle w:val="Heading2"/>
        <w:rPr>
          <w:rFonts w:cs="Arial"/>
        </w:rPr>
      </w:pPr>
      <w:bookmarkStart w:id="154" w:name="_Toc386285790"/>
      <w:bookmarkStart w:id="155" w:name="_Toc386498329"/>
      <w:bookmarkStart w:id="156" w:name="_Toc386563074"/>
      <w:bookmarkStart w:id="157" w:name="_Toc386567236"/>
      <w:bookmarkStart w:id="158" w:name="_Toc386619629"/>
      <w:r w:rsidRPr="00B830BB">
        <w:rPr>
          <w:rFonts w:cs="Arial"/>
        </w:rPr>
        <w:t>Odgovornost za izjave trećih</w:t>
      </w:r>
      <w:bookmarkEnd w:id="154"/>
      <w:bookmarkEnd w:id="155"/>
      <w:bookmarkEnd w:id="156"/>
      <w:bookmarkEnd w:id="157"/>
      <w:bookmarkEnd w:id="158"/>
    </w:p>
    <w:p w:rsidR="00303780" w:rsidRPr="00B830BB" w:rsidRDefault="00303780" w:rsidP="00303780">
      <w:pPr>
        <w:pStyle w:val="Heading2"/>
        <w:numPr>
          <w:ilvl w:val="0"/>
          <w:numId w:val="0"/>
        </w:numPr>
        <w:ind w:left="576"/>
        <w:rPr>
          <w:rFonts w:cs="Arial"/>
        </w:rPr>
      </w:pPr>
    </w:p>
    <w:p w:rsidR="009A08DB" w:rsidRPr="00B830BB" w:rsidRDefault="009A08DB" w:rsidP="00921C8B">
      <w:pPr>
        <w:spacing w:line="360" w:lineRule="auto"/>
        <w:ind w:firstLine="576"/>
        <w:jc w:val="both"/>
        <w:rPr>
          <w:rFonts w:cs="Arial"/>
          <w:szCs w:val="22"/>
          <w:lang w:val="hr-HR"/>
        </w:rPr>
      </w:pPr>
      <w:r w:rsidRPr="00B830BB">
        <w:rPr>
          <w:rFonts w:cs="Arial"/>
          <w:szCs w:val="22"/>
          <w:lang w:val="hr-HR"/>
        </w:rPr>
        <w:t xml:space="preserve">U pogledu odgovornosti za sam govor mržnje iznesen od strane anonimnih trećih osoba dostupna </w:t>
      </w:r>
      <w:r w:rsidR="00D41D7C">
        <w:rPr>
          <w:rFonts w:cs="Arial"/>
          <w:szCs w:val="22"/>
          <w:lang w:val="hr-HR"/>
        </w:rPr>
        <w:t xml:space="preserve">sudska </w:t>
      </w:r>
      <w:r w:rsidRPr="00B830BB">
        <w:rPr>
          <w:rFonts w:cs="Arial"/>
          <w:szCs w:val="22"/>
          <w:lang w:val="hr-HR"/>
        </w:rPr>
        <w:t>praksa iznimno je oskudna, no određene tendencije uređenja naziru se kroz institut usmjeravanja odgovornosti</w:t>
      </w:r>
      <w:r w:rsidR="00463A95">
        <w:rPr>
          <w:rFonts w:cs="Arial"/>
          <w:szCs w:val="22"/>
          <w:lang w:val="hr-HR"/>
        </w:rPr>
        <w:t xml:space="preserve"> za sadržaje trećih kojima se p</w:t>
      </w:r>
      <w:r w:rsidRPr="00B830BB">
        <w:rPr>
          <w:rFonts w:cs="Arial"/>
          <w:szCs w:val="22"/>
          <w:lang w:val="hr-HR"/>
        </w:rPr>
        <w:t xml:space="preserve">ovrjeđuju čast i ugled te one kojima se krše autorska prava. Naime, srž odgovornosti jednaka je za sve tri vrste sadržaja te su stoga načela izgrađena glede kaznenih djela protiv časti i ugleda kao i kršenja autorskih prava na internetu analogno primjenjiva i na postupanje u smislu govora mržnje prenesenog istim medijem. Iz tog razloga upravo kroz analizu legislative i sudske prakse vezane uz </w:t>
      </w:r>
      <w:r w:rsidR="009B6542">
        <w:rPr>
          <w:rFonts w:cs="Arial"/>
          <w:szCs w:val="22"/>
          <w:lang w:val="hr-HR"/>
        </w:rPr>
        <w:t xml:space="preserve">kaznena </w:t>
      </w:r>
      <w:r w:rsidRPr="00B830BB">
        <w:rPr>
          <w:rFonts w:cs="Arial"/>
          <w:szCs w:val="22"/>
          <w:lang w:val="hr-HR"/>
        </w:rPr>
        <w:t>djela protiv časti i ugleda i zaštitu autorskih prava razvijene u europskom pravnom krugu</w:t>
      </w:r>
      <w:r w:rsidRPr="00B830BB">
        <w:rPr>
          <w:rFonts w:cs="Arial"/>
          <w:sz w:val="20"/>
          <w:szCs w:val="20"/>
          <w:vertAlign w:val="superscript"/>
          <w:lang w:val="hr-HR"/>
        </w:rPr>
        <w:footnoteReference w:id="66"/>
      </w:r>
      <w:r w:rsidRPr="00B830BB">
        <w:rPr>
          <w:rFonts w:cs="Arial"/>
          <w:szCs w:val="22"/>
          <w:lang w:val="hr-HR"/>
        </w:rPr>
        <w:t xml:space="preserve"> nastojat će se ocrtati recentne tendencije u njihovom reguliranju, a time i u reguliranju govora mržnje.</w:t>
      </w:r>
    </w:p>
    <w:p w:rsidR="00620FF3" w:rsidRPr="00B830BB" w:rsidRDefault="009A08DB" w:rsidP="00620FF3">
      <w:pPr>
        <w:spacing w:line="360" w:lineRule="auto"/>
        <w:ind w:firstLine="576"/>
        <w:jc w:val="both"/>
        <w:rPr>
          <w:rFonts w:cs="Arial"/>
          <w:szCs w:val="22"/>
          <w:lang w:val="hr-HR"/>
        </w:rPr>
      </w:pPr>
      <w:r w:rsidRPr="00B830BB">
        <w:rPr>
          <w:rFonts w:cs="Arial"/>
          <w:szCs w:val="22"/>
          <w:lang w:val="hr-HR"/>
        </w:rPr>
        <w:t>U svrhu spomenute analize potrebno je ponajprije općenito definirati subjekte koji se pojavljuju u vi</w:t>
      </w:r>
      <w:r w:rsidR="00463A95">
        <w:rPr>
          <w:rFonts w:cs="Arial"/>
          <w:szCs w:val="22"/>
          <w:lang w:val="hr-HR"/>
        </w:rPr>
        <w:t>r</w:t>
      </w:r>
      <w:r w:rsidRPr="00B830BB">
        <w:rPr>
          <w:rFonts w:cs="Arial"/>
          <w:szCs w:val="22"/>
          <w:lang w:val="hr-HR"/>
        </w:rPr>
        <w:t xml:space="preserve">tualnom svijetu dok će detaljniji pregled njihovih implikacija biti dat kroz slučajeve iz prakse. Ponajprije, </w:t>
      </w:r>
      <w:r w:rsidRPr="00B830BB">
        <w:rPr>
          <w:rFonts w:cs="Arial"/>
          <w:i/>
          <w:szCs w:val="22"/>
          <w:lang w:val="hr-HR"/>
        </w:rPr>
        <w:t>Internet service provider</w:t>
      </w:r>
      <w:r w:rsidRPr="00B830BB">
        <w:rPr>
          <w:rFonts w:cs="Arial"/>
          <w:szCs w:val="22"/>
          <w:lang w:val="hr-HR"/>
        </w:rPr>
        <w:t xml:space="preserve"> (u daljnjem tekstu: ISP) definira se inače kao </w:t>
      </w:r>
      <w:r w:rsidR="005F2AEF" w:rsidRPr="00B830BB">
        <w:rPr>
          <w:rFonts w:cs="Arial"/>
          <w:szCs w:val="22"/>
          <w:lang w:val="hr-HR"/>
        </w:rPr>
        <w:t xml:space="preserve">posredničko </w:t>
      </w:r>
      <w:r w:rsidRPr="00B830BB">
        <w:rPr>
          <w:rFonts w:cs="Arial"/>
          <w:szCs w:val="22"/>
          <w:lang w:val="hr-HR"/>
        </w:rPr>
        <w:t xml:space="preserve">trgovačko društvo ili organizacija </w:t>
      </w:r>
      <w:r w:rsidR="005F2AEF" w:rsidRPr="00B830BB">
        <w:rPr>
          <w:rFonts w:cs="Arial"/>
          <w:szCs w:val="22"/>
          <w:lang w:val="hr-HR"/>
        </w:rPr>
        <w:t>koja pruža usluge</w:t>
      </w:r>
      <w:r w:rsidRPr="00B830BB">
        <w:rPr>
          <w:rFonts w:cs="Arial"/>
          <w:szCs w:val="22"/>
          <w:lang w:val="hr-HR"/>
        </w:rPr>
        <w:t xml:space="preserve"> i </w:t>
      </w:r>
      <w:r w:rsidR="005F2AEF" w:rsidRPr="00B830BB">
        <w:rPr>
          <w:rFonts w:cs="Arial"/>
          <w:szCs w:val="22"/>
          <w:lang w:val="hr-HR"/>
        </w:rPr>
        <w:t>platforme kojima se ola</w:t>
      </w:r>
      <w:r w:rsidR="001B4BC8">
        <w:rPr>
          <w:rFonts w:cs="Arial"/>
          <w:szCs w:val="22"/>
          <w:lang w:val="hr-HR"/>
        </w:rPr>
        <w:t>k</w:t>
      </w:r>
      <w:r w:rsidR="005F2AEF" w:rsidRPr="00B830BB">
        <w:rPr>
          <w:rFonts w:cs="Arial"/>
          <w:szCs w:val="22"/>
          <w:lang w:val="hr-HR"/>
        </w:rPr>
        <w:t>šava komunikacija putem interneta kao i prenošenje podataka između trećih strana. U opseg njihove djelatnosti spadaju, između ostalog, davanje pristupa internetu, pohrana podataka, prenošenje i indexiranje sadržaja.</w:t>
      </w:r>
      <w:r w:rsidR="00620FF3" w:rsidRPr="00B830BB">
        <w:rPr>
          <w:rFonts w:cs="Arial"/>
          <w:sz w:val="20"/>
          <w:szCs w:val="20"/>
          <w:vertAlign w:val="superscript"/>
          <w:lang w:val="hr-HR"/>
        </w:rPr>
        <w:footnoteReference w:id="67"/>
      </w:r>
      <w:r w:rsidRPr="00B830BB">
        <w:rPr>
          <w:rFonts w:cs="Arial"/>
          <w:sz w:val="24"/>
          <w:lang w:val="hr-HR"/>
        </w:rPr>
        <w:t xml:space="preserve"> O</w:t>
      </w:r>
      <w:r w:rsidRPr="00B830BB">
        <w:rPr>
          <w:rFonts w:cs="Arial"/>
          <w:szCs w:val="22"/>
          <w:lang w:val="hr-HR"/>
        </w:rPr>
        <w:t xml:space="preserve">sim u iznimnim slučajevima, </w:t>
      </w:r>
      <w:r w:rsidR="00DD0094">
        <w:rPr>
          <w:rFonts w:cs="Arial"/>
          <w:szCs w:val="22"/>
          <w:lang w:val="hr-HR"/>
        </w:rPr>
        <w:t>davatelji</w:t>
      </w:r>
      <w:r w:rsidRPr="00B830BB">
        <w:rPr>
          <w:rFonts w:cs="Arial"/>
          <w:szCs w:val="22"/>
          <w:lang w:val="hr-HR"/>
        </w:rPr>
        <w:t xml:space="preserve"> internetskih usluga ne smatraju se odgovornima za nezak</w:t>
      </w:r>
      <w:r w:rsidR="00D260F4" w:rsidRPr="00B830BB">
        <w:rPr>
          <w:rFonts w:cs="Arial"/>
          <w:szCs w:val="22"/>
          <w:lang w:val="hr-HR"/>
        </w:rPr>
        <w:t xml:space="preserve">onite radnje korisnika njihovih </w:t>
      </w:r>
      <w:r w:rsidRPr="00B830BB">
        <w:rPr>
          <w:rFonts w:cs="Arial"/>
          <w:szCs w:val="22"/>
          <w:lang w:val="hr-HR"/>
        </w:rPr>
        <w:t>usluga.</w:t>
      </w:r>
    </w:p>
    <w:p w:rsidR="009A08DB" w:rsidRPr="00B830BB" w:rsidRDefault="009A08DB" w:rsidP="00921C8B">
      <w:pPr>
        <w:spacing w:line="360" w:lineRule="auto"/>
        <w:ind w:firstLine="576"/>
        <w:jc w:val="both"/>
        <w:rPr>
          <w:rFonts w:cs="Arial"/>
          <w:sz w:val="24"/>
          <w:lang w:val="hr-HR"/>
        </w:rPr>
      </w:pPr>
      <w:r w:rsidRPr="00B830BB">
        <w:rPr>
          <w:rFonts w:cs="Arial"/>
          <w:szCs w:val="22"/>
          <w:lang w:val="hr-HR"/>
        </w:rPr>
        <w:lastRenderedPageBreak/>
        <w:t>Najčešći su načini povezivanja s ISP-om putem telefonske linije ili širokopojasne (kabelske ili DSL) veze. Također, mnogi ISP-ovi pružaju dodatne usluge kao što su računi e-pošte, web-preglednici i sl</w:t>
      </w:r>
      <w:r w:rsidR="00AA7B73" w:rsidRPr="00B830BB">
        <w:rPr>
          <w:rFonts w:cs="Arial"/>
          <w:szCs w:val="22"/>
          <w:lang w:val="hr-HR"/>
        </w:rPr>
        <w:t>ično</w:t>
      </w:r>
      <w:r w:rsidRPr="00B830BB">
        <w:rPr>
          <w:rFonts w:cs="Arial"/>
          <w:szCs w:val="22"/>
          <w:lang w:val="hr-HR"/>
        </w:rPr>
        <w:t>. Međutim, mora se razlikovati usluga prijenosa poruka između dvaju ili više osoba (</w:t>
      </w:r>
      <w:r w:rsidRPr="00B830BB">
        <w:rPr>
          <w:rFonts w:cs="Arial"/>
          <w:i/>
          <w:lang w:val="hr-HR"/>
        </w:rPr>
        <w:t>e-mail</w:t>
      </w:r>
      <w:r w:rsidRPr="00B830BB">
        <w:rPr>
          <w:rFonts w:cs="Arial"/>
          <w:szCs w:val="22"/>
          <w:lang w:val="hr-HR"/>
        </w:rPr>
        <w:t>) od postavljanja sadržaja na internetskim stranicama koji će biti dostupni određenom broju posjetitelja</w:t>
      </w:r>
      <w:r w:rsidR="000B7F0F" w:rsidRPr="00B830BB">
        <w:rPr>
          <w:rFonts w:cs="Arial"/>
          <w:szCs w:val="22"/>
          <w:lang w:val="hr-HR"/>
        </w:rPr>
        <w:t>.</w:t>
      </w:r>
      <w:r w:rsidR="000B7F0F" w:rsidRPr="00B830BB">
        <w:rPr>
          <w:rStyle w:val="FootnoteReference"/>
          <w:rFonts w:cs="Arial"/>
          <w:szCs w:val="22"/>
          <w:lang w:val="hr-HR"/>
        </w:rPr>
        <w:footnoteReference w:id="68"/>
      </w:r>
      <w:r w:rsidR="000B7F0F" w:rsidRPr="00B830BB">
        <w:rPr>
          <w:rFonts w:cs="Arial"/>
          <w:szCs w:val="22"/>
          <w:lang w:val="hr-HR"/>
        </w:rPr>
        <w:t xml:space="preserve"> </w:t>
      </w:r>
      <w:r w:rsidRPr="00B830BB">
        <w:rPr>
          <w:rFonts w:cs="Arial"/>
          <w:szCs w:val="22"/>
          <w:lang w:val="hr-HR"/>
        </w:rPr>
        <w:t>Ne umanjujući time važnost prvoga, težište ovog izlaganja ipak će biti na drugom navedenom – dakle, na objavljivanju nedozvoljenih sadržaja od strane korisnika.</w:t>
      </w:r>
    </w:p>
    <w:p w:rsidR="009A08DB" w:rsidRPr="00B830BB" w:rsidRDefault="009A08DB" w:rsidP="00921C8B">
      <w:pPr>
        <w:spacing w:line="360" w:lineRule="auto"/>
        <w:ind w:firstLine="576"/>
        <w:jc w:val="both"/>
        <w:rPr>
          <w:rFonts w:cs="Arial"/>
          <w:szCs w:val="22"/>
          <w:lang w:val="hr-HR"/>
        </w:rPr>
      </w:pPr>
      <w:r w:rsidRPr="00B830BB">
        <w:rPr>
          <w:rFonts w:cs="Arial"/>
          <w:szCs w:val="22"/>
          <w:lang w:val="hr-HR"/>
        </w:rPr>
        <w:t xml:space="preserve">S druge pak strane stoje subjekti koji na internetu objavljuju sadržaje dostupne drugim korisnicima (eng. </w:t>
      </w:r>
      <w:r w:rsidRPr="00B830BB">
        <w:rPr>
          <w:rFonts w:cs="Arial"/>
          <w:i/>
          <w:lang w:val="hr-HR"/>
        </w:rPr>
        <w:t>content provider</w:t>
      </w:r>
      <w:r w:rsidRPr="00B830BB">
        <w:rPr>
          <w:rFonts w:cs="Arial"/>
          <w:szCs w:val="22"/>
          <w:lang w:val="hr-HR"/>
        </w:rPr>
        <w:t xml:space="preserve">) i oni se uvijek smatraju primarnim nositeljima odgovornosti za sadržaje koje objavljuju. Shodno tome, sadržaji postavljeni od strane korisnika nazivaju se prema uvriježenoj eng. inačici </w:t>
      </w:r>
      <w:r w:rsidRPr="001B4BC8">
        <w:rPr>
          <w:i/>
          <w:lang w:val="hr-HR"/>
        </w:rPr>
        <w:t>user generated content</w:t>
      </w:r>
      <w:r w:rsidRPr="00B830BB">
        <w:rPr>
          <w:rFonts w:cs="Arial"/>
          <w:szCs w:val="22"/>
          <w:lang w:val="hr-HR"/>
        </w:rPr>
        <w:t xml:space="preserve">. </w:t>
      </w:r>
    </w:p>
    <w:p w:rsidR="009A08DB" w:rsidRPr="00B830BB" w:rsidRDefault="009A08DB" w:rsidP="00303780">
      <w:pPr>
        <w:pStyle w:val="Heading3"/>
      </w:pPr>
      <w:bookmarkStart w:id="159" w:name="_Toc386285791"/>
      <w:bookmarkStart w:id="160" w:name="_Toc386498330"/>
      <w:bookmarkStart w:id="161" w:name="_Toc386563075"/>
      <w:bookmarkStart w:id="162" w:name="_Toc386567237"/>
      <w:bookmarkStart w:id="163" w:name="_Toc386619630"/>
      <w:r w:rsidRPr="00B830BB">
        <w:t>Regulacija i izazovi usmjerenja odgovornosti na posrednika</w:t>
      </w:r>
      <w:bookmarkEnd w:id="159"/>
      <w:bookmarkEnd w:id="160"/>
      <w:bookmarkEnd w:id="161"/>
      <w:bookmarkEnd w:id="162"/>
      <w:bookmarkEnd w:id="163"/>
    </w:p>
    <w:p w:rsidR="00303780" w:rsidRPr="00B830BB" w:rsidRDefault="00303780" w:rsidP="00303780">
      <w:pPr>
        <w:pStyle w:val="Heading2"/>
        <w:numPr>
          <w:ilvl w:val="0"/>
          <w:numId w:val="0"/>
        </w:numPr>
        <w:ind w:left="576"/>
        <w:rPr>
          <w:rFonts w:cs="Arial"/>
        </w:rPr>
      </w:pPr>
    </w:p>
    <w:p w:rsidR="009A08DB" w:rsidRPr="00B830BB" w:rsidRDefault="009A08DB" w:rsidP="00921C8B">
      <w:pPr>
        <w:spacing w:line="360" w:lineRule="auto"/>
        <w:ind w:firstLine="708"/>
        <w:jc w:val="both"/>
        <w:rPr>
          <w:rFonts w:cs="Arial"/>
          <w:szCs w:val="22"/>
          <w:lang w:val="hr-HR"/>
        </w:rPr>
      </w:pPr>
      <w:r w:rsidRPr="00B830BB">
        <w:rPr>
          <w:rFonts w:cs="Arial"/>
          <w:szCs w:val="22"/>
          <w:lang w:val="hr-HR"/>
        </w:rPr>
        <w:t>Nastavno na izneseno razlikovanje aktera u virtualnom okruženju, nužno je spomenuti pojam davatelja usluga informacijskog društva, a koji je hrvatska verzija</w:t>
      </w:r>
      <w:r w:rsidR="00B54B8F">
        <w:rPr>
          <w:rFonts w:cs="Arial"/>
          <w:szCs w:val="22"/>
          <w:lang w:val="hr-HR"/>
        </w:rPr>
        <w:t xml:space="preserve"> ISP-a</w:t>
      </w:r>
      <w:r w:rsidRPr="00B830BB">
        <w:rPr>
          <w:rFonts w:cs="Arial"/>
          <w:szCs w:val="22"/>
          <w:lang w:val="hr-HR"/>
        </w:rPr>
        <w:t>, određena Zakonom o elektroničkoj trgovini.</w:t>
      </w:r>
      <w:r w:rsidRPr="00B830BB">
        <w:rPr>
          <w:rFonts w:cs="Arial"/>
          <w:sz w:val="20"/>
          <w:szCs w:val="20"/>
          <w:vertAlign w:val="superscript"/>
          <w:lang w:val="hr-HR"/>
        </w:rPr>
        <w:footnoteReference w:id="69"/>
      </w:r>
      <w:r w:rsidRPr="00B830BB">
        <w:rPr>
          <w:rFonts w:cs="Arial"/>
          <w:szCs w:val="22"/>
          <w:lang w:val="hr-HR"/>
        </w:rPr>
        <w:t xml:space="preserve"> Naime, tumačenjem odredaba ZET-a kojima se definira pojam usluge informacijskog društva</w:t>
      </w:r>
      <w:r w:rsidRPr="00B830BB">
        <w:rPr>
          <w:rFonts w:cs="Arial"/>
          <w:sz w:val="20"/>
          <w:szCs w:val="20"/>
          <w:vertAlign w:val="superscript"/>
          <w:lang w:val="hr-HR"/>
        </w:rPr>
        <w:footnoteReference w:id="70"/>
      </w:r>
      <w:r w:rsidRPr="00B830BB">
        <w:rPr>
          <w:rFonts w:cs="Arial"/>
          <w:szCs w:val="22"/>
          <w:lang w:val="hr-HR"/>
        </w:rPr>
        <w:t xml:space="preserve"> i pojam samog davatelja</w:t>
      </w:r>
      <w:r w:rsidRPr="00B830BB">
        <w:rPr>
          <w:rFonts w:cs="Arial"/>
          <w:sz w:val="20"/>
          <w:szCs w:val="20"/>
          <w:vertAlign w:val="superscript"/>
          <w:lang w:val="hr-HR"/>
        </w:rPr>
        <w:footnoteReference w:id="71"/>
      </w:r>
      <w:r w:rsidRPr="00B830BB">
        <w:rPr>
          <w:rFonts w:cs="Arial"/>
          <w:szCs w:val="22"/>
          <w:lang w:val="hr-HR"/>
        </w:rPr>
        <w:t xml:space="preserve"> proizlazi da bi davateljem usluga informacijskog društva trebalo smatrati osobu koja pruža neku od usluga informacijskog društva, a to je jedna od usluga koje se, uz naknadu, pružaju elektroničkim putem na individualni zahtjev korisnika, a posebno internetska prodaja robe i usluga, nuđenje podataka na internetu, reklamiranje internetom, elektronički pretraživači te mogućnost traženja podataka i usluga koje se prenose elektroničkom mrežom, posreduju u pristupu mreži ili pohranjuju podatke korisnika. Glede pitanja „naknade“ za usluge, interpretacijom pomoćnih odredbi uz Direktivu te presudama </w:t>
      </w:r>
      <w:r w:rsidR="00DD0094">
        <w:rPr>
          <w:rFonts w:cs="Arial"/>
          <w:szCs w:val="22"/>
          <w:lang w:val="hr-HR"/>
        </w:rPr>
        <w:t>Europskog suda pravde</w:t>
      </w:r>
      <w:r w:rsidRPr="00B830BB">
        <w:rPr>
          <w:rFonts w:cs="Arial"/>
          <w:szCs w:val="22"/>
          <w:lang w:val="hr-HR"/>
        </w:rPr>
        <w:t xml:space="preserve"> došlo se do zaključka da to postojanje naknade ne podrazumijeva nužno da primatelj usluge, tj. korisnik mora sam plaćati naknadu za korištenje usluge već je moguće da usluga za njega bude besplatna, a njezino davanje u cijelosti ili djelomično financiraju treće osobe, kao što su to npr. oglašivači.</w:t>
      </w:r>
      <w:r w:rsidRPr="00B830BB">
        <w:rPr>
          <w:rFonts w:cs="Arial"/>
          <w:sz w:val="20"/>
          <w:szCs w:val="20"/>
          <w:vertAlign w:val="superscript"/>
          <w:lang w:val="hr-HR"/>
        </w:rPr>
        <w:footnoteReference w:id="72"/>
      </w:r>
      <w:r w:rsidR="00DD0094">
        <w:rPr>
          <w:rFonts w:cs="Arial"/>
          <w:szCs w:val="22"/>
          <w:lang w:val="hr-HR"/>
        </w:rPr>
        <w:t xml:space="preserve"> Treba </w:t>
      </w:r>
      <w:r w:rsidRPr="00B830BB">
        <w:rPr>
          <w:rFonts w:cs="Arial"/>
          <w:szCs w:val="22"/>
          <w:lang w:val="hr-HR"/>
        </w:rPr>
        <w:t xml:space="preserve">napomenuti da je ZET-om u stvari implementirana u nacionalno </w:t>
      </w:r>
      <w:r w:rsidRPr="00B830BB">
        <w:rPr>
          <w:rFonts w:cs="Arial"/>
          <w:szCs w:val="22"/>
          <w:lang w:val="hr-HR"/>
        </w:rPr>
        <w:lastRenderedPageBreak/>
        <w:t>zakonodavstvo Direktiva EU o elektroničkoj trgovini</w:t>
      </w:r>
      <w:r w:rsidRPr="00B830BB">
        <w:rPr>
          <w:rFonts w:cs="Arial"/>
          <w:sz w:val="20"/>
          <w:szCs w:val="20"/>
          <w:vertAlign w:val="superscript"/>
          <w:lang w:val="hr-HR"/>
        </w:rPr>
        <w:footnoteReference w:id="73"/>
      </w:r>
      <w:r w:rsidRPr="00B830BB">
        <w:rPr>
          <w:rFonts w:cs="Arial"/>
          <w:sz w:val="20"/>
          <w:szCs w:val="20"/>
          <w:vertAlign w:val="superscript"/>
          <w:lang w:val="hr-HR"/>
        </w:rPr>
        <w:t xml:space="preserve"> </w:t>
      </w:r>
      <w:r w:rsidRPr="00B830BB">
        <w:rPr>
          <w:rFonts w:cs="Arial"/>
          <w:szCs w:val="22"/>
          <w:lang w:val="hr-HR"/>
        </w:rPr>
        <w:t>te da je ovakva definicija istovjetna onoj koja je predviđena u samoj Direktivi.</w:t>
      </w:r>
      <w:r w:rsidRPr="00B830BB">
        <w:rPr>
          <w:rFonts w:cs="Arial"/>
          <w:sz w:val="20"/>
          <w:szCs w:val="20"/>
          <w:vertAlign w:val="superscript"/>
          <w:lang w:val="hr-HR"/>
        </w:rPr>
        <w:footnoteReference w:id="74"/>
      </w:r>
    </w:p>
    <w:p w:rsidR="009A08DB" w:rsidRPr="00B830BB" w:rsidRDefault="009A08DB" w:rsidP="00921C8B">
      <w:pPr>
        <w:spacing w:line="360" w:lineRule="auto"/>
        <w:ind w:firstLine="708"/>
        <w:jc w:val="both"/>
        <w:rPr>
          <w:rFonts w:cs="Arial"/>
          <w:szCs w:val="22"/>
          <w:lang w:val="hr-HR"/>
        </w:rPr>
      </w:pPr>
      <w:r w:rsidRPr="00B830BB">
        <w:rPr>
          <w:rFonts w:cs="Arial"/>
          <w:szCs w:val="22"/>
          <w:lang w:val="hr-HR"/>
        </w:rPr>
        <w:t xml:space="preserve">Važnost davatelja usluga informacijskog društva odnosno ISP-a jest u tome što je on onaj koji se u određenim slučajevima smatra supsidijarno odgovornim </w:t>
      </w:r>
      <w:r w:rsidR="005A139E" w:rsidRPr="00B830BB">
        <w:rPr>
          <w:rFonts w:cs="Arial"/>
          <w:szCs w:val="22"/>
          <w:lang w:val="hr-HR"/>
        </w:rPr>
        <w:t xml:space="preserve">u slučajevima </w:t>
      </w:r>
      <w:r w:rsidRPr="00B830BB">
        <w:rPr>
          <w:rFonts w:cs="Arial"/>
          <w:szCs w:val="22"/>
          <w:lang w:val="hr-HR"/>
        </w:rPr>
        <w:t>kada zbog nemogućnosti njenog pronalaska izostane mogućnost pripisivanja odgovornosti primarno odgovornoj osobi – naime, samom objavitelju sadržaja. Razlog tome jest činjenica da treće anonimne osobe nedozvoljene sadržaje zapravo objavlju</w:t>
      </w:r>
      <w:r w:rsidR="00463A95">
        <w:rPr>
          <w:rFonts w:cs="Arial"/>
          <w:szCs w:val="22"/>
          <w:lang w:val="hr-HR"/>
        </w:rPr>
        <w:t>ju</w:t>
      </w:r>
      <w:r w:rsidRPr="00B830BB">
        <w:rPr>
          <w:rFonts w:cs="Arial"/>
          <w:szCs w:val="22"/>
          <w:lang w:val="hr-HR"/>
        </w:rPr>
        <w:t xml:space="preserve"> uz posredovanje davatelja usluga informacijskog društva odnosno ISP-a.</w:t>
      </w:r>
    </w:p>
    <w:p w:rsidR="009A08DB" w:rsidRPr="00B830BB" w:rsidRDefault="009A08DB" w:rsidP="00921C8B">
      <w:pPr>
        <w:spacing w:line="360" w:lineRule="auto"/>
        <w:ind w:firstLine="708"/>
        <w:jc w:val="both"/>
        <w:rPr>
          <w:rFonts w:cs="Arial"/>
          <w:szCs w:val="22"/>
          <w:lang w:val="hr-HR"/>
        </w:rPr>
      </w:pPr>
      <w:r w:rsidRPr="00B830BB">
        <w:rPr>
          <w:rFonts w:cs="Arial"/>
          <w:szCs w:val="22"/>
          <w:lang w:val="hr-HR"/>
        </w:rPr>
        <w:t>Kako je već ranije spomenuto, davatelj usluga informacijskog društva načelno nije odgovoran za takve sadržaje trećih. Ipak, kako bi se, s jedne strane, potaknulo korištenje usluga informacijskog društva i tržišno natjecanje u tom području, a time i dalo doprinos daljnjem razvoju unutarnjeg tržišta te, s druge strane, osigurala mogućnost utvrđivanja i  sankcioniranja nedopuštenih radnji u vezi s korištenjem tih usluga, u Direktivi o elektroničkoj t</w:t>
      </w:r>
      <w:r w:rsidR="006948C4" w:rsidRPr="00B830BB">
        <w:rPr>
          <w:rFonts w:cs="Arial"/>
          <w:szCs w:val="22"/>
          <w:lang w:val="hr-HR"/>
        </w:rPr>
        <w:t>r</w:t>
      </w:r>
      <w:r w:rsidRPr="00B830BB">
        <w:rPr>
          <w:rFonts w:cs="Arial"/>
          <w:szCs w:val="22"/>
          <w:lang w:val="hr-HR"/>
        </w:rPr>
        <w:t>govini (a sukladno s time i u ZET-u) propisuju se posebne odgovornosti i prava davatelja tih usluga.</w:t>
      </w:r>
      <w:r w:rsidRPr="00B830BB">
        <w:rPr>
          <w:rFonts w:cs="Arial"/>
          <w:sz w:val="20"/>
          <w:szCs w:val="20"/>
          <w:vertAlign w:val="superscript"/>
          <w:lang w:val="hr-HR"/>
        </w:rPr>
        <w:footnoteReference w:id="75"/>
      </w:r>
      <w:r w:rsidRPr="00B830BB">
        <w:rPr>
          <w:rFonts w:cs="Arial"/>
          <w:szCs w:val="22"/>
          <w:lang w:val="hr-HR"/>
        </w:rPr>
        <w:t xml:space="preserve"> </w:t>
      </w:r>
    </w:p>
    <w:p w:rsidR="009A08DB" w:rsidRPr="00B830BB" w:rsidRDefault="009A08DB" w:rsidP="00921C8B">
      <w:pPr>
        <w:spacing w:line="360" w:lineRule="auto"/>
        <w:ind w:firstLine="708"/>
        <w:jc w:val="both"/>
        <w:rPr>
          <w:rFonts w:cs="Arial"/>
          <w:szCs w:val="22"/>
          <w:lang w:val="hr-HR"/>
        </w:rPr>
      </w:pPr>
      <w:r w:rsidRPr="00B830BB">
        <w:rPr>
          <w:rFonts w:cs="Arial"/>
          <w:szCs w:val="22"/>
          <w:lang w:val="hr-HR"/>
        </w:rPr>
        <w:t>Odgovornost davatelja usluga informacijskog društva regulirana je čl</w:t>
      </w:r>
      <w:r w:rsidR="006948C4" w:rsidRPr="00B830BB">
        <w:rPr>
          <w:rFonts w:cs="Arial"/>
          <w:szCs w:val="22"/>
          <w:lang w:val="hr-HR"/>
        </w:rPr>
        <w:t>ancima</w:t>
      </w:r>
      <w:r w:rsidRPr="00B830BB">
        <w:rPr>
          <w:rFonts w:cs="Arial"/>
          <w:szCs w:val="22"/>
          <w:lang w:val="hr-HR"/>
        </w:rPr>
        <w:t xml:space="preserve"> 12</w:t>
      </w:r>
      <w:r w:rsidR="006948C4" w:rsidRPr="00B830BB">
        <w:rPr>
          <w:rFonts w:cs="Arial"/>
          <w:szCs w:val="22"/>
          <w:lang w:val="hr-HR"/>
        </w:rPr>
        <w:t>.</w:t>
      </w:r>
      <w:r w:rsidRPr="00B830BB">
        <w:rPr>
          <w:rFonts w:cs="Arial"/>
          <w:szCs w:val="22"/>
          <w:lang w:val="hr-HR"/>
        </w:rPr>
        <w:t>-15. Direktive E</w:t>
      </w:r>
      <w:r w:rsidR="006948C4" w:rsidRPr="00B830BB">
        <w:rPr>
          <w:rFonts w:cs="Arial"/>
          <w:szCs w:val="22"/>
          <w:lang w:val="hr-HR"/>
        </w:rPr>
        <w:t xml:space="preserve">uropske </w:t>
      </w:r>
      <w:r w:rsidRPr="00B830BB">
        <w:rPr>
          <w:rFonts w:cs="Arial"/>
          <w:szCs w:val="22"/>
          <w:lang w:val="hr-HR"/>
        </w:rPr>
        <w:t>U</w:t>
      </w:r>
      <w:r w:rsidR="006948C4" w:rsidRPr="00B830BB">
        <w:rPr>
          <w:rFonts w:cs="Arial"/>
          <w:szCs w:val="22"/>
          <w:lang w:val="hr-HR"/>
        </w:rPr>
        <w:t>nije</w:t>
      </w:r>
      <w:r w:rsidRPr="00B830BB">
        <w:rPr>
          <w:rFonts w:cs="Arial"/>
          <w:szCs w:val="22"/>
          <w:lang w:val="hr-HR"/>
        </w:rPr>
        <w:t xml:space="preserve"> o elektroničkoj trgovini</w:t>
      </w:r>
      <w:r w:rsidRPr="00B830BB">
        <w:rPr>
          <w:rFonts w:cs="Arial"/>
          <w:sz w:val="20"/>
          <w:szCs w:val="20"/>
          <w:vertAlign w:val="superscript"/>
          <w:lang w:val="hr-HR"/>
        </w:rPr>
        <w:footnoteReference w:id="76"/>
      </w:r>
      <w:r w:rsidRPr="00B830BB">
        <w:rPr>
          <w:rFonts w:cs="Arial"/>
          <w:sz w:val="20"/>
          <w:szCs w:val="20"/>
          <w:vertAlign w:val="superscript"/>
          <w:lang w:val="hr-HR"/>
        </w:rPr>
        <w:t xml:space="preserve"> </w:t>
      </w:r>
      <w:r w:rsidRPr="00B830BB">
        <w:rPr>
          <w:rFonts w:cs="Arial"/>
          <w:szCs w:val="22"/>
          <w:lang w:val="hr-HR"/>
        </w:rPr>
        <w:t>kojima odgovaraju članci 16</w:t>
      </w:r>
      <w:r w:rsidR="006948C4" w:rsidRPr="00B830BB">
        <w:rPr>
          <w:rFonts w:cs="Arial"/>
          <w:szCs w:val="22"/>
          <w:lang w:val="hr-HR"/>
        </w:rPr>
        <w:t>.</w:t>
      </w:r>
      <w:r w:rsidRPr="00B830BB">
        <w:rPr>
          <w:rFonts w:cs="Arial"/>
          <w:szCs w:val="22"/>
          <w:lang w:val="hr-HR"/>
        </w:rPr>
        <w:t>-18., kao i čl. 21., 22.a i 22.b ZET-a. Tako je, kao osnovno pravilo regulacije, u čl. 21. st. 1. ZET-a propisano oslobođenje od obveze nadziranja podataka koji se prenose:</w:t>
      </w:r>
    </w:p>
    <w:p w:rsidR="009A08DB" w:rsidRPr="00B830BB" w:rsidRDefault="009A08DB" w:rsidP="00303780">
      <w:pPr>
        <w:spacing w:line="360" w:lineRule="auto"/>
        <w:jc w:val="both"/>
        <w:rPr>
          <w:rFonts w:cs="Arial"/>
          <w:szCs w:val="22"/>
          <w:lang w:val="hr-HR"/>
        </w:rPr>
      </w:pPr>
      <w:r w:rsidRPr="00B830BB">
        <w:rPr>
          <w:rFonts w:cs="Arial"/>
          <w:szCs w:val="22"/>
          <w:lang w:val="hr-HR"/>
        </w:rPr>
        <w:t>„Prilikom pružanja usluge informacijskog društva davatelj usluga nije obvezan pregledavati podatke koje je pohranio, prenio ili učinio dostupnima, odnosno ispitivati okolnosti koje bi upućivale na nedopušteno djelovanje korisnika.“</w:t>
      </w:r>
    </w:p>
    <w:p w:rsidR="009A08DB" w:rsidRPr="00B830BB" w:rsidRDefault="009A08DB" w:rsidP="00B54B8F">
      <w:pPr>
        <w:spacing w:line="360" w:lineRule="auto"/>
        <w:ind w:firstLine="708"/>
        <w:jc w:val="both"/>
        <w:rPr>
          <w:rFonts w:cs="Arial"/>
          <w:szCs w:val="22"/>
          <w:lang w:val="hr-HR"/>
        </w:rPr>
      </w:pPr>
      <w:r w:rsidRPr="00B830BB">
        <w:rPr>
          <w:rFonts w:cs="Arial"/>
          <w:szCs w:val="22"/>
          <w:lang w:val="hr-HR"/>
        </w:rPr>
        <w:t>U izvješću o ocjeni provedbe Direktive potvrđuje se važnost ovakve odredbe, budući da je u praksi opće praćenje skoro nemoguće provesti, a i svaki eventualni pokušaj uzrokovao bi nerazmjerna opterećenja i troškove kako za posrednike tako i za kra</w:t>
      </w:r>
      <w:r w:rsidR="00463A95">
        <w:rPr>
          <w:rFonts w:cs="Arial"/>
          <w:szCs w:val="22"/>
          <w:lang w:val="hr-HR"/>
        </w:rPr>
        <w:t xml:space="preserve">jnje </w:t>
      </w:r>
      <w:r w:rsidR="00463A95">
        <w:rPr>
          <w:rFonts w:cs="Arial"/>
          <w:szCs w:val="22"/>
          <w:lang w:val="hr-HR"/>
        </w:rPr>
        <w:lastRenderedPageBreak/>
        <w:t>korisnike, koji bi kroz ne</w:t>
      </w:r>
      <w:r w:rsidRPr="00B830BB">
        <w:rPr>
          <w:rFonts w:cs="Arial"/>
          <w:szCs w:val="22"/>
          <w:lang w:val="hr-HR"/>
        </w:rPr>
        <w:t>minovno povećanje cijena usluga neizravno snosili barem dio tih troškova.</w:t>
      </w:r>
      <w:r w:rsidRPr="00B830BB">
        <w:rPr>
          <w:rFonts w:cs="Arial"/>
          <w:sz w:val="20"/>
          <w:szCs w:val="20"/>
          <w:vertAlign w:val="superscript"/>
          <w:lang w:val="hr-HR"/>
        </w:rPr>
        <w:footnoteReference w:id="77"/>
      </w:r>
    </w:p>
    <w:p w:rsidR="009A08DB" w:rsidRPr="00B830BB" w:rsidRDefault="009A08DB" w:rsidP="00B54B8F">
      <w:pPr>
        <w:spacing w:line="360" w:lineRule="auto"/>
        <w:ind w:firstLine="708"/>
        <w:jc w:val="both"/>
        <w:rPr>
          <w:rFonts w:cs="Arial"/>
          <w:szCs w:val="22"/>
          <w:lang w:val="hr-HR"/>
        </w:rPr>
      </w:pPr>
      <w:r w:rsidRPr="00B830BB">
        <w:rPr>
          <w:rFonts w:cs="Arial"/>
          <w:szCs w:val="22"/>
          <w:lang w:val="hr-HR"/>
        </w:rPr>
        <w:t>Vezano uz to, važno je napomenuti da iako je Direktivom državama članicama zabranjeno da ISP-u nametnu opće obveze praćenja, nije im zabranjeno da odrede neke specifične obveze praćenja (47. Uvodne odredbe - Recital</w:t>
      </w:r>
      <w:r w:rsidRPr="00B830BB">
        <w:rPr>
          <w:rFonts w:cs="Arial"/>
          <w:sz w:val="20"/>
          <w:szCs w:val="20"/>
          <w:vertAlign w:val="superscript"/>
          <w:lang w:val="hr-HR"/>
        </w:rPr>
        <w:footnoteReference w:id="78"/>
      </w:r>
      <w:r w:rsidRPr="00B830BB">
        <w:rPr>
          <w:rFonts w:cs="Arial"/>
          <w:szCs w:val="22"/>
          <w:lang w:val="hr-HR"/>
        </w:rPr>
        <w:t>). Nažalost definiranje pojma specifičnog praćenja nije jasno određeno pa prema tome u hrvatskom zakonu takvoj specifičnoj obvezi nema ni spomena.</w:t>
      </w:r>
      <w:r w:rsidRPr="00B830BB">
        <w:rPr>
          <w:rFonts w:cs="Arial"/>
          <w:sz w:val="20"/>
          <w:szCs w:val="20"/>
          <w:vertAlign w:val="superscript"/>
          <w:lang w:val="hr-HR"/>
        </w:rPr>
        <w:footnoteReference w:id="79"/>
      </w:r>
    </w:p>
    <w:p w:rsidR="009A08DB" w:rsidRPr="00B830BB" w:rsidRDefault="009A08DB" w:rsidP="00B54B8F">
      <w:pPr>
        <w:spacing w:line="360" w:lineRule="auto"/>
        <w:ind w:firstLine="360"/>
        <w:jc w:val="both"/>
        <w:rPr>
          <w:rFonts w:cs="Arial"/>
          <w:szCs w:val="22"/>
          <w:lang w:val="hr-HR"/>
        </w:rPr>
      </w:pPr>
      <w:r w:rsidRPr="00B830BB">
        <w:rPr>
          <w:rFonts w:cs="Arial"/>
          <w:szCs w:val="22"/>
          <w:lang w:val="hr-HR"/>
        </w:rPr>
        <w:t>Nadalje,  čl. 16. ZET-a određeno je da davatelj usluga informacijskog društva koji prenosi elektroničke poruke koje mu je predao korisnik usluga nije odgovoran za sadržaj poslane poruke i njezino upućivanje, i to pod sljedećim uvjetima:</w:t>
      </w:r>
    </w:p>
    <w:p w:rsidR="009A08DB" w:rsidRPr="00B830BB" w:rsidRDefault="009A08DB" w:rsidP="006A1867">
      <w:pPr>
        <w:pStyle w:val="ListParagraph"/>
        <w:numPr>
          <w:ilvl w:val="0"/>
          <w:numId w:val="12"/>
        </w:numPr>
        <w:spacing w:line="360" w:lineRule="auto"/>
        <w:jc w:val="both"/>
        <w:rPr>
          <w:rFonts w:cs="Arial"/>
          <w:szCs w:val="22"/>
          <w:lang w:val="hr-HR"/>
        </w:rPr>
      </w:pPr>
      <w:r w:rsidRPr="00B830BB">
        <w:rPr>
          <w:rFonts w:cs="Arial"/>
          <w:szCs w:val="22"/>
          <w:lang w:val="hr-HR"/>
        </w:rPr>
        <w:t>da nije inicirao prijenos,</w:t>
      </w:r>
    </w:p>
    <w:p w:rsidR="009A08DB" w:rsidRPr="00B830BB" w:rsidRDefault="009A08DB" w:rsidP="006A1867">
      <w:pPr>
        <w:pStyle w:val="ListParagraph"/>
        <w:numPr>
          <w:ilvl w:val="0"/>
          <w:numId w:val="12"/>
        </w:numPr>
        <w:spacing w:line="360" w:lineRule="auto"/>
        <w:jc w:val="both"/>
        <w:rPr>
          <w:rFonts w:cs="Arial"/>
          <w:szCs w:val="22"/>
          <w:lang w:val="hr-HR"/>
        </w:rPr>
      </w:pPr>
      <w:r w:rsidRPr="00B830BB">
        <w:rPr>
          <w:rFonts w:cs="Arial"/>
          <w:szCs w:val="22"/>
          <w:lang w:val="hr-HR"/>
        </w:rPr>
        <w:t>da nije odabrao podatke ili dokumente koji su predmet prijenosa,</w:t>
      </w:r>
    </w:p>
    <w:p w:rsidR="009A08DB" w:rsidRPr="00B830BB" w:rsidRDefault="009A08DB" w:rsidP="006A1867">
      <w:pPr>
        <w:pStyle w:val="ListParagraph"/>
        <w:numPr>
          <w:ilvl w:val="0"/>
          <w:numId w:val="12"/>
        </w:numPr>
        <w:spacing w:line="360" w:lineRule="auto"/>
        <w:jc w:val="both"/>
        <w:rPr>
          <w:rFonts w:cs="Arial"/>
          <w:szCs w:val="22"/>
          <w:lang w:val="hr-HR"/>
        </w:rPr>
      </w:pPr>
      <w:r w:rsidRPr="00B830BB">
        <w:rPr>
          <w:rFonts w:cs="Arial"/>
          <w:szCs w:val="22"/>
          <w:lang w:val="hr-HR"/>
        </w:rPr>
        <w:t>da nije izuzeo ili preinačio podatke u sadržaju poruka ili dokumenata,</w:t>
      </w:r>
    </w:p>
    <w:p w:rsidR="009A08DB" w:rsidRPr="00B830BB" w:rsidRDefault="009A08DB" w:rsidP="006A1867">
      <w:pPr>
        <w:pStyle w:val="ListParagraph"/>
        <w:numPr>
          <w:ilvl w:val="0"/>
          <w:numId w:val="12"/>
        </w:numPr>
        <w:spacing w:line="360" w:lineRule="auto"/>
        <w:jc w:val="both"/>
        <w:rPr>
          <w:rFonts w:cs="Arial"/>
          <w:szCs w:val="22"/>
          <w:lang w:val="hr-HR"/>
        </w:rPr>
      </w:pPr>
      <w:r w:rsidRPr="00B830BB">
        <w:rPr>
          <w:rFonts w:cs="Arial"/>
          <w:szCs w:val="22"/>
          <w:lang w:val="hr-HR"/>
        </w:rPr>
        <w:t>da nije odabrao korisnika prijenosa.</w:t>
      </w:r>
    </w:p>
    <w:p w:rsidR="009A08DB" w:rsidRPr="00B830BB" w:rsidRDefault="009A08DB" w:rsidP="006A7522">
      <w:pPr>
        <w:spacing w:line="360" w:lineRule="auto"/>
        <w:ind w:firstLine="360"/>
        <w:jc w:val="both"/>
        <w:rPr>
          <w:rFonts w:cs="Arial"/>
          <w:lang w:val="hr-HR"/>
        </w:rPr>
      </w:pPr>
      <w:r w:rsidRPr="00B830BB">
        <w:rPr>
          <w:rFonts w:cs="Arial"/>
          <w:szCs w:val="22"/>
          <w:lang w:val="hr-HR"/>
        </w:rPr>
        <w:t>Prijenos poruka i pružanje pristupa mora biti obavljen tako da omogućuje automatsku, posredničku i prolazno-privremenu pohranu prenesenih poruka i u njima sadržanih podataka, te moraju biti privremeno pohranjene samo u razdoblju koje je potrebno za prijenos.</w:t>
      </w:r>
    </w:p>
    <w:p w:rsidR="009A08DB" w:rsidRPr="00B830BB" w:rsidRDefault="009A08DB" w:rsidP="006A7522">
      <w:pPr>
        <w:spacing w:line="360" w:lineRule="auto"/>
        <w:ind w:firstLine="360"/>
        <w:jc w:val="both"/>
        <w:rPr>
          <w:rFonts w:cs="Arial"/>
          <w:szCs w:val="22"/>
          <w:lang w:val="hr-HR"/>
        </w:rPr>
      </w:pPr>
      <w:r w:rsidRPr="00B830BB">
        <w:rPr>
          <w:rFonts w:cs="Arial"/>
          <w:szCs w:val="22"/>
          <w:lang w:val="hr-HR"/>
        </w:rPr>
        <w:t>To se pravilo odnosi i na čisti prijenos elektroničkih poruka (</w:t>
      </w:r>
      <w:r w:rsidRPr="00B54B8F">
        <w:rPr>
          <w:rFonts w:cs="Arial"/>
          <w:i/>
          <w:szCs w:val="22"/>
          <w:lang w:val="hr-HR"/>
        </w:rPr>
        <w:t>e-mail</w:t>
      </w:r>
      <w:r w:rsidRPr="00B830BB">
        <w:rPr>
          <w:rFonts w:cs="Arial"/>
          <w:szCs w:val="22"/>
          <w:lang w:val="hr-HR"/>
        </w:rPr>
        <w:t xml:space="preserve">), ali i na sadržaje postavljene na webu putem ISP-a. Ovakva uloga ISP-a naziva se prema eng. nazivu </w:t>
      </w:r>
      <w:r w:rsidRPr="00B830BB">
        <w:rPr>
          <w:rFonts w:cs="Arial"/>
          <w:i/>
          <w:szCs w:val="22"/>
          <w:lang w:val="hr-HR"/>
        </w:rPr>
        <w:t xml:space="preserve">mere conduit </w:t>
      </w:r>
      <w:r w:rsidRPr="00B830BB">
        <w:rPr>
          <w:rFonts w:cs="Arial"/>
          <w:szCs w:val="22"/>
          <w:lang w:val="hr-HR"/>
        </w:rPr>
        <w:t>te, kako je navedeno u čl. 16. ZET-a, podrazumijeva čisto posredničko ponašanje.</w:t>
      </w:r>
      <w:r w:rsidRPr="00B830BB">
        <w:rPr>
          <w:rFonts w:cs="Arial"/>
          <w:sz w:val="20"/>
          <w:szCs w:val="20"/>
          <w:vertAlign w:val="superscript"/>
          <w:lang w:val="hr-HR"/>
        </w:rPr>
        <w:footnoteReference w:id="80"/>
      </w:r>
    </w:p>
    <w:p w:rsidR="009A08DB" w:rsidRPr="00B830BB" w:rsidRDefault="009A08DB" w:rsidP="00303780">
      <w:pPr>
        <w:spacing w:line="360" w:lineRule="auto"/>
        <w:jc w:val="both"/>
        <w:rPr>
          <w:rFonts w:cs="Arial"/>
          <w:szCs w:val="22"/>
          <w:lang w:val="hr-HR"/>
        </w:rPr>
      </w:pPr>
      <w:r w:rsidRPr="00B830BB">
        <w:rPr>
          <w:rFonts w:cs="Arial"/>
          <w:szCs w:val="22"/>
          <w:lang w:val="hr-HR"/>
        </w:rPr>
        <w:t xml:space="preserve">Isto tako, prema čl. 17. ZET-a, davatelj usluga informacijskog društva ne odgovara za tzv. </w:t>
      </w:r>
      <w:r w:rsidRPr="00B830BB">
        <w:rPr>
          <w:rFonts w:cs="Arial"/>
          <w:i/>
          <w:szCs w:val="22"/>
          <w:lang w:val="hr-HR"/>
        </w:rPr>
        <w:t>caching</w:t>
      </w:r>
      <w:r w:rsidRPr="00B830BB">
        <w:rPr>
          <w:rFonts w:cs="Arial"/>
          <w:szCs w:val="22"/>
          <w:lang w:val="hr-HR"/>
        </w:rPr>
        <w:t xml:space="preserve"> (privremenu pohranu), tj. onaj ISP koji podatke, što ih je unio korisnik, priopćava putem komunikacijske mreže nije odgovoran za automatsku, posredničku i privremenu pohranu, koja služi samo za učinkovitije oblikovanje prijenosa podataka koju su tražili drugi korisnici ako:</w:t>
      </w:r>
    </w:p>
    <w:p w:rsidR="009A08DB" w:rsidRPr="00B830BB" w:rsidRDefault="009A08DB" w:rsidP="006A1867">
      <w:pPr>
        <w:pStyle w:val="ListParagraph"/>
        <w:numPr>
          <w:ilvl w:val="0"/>
          <w:numId w:val="13"/>
        </w:numPr>
        <w:spacing w:line="360" w:lineRule="auto"/>
        <w:jc w:val="both"/>
        <w:rPr>
          <w:rFonts w:cs="Arial"/>
          <w:szCs w:val="22"/>
          <w:lang w:val="hr-HR"/>
        </w:rPr>
      </w:pPr>
      <w:r w:rsidRPr="00B830BB">
        <w:rPr>
          <w:rFonts w:cs="Arial"/>
          <w:szCs w:val="22"/>
          <w:lang w:val="hr-HR"/>
        </w:rPr>
        <w:t>ne mijenja podatke,</w:t>
      </w:r>
    </w:p>
    <w:p w:rsidR="009A08DB" w:rsidRPr="00B830BB" w:rsidRDefault="009A08DB" w:rsidP="006A1867">
      <w:pPr>
        <w:pStyle w:val="ListParagraph"/>
        <w:numPr>
          <w:ilvl w:val="0"/>
          <w:numId w:val="13"/>
        </w:numPr>
        <w:spacing w:line="360" w:lineRule="auto"/>
        <w:jc w:val="both"/>
        <w:rPr>
          <w:rFonts w:cs="Arial"/>
          <w:szCs w:val="22"/>
          <w:lang w:val="hr-HR"/>
        </w:rPr>
      </w:pPr>
      <w:r w:rsidRPr="00B830BB">
        <w:rPr>
          <w:rFonts w:cs="Arial"/>
          <w:szCs w:val="22"/>
          <w:lang w:val="hr-HR"/>
        </w:rPr>
        <w:t>uvažava uvjete za pristup podacima,</w:t>
      </w:r>
    </w:p>
    <w:p w:rsidR="009A08DB" w:rsidRPr="00B830BB" w:rsidRDefault="009A08DB" w:rsidP="006A1867">
      <w:pPr>
        <w:pStyle w:val="ListParagraph"/>
        <w:numPr>
          <w:ilvl w:val="0"/>
          <w:numId w:val="13"/>
        </w:numPr>
        <w:spacing w:line="360" w:lineRule="auto"/>
        <w:jc w:val="both"/>
        <w:rPr>
          <w:rFonts w:cs="Arial"/>
          <w:szCs w:val="22"/>
          <w:lang w:val="hr-HR"/>
        </w:rPr>
      </w:pPr>
      <w:r w:rsidRPr="00B830BB">
        <w:rPr>
          <w:rFonts w:cs="Arial"/>
          <w:szCs w:val="22"/>
          <w:lang w:val="hr-HR"/>
        </w:rPr>
        <w:lastRenderedPageBreak/>
        <w:t>postupa u skladu s pravilima za ažuriranje podataka,</w:t>
      </w:r>
    </w:p>
    <w:p w:rsidR="009A08DB" w:rsidRPr="00B830BB" w:rsidRDefault="009A08DB" w:rsidP="006A1867">
      <w:pPr>
        <w:pStyle w:val="ListParagraph"/>
        <w:numPr>
          <w:ilvl w:val="0"/>
          <w:numId w:val="13"/>
        </w:numPr>
        <w:spacing w:line="360" w:lineRule="auto"/>
        <w:jc w:val="both"/>
        <w:rPr>
          <w:rFonts w:cs="Arial"/>
          <w:szCs w:val="22"/>
          <w:lang w:val="hr-HR"/>
        </w:rPr>
      </w:pPr>
      <w:r w:rsidRPr="00B830BB">
        <w:rPr>
          <w:rFonts w:cs="Arial"/>
          <w:szCs w:val="22"/>
          <w:lang w:val="hr-HR"/>
        </w:rPr>
        <w:t>djeluje u skladu s dopuštenom primjenom tehnologija za prikupljanje podataka,</w:t>
      </w:r>
    </w:p>
    <w:p w:rsidR="009A08DB" w:rsidRPr="00B830BB" w:rsidRDefault="009A08DB" w:rsidP="006A1867">
      <w:pPr>
        <w:pStyle w:val="ListParagraph"/>
        <w:numPr>
          <w:ilvl w:val="0"/>
          <w:numId w:val="13"/>
        </w:numPr>
        <w:spacing w:line="360" w:lineRule="auto"/>
        <w:jc w:val="both"/>
        <w:rPr>
          <w:rFonts w:cs="Arial"/>
          <w:szCs w:val="22"/>
          <w:lang w:val="hr-HR"/>
        </w:rPr>
      </w:pPr>
      <w:r w:rsidRPr="00B830BB">
        <w:rPr>
          <w:rFonts w:cs="Arial"/>
          <w:szCs w:val="22"/>
          <w:lang w:val="hr-HR"/>
        </w:rPr>
        <w:t>trenutačno ukloni ili trenutačno onemogući pristup podacima koje je pohranio odmah čim je saznao da su podaci u polazištu uklonjeni iz prijenosa putem mreže ili je onemogućen pristup do njih ili je sud ili drugo nadležno tijelo naredilo njihovo uklanjanje ili onemogućavanje pristupa.</w:t>
      </w:r>
    </w:p>
    <w:p w:rsidR="009A08DB" w:rsidRPr="00B830BB" w:rsidRDefault="009A08DB" w:rsidP="006A7522">
      <w:pPr>
        <w:spacing w:line="360" w:lineRule="auto"/>
        <w:ind w:firstLine="360"/>
        <w:jc w:val="both"/>
        <w:rPr>
          <w:rFonts w:cs="Arial"/>
          <w:szCs w:val="22"/>
          <w:lang w:val="hr-HR"/>
        </w:rPr>
      </w:pPr>
      <w:r w:rsidRPr="00B830BB">
        <w:rPr>
          <w:rFonts w:cs="Arial"/>
          <w:szCs w:val="22"/>
          <w:lang w:val="hr-HR"/>
        </w:rPr>
        <w:t>Jednako tome, sukladno čl. 18. ZET-a, u slučaju pohrane odnosno hostinga davatelj usluga informacijskog društva koji pohranjuje podatke pružene od korisnika na zahtjev korisnika nije odgovoran za sadržaj pohranjenog podatka:</w:t>
      </w:r>
    </w:p>
    <w:p w:rsidR="009A08DB" w:rsidRPr="00B830BB" w:rsidRDefault="009A08DB" w:rsidP="006A1867">
      <w:pPr>
        <w:pStyle w:val="ListParagraph"/>
        <w:numPr>
          <w:ilvl w:val="0"/>
          <w:numId w:val="14"/>
        </w:numPr>
        <w:spacing w:line="360" w:lineRule="auto"/>
        <w:jc w:val="both"/>
        <w:rPr>
          <w:rFonts w:cs="Arial"/>
          <w:szCs w:val="22"/>
          <w:lang w:val="hr-HR"/>
        </w:rPr>
      </w:pPr>
      <w:r w:rsidRPr="00B830BB">
        <w:rPr>
          <w:rFonts w:cs="Arial"/>
          <w:szCs w:val="22"/>
          <w:lang w:val="hr-HR"/>
        </w:rPr>
        <w:t>ako nema saznanja niti je mogao znati o nedopuštenom djelovanju korisnika ili sadržaju podataka,</w:t>
      </w:r>
    </w:p>
    <w:p w:rsidR="009A08DB" w:rsidRPr="00B830BB" w:rsidRDefault="009A08DB" w:rsidP="006A1867">
      <w:pPr>
        <w:pStyle w:val="ListParagraph"/>
        <w:numPr>
          <w:ilvl w:val="0"/>
          <w:numId w:val="14"/>
        </w:numPr>
        <w:spacing w:line="360" w:lineRule="auto"/>
        <w:jc w:val="both"/>
        <w:rPr>
          <w:rFonts w:cs="Arial"/>
          <w:szCs w:val="22"/>
          <w:lang w:val="hr-HR"/>
        </w:rPr>
      </w:pPr>
      <w:r w:rsidRPr="00B830BB">
        <w:rPr>
          <w:rFonts w:cs="Arial"/>
          <w:szCs w:val="22"/>
          <w:lang w:val="hr-HR"/>
        </w:rPr>
        <w:t>ako odmah čim je saznao da se radi o nedopuštenom djelovanju ili podatku ukloni ili onemogući pristup podacima.</w:t>
      </w:r>
    </w:p>
    <w:p w:rsidR="009A08DB" w:rsidRPr="00B830BB" w:rsidRDefault="009A08DB" w:rsidP="007E280A">
      <w:pPr>
        <w:spacing w:line="360" w:lineRule="auto"/>
        <w:ind w:firstLine="360"/>
        <w:jc w:val="both"/>
        <w:rPr>
          <w:rFonts w:cs="Arial"/>
          <w:szCs w:val="22"/>
          <w:lang w:val="hr-HR"/>
        </w:rPr>
      </w:pPr>
      <w:r w:rsidRPr="00B830BB">
        <w:rPr>
          <w:rFonts w:cs="Arial"/>
          <w:szCs w:val="22"/>
          <w:lang w:val="hr-HR"/>
        </w:rPr>
        <w:t>Suprotno, st. 2. istoga čl. navodi kako davatelj usluge hostinga neće biti oslobođen od odgovornosti ako primatelj usluge, tj. korisnik djeluje pod njegovom ovlasti ili kontrolom</w:t>
      </w:r>
      <w:r w:rsidR="007E280A" w:rsidRPr="00B830BB">
        <w:rPr>
          <w:rFonts w:cs="Arial"/>
          <w:szCs w:val="22"/>
          <w:lang w:val="hr-HR"/>
        </w:rPr>
        <w:t>.</w:t>
      </w:r>
    </w:p>
    <w:p w:rsidR="009A08DB" w:rsidRPr="00B830BB" w:rsidRDefault="009A08DB" w:rsidP="00303780">
      <w:pPr>
        <w:spacing w:line="360" w:lineRule="auto"/>
        <w:jc w:val="both"/>
        <w:rPr>
          <w:rFonts w:cs="Arial"/>
          <w:szCs w:val="22"/>
          <w:lang w:val="hr-HR"/>
        </w:rPr>
      </w:pPr>
      <w:r w:rsidRPr="00B830BB">
        <w:rPr>
          <w:rFonts w:cs="Arial"/>
          <w:szCs w:val="22"/>
          <w:lang w:val="hr-HR"/>
        </w:rPr>
        <w:t>Osnovni oblik pružanja ove usluge predstavljalo bi davanje u najam mrežnog prostora na kojem korisnici postavljaju određeni sadržaj ili obavljaju određene aktivnosti, kao što su primjerice razmjena datoteka, komuniciranje putem foruma i sl.</w:t>
      </w:r>
      <w:r w:rsidRPr="00B830BB">
        <w:rPr>
          <w:rFonts w:cs="Arial"/>
          <w:sz w:val="20"/>
          <w:szCs w:val="20"/>
          <w:vertAlign w:val="superscript"/>
          <w:lang w:val="hr-HR"/>
        </w:rPr>
        <w:footnoteReference w:id="81"/>
      </w:r>
    </w:p>
    <w:p w:rsidR="009A08DB" w:rsidRPr="00B830BB" w:rsidRDefault="009A08DB" w:rsidP="007E280A">
      <w:pPr>
        <w:spacing w:line="360" w:lineRule="auto"/>
        <w:ind w:firstLine="708"/>
        <w:jc w:val="both"/>
        <w:rPr>
          <w:rFonts w:cs="Arial"/>
          <w:szCs w:val="22"/>
          <w:lang w:val="hr-HR"/>
        </w:rPr>
      </w:pPr>
      <w:r w:rsidRPr="00B830BB">
        <w:rPr>
          <w:rFonts w:cs="Arial"/>
          <w:szCs w:val="22"/>
          <w:lang w:val="hr-HR"/>
        </w:rPr>
        <w:t>Naposljetku, u čl. 19. ZET-a navodi se još jedan razlog ekskulpacije – naime, postavljanje tzv.</w:t>
      </w:r>
      <w:r w:rsidR="007E280A" w:rsidRPr="00B830BB">
        <w:rPr>
          <w:rFonts w:cs="Arial"/>
          <w:szCs w:val="22"/>
          <w:lang w:val="hr-HR"/>
        </w:rPr>
        <w:t xml:space="preserve"> </w:t>
      </w:r>
      <w:r w:rsidRPr="00B830BB">
        <w:rPr>
          <w:rFonts w:cs="Arial"/>
          <w:szCs w:val="22"/>
          <w:lang w:val="hr-HR"/>
        </w:rPr>
        <w:t>linkova. Dakle, davatelj usluga koji putem elektroničkog upućivanja otvori pristup trećim podacima nije odgovoran za te informacije:</w:t>
      </w:r>
    </w:p>
    <w:p w:rsidR="009A08DB" w:rsidRPr="00B830BB" w:rsidRDefault="009A08DB" w:rsidP="006A1867">
      <w:pPr>
        <w:pStyle w:val="ListParagraph"/>
        <w:numPr>
          <w:ilvl w:val="0"/>
          <w:numId w:val="15"/>
        </w:numPr>
        <w:spacing w:line="360" w:lineRule="auto"/>
        <w:jc w:val="both"/>
        <w:rPr>
          <w:rFonts w:cs="Arial"/>
          <w:szCs w:val="22"/>
          <w:lang w:val="hr-HR"/>
        </w:rPr>
      </w:pPr>
      <w:r w:rsidRPr="00B830BB">
        <w:rPr>
          <w:rFonts w:cs="Arial"/>
          <w:szCs w:val="22"/>
          <w:lang w:val="hr-HR"/>
        </w:rPr>
        <w:t>ako nema saznanja niti je mogao znati o nedopuštenom djelovanju korisnika ili sadržaju podataka u tim informacijama,</w:t>
      </w:r>
    </w:p>
    <w:p w:rsidR="009A08DB" w:rsidRPr="00B830BB" w:rsidRDefault="009A08DB" w:rsidP="006A1867">
      <w:pPr>
        <w:pStyle w:val="ListParagraph"/>
        <w:numPr>
          <w:ilvl w:val="0"/>
          <w:numId w:val="15"/>
        </w:numPr>
        <w:spacing w:line="360" w:lineRule="auto"/>
        <w:jc w:val="both"/>
        <w:rPr>
          <w:rFonts w:cs="Arial"/>
          <w:szCs w:val="22"/>
          <w:lang w:val="hr-HR"/>
        </w:rPr>
      </w:pPr>
      <w:r w:rsidRPr="00B830BB">
        <w:rPr>
          <w:rFonts w:cs="Arial"/>
          <w:szCs w:val="22"/>
          <w:lang w:val="hr-HR"/>
        </w:rPr>
        <w:t>ako odmah čim je saznao da se radi o nedopuštenom djelovanju ili podatku ukloni ili onemogući pristup podacima.</w:t>
      </w:r>
      <w:r w:rsidRPr="00B830BB">
        <w:rPr>
          <w:rFonts w:cs="Arial"/>
          <w:sz w:val="20"/>
          <w:szCs w:val="20"/>
          <w:vertAlign w:val="superscript"/>
          <w:lang w:val="hr-HR"/>
        </w:rPr>
        <w:footnoteReference w:id="82"/>
      </w:r>
    </w:p>
    <w:p w:rsidR="009A08DB" w:rsidRPr="00B830BB" w:rsidRDefault="009A08DB" w:rsidP="007E280A">
      <w:pPr>
        <w:spacing w:line="360" w:lineRule="auto"/>
        <w:ind w:firstLine="360"/>
        <w:jc w:val="both"/>
        <w:rPr>
          <w:rFonts w:cs="Arial"/>
          <w:szCs w:val="22"/>
          <w:lang w:val="hr-HR"/>
        </w:rPr>
      </w:pPr>
      <w:r w:rsidRPr="00B830BB">
        <w:rPr>
          <w:rFonts w:cs="Arial"/>
          <w:szCs w:val="22"/>
          <w:lang w:val="hr-HR"/>
        </w:rPr>
        <w:t>Dakle, za ekskulpaciju uvijek se traži brza reakcija ISP-a u slučaju da sazna za nedopušteni sadržaj koji je njegov korisnik učinio dostupnim trećim osobama, odnosno brzo uklanjanje problematičnog sadržaja.</w:t>
      </w:r>
      <w:r w:rsidRPr="00B830BB">
        <w:rPr>
          <w:rFonts w:cs="Arial"/>
          <w:sz w:val="20"/>
          <w:szCs w:val="20"/>
          <w:vertAlign w:val="superscript"/>
          <w:lang w:val="hr-HR"/>
        </w:rPr>
        <w:footnoteReference w:id="83"/>
      </w:r>
      <w:r w:rsidRPr="00B830BB">
        <w:rPr>
          <w:rFonts w:cs="Arial"/>
          <w:szCs w:val="22"/>
          <w:lang w:val="hr-HR"/>
        </w:rPr>
        <w:t xml:space="preserve"> No, važno je primijetiti kako ni</w:t>
      </w:r>
      <w:r w:rsidR="007E280A" w:rsidRPr="00B830BB">
        <w:rPr>
          <w:rFonts w:cs="Arial"/>
          <w:szCs w:val="22"/>
          <w:lang w:val="hr-HR"/>
        </w:rPr>
        <w:t>ti</w:t>
      </w:r>
      <w:r w:rsidRPr="00B830BB">
        <w:rPr>
          <w:rFonts w:cs="Arial"/>
          <w:szCs w:val="22"/>
          <w:lang w:val="hr-HR"/>
        </w:rPr>
        <w:t xml:space="preserve"> Direktiva niti ZET ne reguliraju sam proces zaprimanja obavijesti i uklanjanja nedozvoljenih sadržaja (engl. </w:t>
      </w:r>
      <w:r w:rsidRPr="00B830BB">
        <w:rPr>
          <w:rFonts w:cs="Arial"/>
          <w:i/>
          <w:szCs w:val="22"/>
          <w:lang w:val="hr-HR"/>
        </w:rPr>
        <w:t>notice and take down procedure</w:t>
      </w:r>
      <w:r w:rsidRPr="00B830BB">
        <w:rPr>
          <w:rFonts w:cs="Arial"/>
          <w:szCs w:val="22"/>
          <w:lang w:val="hr-HR"/>
        </w:rPr>
        <w:t>).</w:t>
      </w:r>
    </w:p>
    <w:p w:rsidR="009A08DB" w:rsidRPr="00B830BB" w:rsidRDefault="009A08DB" w:rsidP="007E280A">
      <w:pPr>
        <w:spacing w:line="360" w:lineRule="auto"/>
        <w:ind w:firstLine="360"/>
        <w:jc w:val="both"/>
        <w:rPr>
          <w:rFonts w:cs="Arial"/>
          <w:szCs w:val="22"/>
          <w:lang w:val="hr-HR"/>
        </w:rPr>
      </w:pPr>
      <w:r w:rsidRPr="00B830BB">
        <w:rPr>
          <w:rFonts w:cs="Arial"/>
          <w:szCs w:val="22"/>
          <w:lang w:val="hr-HR"/>
        </w:rPr>
        <w:lastRenderedPageBreak/>
        <w:t xml:space="preserve">Iz svega iznesenog slijedi da su, u skladu s Direktivom i hrvatskim zakonom, kao kvalifikacije za oslobođenje od  odgovornosti ISP-a određeni gore navedeni i objašnjeni oblici ponašanja – dakle, </w:t>
      </w:r>
      <w:r w:rsidRPr="00B830BB">
        <w:rPr>
          <w:rFonts w:cs="Arial"/>
          <w:i/>
          <w:szCs w:val="22"/>
          <w:lang w:val="hr-HR"/>
        </w:rPr>
        <w:t>mere conduit</w:t>
      </w:r>
      <w:r w:rsidRPr="00B830BB">
        <w:rPr>
          <w:rFonts w:cs="Arial"/>
          <w:szCs w:val="22"/>
          <w:lang w:val="hr-HR"/>
        </w:rPr>
        <w:t xml:space="preserve">, </w:t>
      </w:r>
      <w:r w:rsidRPr="00B830BB">
        <w:rPr>
          <w:rFonts w:cs="Arial"/>
          <w:i/>
          <w:szCs w:val="22"/>
          <w:lang w:val="hr-HR"/>
        </w:rPr>
        <w:t>caching</w:t>
      </w:r>
      <w:r w:rsidRPr="00B830BB">
        <w:rPr>
          <w:rFonts w:cs="Arial"/>
          <w:szCs w:val="22"/>
          <w:lang w:val="hr-HR"/>
        </w:rPr>
        <w:t xml:space="preserve">, </w:t>
      </w:r>
      <w:r w:rsidRPr="00B830BB">
        <w:rPr>
          <w:rFonts w:cs="Arial"/>
          <w:i/>
          <w:szCs w:val="22"/>
          <w:lang w:val="hr-HR"/>
        </w:rPr>
        <w:t>hosting</w:t>
      </w:r>
      <w:r w:rsidRPr="00B830BB">
        <w:rPr>
          <w:rFonts w:cs="Arial"/>
          <w:szCs w:val="22"/>
          <w:lang w:val="hr-HR"/>
        </w:rPr>
        <w:t xml:space="preserve"> i postavljanje tzv. linkova.</w:t>
      </w:r>
    </w:p>
    <w:p w:rsidR="009A08DB" w:rsidRPr="00B830BB" w:rsidRDefault="009A08DB" w:rsidP="009D581B">
      <w:pPr>
        <w:spacing w:line="360" w:lineRule="auto"/>
        <w:ind w:firstLine="360"/>
        <w:jc w:val="both"/>
        <w:rPr>
          <w:rFonts w:cs="Arial"/>
          <w:szCs w:val="22"/>
          <w:lang w:val="hr-HR"/>
        </w:rPr>
      </w:pPr>
      <w:r w:rsidRPr="00B830BB">
        <w:rPr>
          <w:rFonts w:cs="Arial"/>
          <w:szCs w:val="22"/>
          <w:lang w:val="hr-HR"/>
        </w:rPr>
        <w:t xml:space="preserve">Podrazumijeva se, naime, da </w:t>
      </w:r>
      <w:r w:rsidR="009D581B" w:rsidRPr="00B830BB">
        <w:rPr>
          <w:rFonts w:cs="Arial"/>
          <w:szCs w:val="22"/>
          <w:lang w:val="hr-HR"/>
        </w:rPr>
        <w:t>davatelji ovih usluga nemaju ni</w:t>
      </w:r>
      <w:r w:rsidRPr="00B830BB">
        <w:rPr>
          <w:rFonts w:cs="Arial"/>
          <w:szCs w:val="22"/>
          <w:lang w:val="hr-HR"/>
        </w:rPr>
        <w:t xml:space="preserve"> znanje ni kontrolu nad informacijama trećih osoba koje se prenose ili pohranjuju,  jer su navedene aktivnosti samo tehničke, automatizirane i pasivne prirode. Drugim riječima, uloga posrednika u pogledu takvog sadrž</w:t>
      </w:r>
      <w:r w:rsidR="00463A95">
        <w:rPr>
          <w:rFonts w:cs="Arial"/>
          <w:szCs w:val="22"/>
          <w:lang w:val="hr-HR"/>
        </w:rPr>
        <w:t>a</w:t>
      </w:r>
      <w:r w:rsidRPr="00B830BB">
        <w:rPr>
          <w:rFonts w:cs="Arial"/>
          <w:szCs w:val="22"/>
          <w:lang w:val="hr-HR"/>
        </w:rPr>
        <w:t>ja neutralna je.</w:t>
      </w:r>
      <w:r w:rsidRPr="00B830BB">
        <w:rPr>
          <w:rFonts w:cs="Arial"/>
          <w:sz w:val="20"/>
          <w:szCs w:val="20"/>
          <w:vertAlign w:val="superscript"/>
          <w:lang w:val="hr-HR"/>
        </w:rPr>
        <w:footnoteReference w:id="84"/>
      </w:r>
    </w:p>
    <w:p w:rsidR="009A08DB" w:rsidRPr="00B830BB" w:rsidRDefault="009A08DB" w:rsidP="00D92387">
      <w:pPr>
        <w:spacing w:line="360" w:lineRule="auto"/>
        <w:ind w:firstLine="360"/>
        <w:jc w:val="both"/>
        <w:rPr>
          <w:rFonts w:cs="Arial"/>
          <w:szCs w:val="22"/>
          <w:lang w:val="hr-HR"/>
        </w:rPr>
      </w:pPr>
      <w:r w:rsidRPr="00B830BB">
        <w:rPr>
          <w:rFonts w:cs="Arial"/>
          <w:szCs w:val="22"/>
          <w:lang w:val="hr-HR"/>
        </w:rPr>
        <w:t>Nasuprot tome, za svako djelovanje koje izlazi iz opsega ovih aktivnosti, ne primjenjuju se odredbe od izuzeću od odgovornosti (tak</w:t>
      </w:r>
      <w:r w:rsidR="00463A95">
        <w:rPr>
          <w:rFonts w:cs="Arial"/>
          <w:szCs w:val="22"/>
          <w:lang w:val="hr-HR"/>
        </w:rPr>
        <w:t>o primjerice za uređivanje, filt</w:t>
      </w:r>
      <w:r w:rsidRPr="00B830BB">
        <w:rPr>
          <w:rFonts w:cs="Arial"/>
          <w:szCs w:val="22"/>
          <w:lang w:val="hr-HR"/>
        </w:rPr>
        <w:t>riranje i dr. načine utjecanja na sadržaje).</w:t>
      </w:r>
    </w:p>
    <w:p w:rsidR="009A08DB" w:rsidRPr="00B830BB" w:rsidRDefault="009A08DB" w:rsidP="00D92387">
      <w:pPr>
        <w:spacing w:line="360" w:lineRule="auto"/>
        <w:ind w:firstLine="360"/>
        <w:jc w:val="both"/>
        <w:rPr>
          <w:rFonts w:cs="Arial"/>
          <w:szCs w:val="22"/>
          <w:lang w:val="hr-HR"/>
        </w:rPr>
      </w:pPr>
      <w:r w:rsidRPr="00B830BB">
        <w:rPr>
          <w:rFonts w:cs="Arial"/>
          <w:szCs w:val="22"/>
          <w:lang w:val="hr-HR"/>
        </w:rPr>
        <w:t>Unatoč tome, važno je primijetiti da se od davatelja usluga informacijskog društva, prema odredbama čl. 21., st. 2. i 3., zahtijeva i određeno aktivno postupanje. Naime, on mora obavijestiti nad</w:t>
      </w:r>
      <w:r w:rsidR="000E4CB8" w:rsidRPr="00B830BB">
        <w:rPr>
          <w:rFonts w:cs="Arial"/>
          <w:szCs w:val="22"/>
          <w:lang w:val="hr-HR"/>
        </w:rPr>
        <w:t xml:space="preserve">ležno državno tijelo ako utvrdi </w:t>
      </w:r>
      <w:r w:rsidRPr="00B830BB">
        <w:rPr>
          <w:rFonts w:cs="Arial"/>
          <w:szCs w:val="22"/>
          <w:lang w:val="hr-HR"/>
        </w:rPr>
        <w:t xml:space="preserve">postojanje osnovane sumnje da korištenjem njegove usluge korisnik </w:t>
      </w:r>
      <w:r w:rsidR="000E4CB8" w:rsidRPr="00B830BB">
        <w:rPr>
          <w:rFonts w:cs="Arial"/>
          <w:szCs w:val="22"/>
          <w:lang w:val="hr-HR"/>
        </w:rPr>
        <w:t xml:space="preserve">poduzima nedopuštene aktivnosti te </w:t>
      </w:r>
      <w:r w:rsidRPr="00B830BB">
        <w:rPr>
          <w:rFonts w:cs="Arial"/>
          <w:szCs w:val="22"/>
          <w:lang w:val="hr-HR"/>
        </w:rPr>
        <w:t>postojanje osnovane sumnje da je korisnik njegove usluge pružio nedopušteni podatak.</w:t>
      </w:r>
    </w:p>
    <w:p w:rsidR="009A08DB" w:rsidRPr="00B830BB" w:rsidRDefault="009A08DB" w:rsidP="00D92387">
      <w:pPr>
        <w:spacing w:line="360" w:lineRule="auto"/>
        <w:ind w:firstLine="360"/>
        <w:jc w:val="both"/>
        <w:rPr>
          <w:rFonts w:cs="Arial"/>
          <w:szCs w:val="22"/>
          <w:lang w:val="hr-HR"/>
        </w:rPr>
      </w:pPr>
      <w:r w:rsidRPr="00B830BB">
        <w:rPr>
          <w:rFonts w:cs="Arial"/>
          <w:szCs w:val="22"/>
          <w:lang w:val="hr-HR"/>
        </w:rPr>
        <w:t>Jednako tako, davatelj usluga mora na temelju odgovarajućeg sudskog akta, odnosno upravnog akta, predočiti sve podatke na temelju kojih se može poduzeti otkrivanje ili progon počinitelja kaznenih djela, odnosno zaštita prava trećih osoba.</w:t>
      </w:r>
      <w:r w:rsidR="00D92387" w:rsidRPr="00B830BB">
        <w:rPr>
          <w:rFonts w:cs="Arial"/>
          <w:szCs w:val="22"/>
          <w:lang w:val="hr-HR"/>
        </w:rPr>
        <w:t xml:space="preserve"> </w:t>
      </w:r>
      <w:r w:rsidRPr="00B830BB">
        <w:rPr>
          <w:rFonts w:cs="Arial"/>
          <w:szCs w:val="22"/>
          <w:lang w:val="hr-HR"/>
        </w:rPr>
        <w:t>Štoviše, djelovanje suprotno ovim zahtjevima kažnjivo je prema čl. 23. ZET-a.</w:t>
      </w:r>
    </w:p>
    <w:p w:rsidR="009A08DB" w:rsidRPr="00B830BB" w:rsidRDefault="009A08DB" w:rsidP="00D92387">
      <w:pPr>
        <w:spacing w:line="360" w:lineRule="auto"/>
        <w:ind w:firstLine="708"/>
        <w:jc w:val="both"/>
        <w:rPr>
          <w:rFonts w:cs="Arial"/>
          <w:szCs w:val="22"/>
          <w:lang w:val="hr-HR"/>
        </w:rPr>
      </w:pPr>
      <w:r w:rsidRPr="00B830BB">
        <w:rPr>
          <w:rFonts w:cs="Arial"/>
          <w:szCs w:val="22"/>
          <w:lang w:val="hr-HR"/>
        </w:rPr>
        <w:t>Naposljetku, onaj tko smatra da davatelj usluga informacijskog društva krši neko njegovo pravo, može podnijeti tužbu nadležnom sudu u skladu sa zakonom, a na zahtjev tuži</w:t>
      </w:r>
      <w:r w:rsidR="00886F87">
        <w:rPr>
          <w:rFonts w:cs="Arial"/>
          <w:szCs w:val="22"/>
          <w:lang w:val="hr-HR"/>
        </w:rPr>
        <w:t xml:space="preserve">telja sud može odrediti i </w:t>
      </w:r>
      <w:r w:rsidRPr="00B830BB">
        <w:rPr>
          <w:rFonts w:cs="Arial"/>
          <w:szCs w:val="22"/>
          <w:lang w:val="hr-HR"/>
        </w:rPr>
        <w:t>objavu odluke o trošku tuženika. Isto tako, tužitelj može nadležnom sudu podnijeti i zahtjev za određivanje privremene mjere slijedom č</w:t>
      </w:r>
      <w:r w:rsidR="00D92387" w:rsidRPr="00B830BB">
        <w:rPr>
          <w:rFonts w:cs="Arial"/>
          <w:szCs w:val="22"/>
          <w:lang w:val="hr-HR"/>
        </w:rPr>
        <w:t xml:space="preserve">ega sud može privremenom mjerom </w:t>
      </w:r>
      <w:r w:rsidRPr="00B830BB">
        <w:rPr>
          <w:rFonts w:cs="Arial"/>
          <w:szCs w:val="22"/>
          <w:lang w:val="hr-HR"/>
        </w:rPr>
        <w:t>zabraniti radnje ili postupke koji mogu dovesti do kršenja prava ili nastavka već započetih kršenja</w:t>
      </w:r>
      <w:r w:rsidR="00D92387" w:rsidRPr="00B830BB">
        <w:rPr>
          <w:rFonts w:cs="Arial"/>
          <w:szCs w:val="22"/>
          <w:lang w:val="hr-HR"/>
        </w:rPr>
        <w:t xml:space="preserve"> te </w:t>
      </w:r>
      <w:r w:rsidRPr="00B830BB">
        <w:rPr>
          <w:rFonts w:cs="Arial"/>
          <w:szCs w:val="22"/>
          <w:lang w:val="hr-HR"/>
        </w:rPr>
        <w:t>ograničiti pružanje usluga informacijskog društva tako da naredi davatelju usluga da ukloni ili onemogući pristup podacima.</w:t>
      </w:r>
    </w:p>
    <w:p w:rsidR="009A08DB" w:rsidRPr="00B830BB" w:rsidRDefault="009A08DB" w:rsidP="00E85149">
      <w:pPr>
        <w:spacing w:line="360" w:lineRule="auto"/>
        <w:ind w:firstLine="708"/>
        <w:jc w:val="both"/>
        <w:rPr>
          <w:rFonts w:cs="Arial"/>
          <w:szCs w:val="22"/>
          <w:lang w:val="hr-HR"/>
        </w:rPr>
      </w:pPr>
      <w:r w:rsidRPr="00B830BB">
        <w:rPr>
          <w:rFonts w:cs="Arial"/>
          <w:szCs w:val="22"/>
          <w:lang w:val="hr-HR"/>
        </w:rPr>
        <w:t xml:space="preserve">Sud može odrediti privremenu mjeru i bez saslušanja suprotne strane ako podnositelj zahtjeva dokaže vjerojatnim da bi odgađanje određivanja privremene mjere onemogućilo postizanje njezinog cilja ili uzrokovalo teško nadoknadivu štetu podnositelju. Postupak za određivanje privremene mjere </w:t>
      </w:r>
      <w:r w:rsidR="00E85149" w:rsidRPr="00B830BB">
        <w:rPr>
          <w:rFonts w:cs="Arial"/>
          <w:szCs w:val="22"/>
          <w:lang w:val="hr-HR"/>
        </w:rPr>
        <w:t>je hitan</w:t>
      </w:r>
      <w:r w:rsidRPr="00B830BB">
        <w:rPr>
          <w:rFonts w:cs="Arial"/>
          <w:szCs w:val="22"/>
          <w:lang w:val="hr-HR"/>
        </w:rPr>
        <w:t>.</w:t>
      </w:r>
      <w:r w:rsidRPr="00B830BB">
        <w:rPr>
          <w:rFonts w:cs="Arial"/>
          <w:sz w:val="20"/>
          <w:szCs w:val="20"/>
          <w:vertAlign w:val="superscript"/>
          <w:lang w:val="hr-HR"/>
        </w:rPr>
        <w:footnoteReference w:id="85"/>
      </w:r>
    </w:p>
    <w:p w:rsidR="009A08DB" w:rsidRPr="00B830BB" w:rsidRDefault="009A08DB" w:rsidP="00C228F9">
      <w:pPr>
        <w:spacing w:line="360" w:lineRule="auto"/>
        <w:ind w:firstLine="708"/>
        <w:jc w:val="both"/>
        <w:rPr>
          <w:rFonts w:cs="Arial"/>
          <w:szCs w:val="22"/>
          <w:lang w:val="hr-HR"/>
        </w:rPr>
      </w:pPr>
      <w:r w:rsidRPr="00B830BB">
        <w:rPr>
          <w:rFonts w:cs="Arial"/>
          <w:szCs w:val="22"/>
          <w:lang w:val="hr-HR"/>
        </w:rPr>
        <w:t>Da zaključimo: ako su obaviješteni o postojanju povreda u objavljenom sadržaju, pružatelji usluga jesu dužni reagirati i ukloniti nezakoniti materijal s mreže, ali nemaju (pozitivnu) dužnost pratiti sadržaj.</w:t>
      </w:r>
    </w:p>
    <w:p w:rsidR="00832ED3" w:rsidRPr="00B830BB" w:rsidRDefault="009A08DB" w:rsidP="00C228F9">
      <w:pPr>
        <w:spacing w:line="360" w:lineRule="auto"/>
        <w:ind w:firstLine="429"/>
        <w:jc w:val="both"/>
        <w:rPr>
          <w:rFonts w:cs="Arial"/>
          <w:szCs w:val="22"/>
          <w:lang w:val="hr-HR"/>
        </w:rPr>
      </w:pPr>
      <w:r w:rsidRPr="00B830BB">
        <w:rPr>
          <w:rFonts w:cs="Arial"/>
          <w:szCs w:val="22"/>
          <w:lang w:val="hr-HR"/>
        </w:rPr>
        <w:lastRenderedPageBreak/>
        <w:t>Kako je već i ranije najavljeno, među sudskom praksom u nastavku bit će dana i neka razmatranja odgovornosti ISP-a za korisničko kršenje autorskih prava, a to zbog sličnosti s govorom mržnje u logici primjene takve odgovornosti.</w:t>
      </w:r>
    </w:p>
    <w:p w:rsidR="009A08DB" w:rsidRDefault="009A08DB" w:rsidP="00C228F9">
      <w:pPr>
        <w:spacing w:line="360" w:lineRule="auto"/>
        <w:ind w:firstLine="429"/>
        <w:jc w:val="both"/>
        <w:rPr>
          <w:rFonts w:cs="Arial"/>
          <w:szCs w:val="22"/>
          <w:lang w:val="hr-HR"/>
        </w:rPr>
      </w:pPr>
      <w:r w:rsidRPr="00B830BB">
        <w:rPr>
          <w:rFonts w:cs="Arial"/>
          <w:szCs w:val="22"/>
          <w:lang w:val="hr-HR"/>
        </w:rPr>
        <w:t>Upravo zaštita autorskih prava bila je jedan od ciljeva u izradi postojeće regulative kojom se zbog toga, s jedne strane, namjeravala uspostaviti pravna sigurnost za potrošače i davatelje internetskih usluga, ali i stvoriti dosljednost mehanizama zaštite autorskih prava i postupaka implementacije Direktive diljem Europe, s druge strane. Europska unija kršenje autorskih prava od strane pružatelja usluga smatra kršenjem slobodne trgovine. Slijedom toga, čini se kako neki sudovi neposredno teleološk</w:t>
      </w:r>
      <w:r w:rsidR="000E4F0B" w:rsidRPr="00B830BB">
        <w:rPr>
          <w:rFonts w:cs="Arial"/>
          <w:szCs w:val="22"/>
          <w:lang w:val="hr-HR"/>
        </w:rPr>
        <w:t>i primjenjuju prije spomenutu točku</w:t>
      </w:r>
      <w:r w:rsidRPr="00B830BB">
        <w:rPr>
          <w:rFonts w:cs="Arial"/>
          <w:szCs w:val="22"/>
          <w:lang w:val="hr-HR"/>
        </w:rPr>
        <w:t xml:space="preserve"> 47. uvodnih odredbi o specifičnom nadzoru koji se treba provoditi nakon što ISP primi obavijest o postojanju sadržaja koji je ISP-ov korisnik postavio na web, iako države članice, pa tako ni Hrvatska, takav propis nisu donijele niti nametnule obvezu toga tipa ISP-u.</w:t>
      </w:r>
      <w:r w:rsidRPr="00B830BB">
        <w:rPr>
          <w:rFonts w:cs="Arial"/>
          <w:sz w:val="20"/>
          <w:szCs w:val="20"/>
          <w:vertAlign w:val="superscript"/>
          <w:lang w:val="hr-HR"/>
        </w:rPr>
        <w:footnoteReference w:id="86"/>
      </w:r>
    </w:p>
    <w:p w:rsidR="001113BC" w:rsidRDefault="001113BC" w:rsidP="00C228F9">
      <w:pPr>
        <w:spacing w:line="360" w:lineRule="auto"/>
        <w:ind w:firstLine="429"/>
        <w:jc w:val="both"/>
        <w:rPr>
          <w:rFonts w:cs="Arial"/>
          <w:szCs w:val="22"/>
          <w:lang w:val="hr-HR"/>
        </w:rPr>
      </w:pPr>
    </w:p>
    <w:p w:rsidR="00740D3F" w:rsidRPr="00B830BB" w:rsidRDefault="00740D3F" w:rsidP="00740D3F">
      <w:pPr>
        <w:pStyle w:val="Heading4"/>
        <w:rPr>
          <w:lang w:val="hr-HR"/>
        </w:rPr>
      </w:pPr>
      <w:bookmarkStart w:id="164" w:name="_Toc386498331"/>
      <w:bookmarkStart w:id="165" w:name="_Toc386563076"/>
      <w:bookmarkStart w:id="166" w:name="_Toc386567238"/>
      <w:bookmarkStart w:id="167" w:name="_Toc386619631"/>
      <w:r>
        <w:rPr>
          <w:lang w:val="hr-HR"/>
        </w:rPr>
        <w:t>Zakon o odgovornosti pravnih osoba za kaznena djela</w:t>
      </w:r>
      <w:bookmarkEnd w:id="164"/>
      <w:bookmarkEnd w:id="165"/>
      <w:bookmarkEnd w:id="166"/>
      <w:bookmarkEnd w:id="167"/>
      <w:r>
        <w:rPr>
          <w:lang w:val="hr-HR"/>
        </w:rPr>
        <w:t xml:space="preserve"> </w:t>
      </w:r>
    </w:p>
    <w:p w:rsidR="00740D3F" w:rsidRDefault="00740D3F" w:rsidP="00C228F9">
      <w:pPr>
        <w:spacing w:line="360" w:lineRule="auto"/>
        <w:ind w:firstLine="429"/>
        <w:jc w:val="both"/>
        <w:rPr>
          <w:rFonts w:cs="Arial"/>
          <w:szCs w:val="22"/>
          <w:lang w:val="hr-HR"/>
        </w:rPr>
      </w:pPr>
    </w:p>
    <w:p w:rsidR="00740D3F" w:rsidRPr="00B830BB" w:rsidRDefault="00740D3F" w:rsidP="008F7ED9">
      <w:pPr>
        <w:spacing w:line="360" w:lineRule="auto"/>
        <w:ind w:firstLine="432"/>
        <w:jc w:val="both"/>
        <w:rPr>
          <w:rFonts w:cs="Arial"/>
          <w:szCs w:val="22"/>
          <w:lang w:val="hr-HR"/>
        </w:rPr>
      </w:pPr>
      <w:r>
        <w:rPr>
          <w:rFonts w:cs="Arial"/>
          <w:szCs w:val="22"/>
          <w:lang w:val="hr-HR"/>
        </w:rPr>
        <w:t>Kao što je razvidno iz prethodnog poglavlja, davatelji usluga na internetu u pravilu su pravne osobe, stoga je u ovom djelu bitno upozoriti i na još jedan važan pravni izvor RH. Zakon</w:t>
      </w:r>
      <w:r w:rsidR="00306E4A">
        <w:rPr>
          <w:rFonts w:cs="Arial"/>
          <w:szCs w:val="22"/>
          <w:lang w:val="hr-HR"/>
        </w:rPr>
        <w:t>om</w:t>
      </w:r>
      <w:r>
        <w:rPr>
          <w:rFonts w:cs="Arial"/>
          <w:szCs w:val="22"/>
          <w:lang w:val="hr-HR"/>
        </w:rPr>
        <w:t xml:space="preserve"> o odgovornosti pravnih osoba za kaznena djela</w:t>
      </w:r>
      <w:r>
        <w:rPr>
          <w:rStyle w:val="FootnoteReference"/>
          <w:rFonts w:cs="Arial"/>
          <w:szCs w:val="22"/>
          <w:lang w:val="hr-HR"/>
        </w:rPr>
        <w:footnoteReference w:id="87"/>
      </w:r>
      <w:r>
        <w:rPr>
          <w:rFonts w:cs="Arial"/>
          <w:szCs w:val="22"/>
          <w:lang w:val="hr-HR"/>
        </w:rPr>
        <w:t xml:space="preserve"> </w:t>
      </w:r>
      <w:r w:rsidR="00306E4A">
        <w:rPr>
          <w:rFonts w:cs="Arial"/>
          <w:szCs w:val="22"/>
          <w:lang w:val="hr-HR"/>
        </w:rPr>
        <w:t>propisuje se kako će se pravna osoba kazniti za kazneno djelo odgovorne osobe ako</w:t>
      </w:r>
      <w:r w:rsidR="00FD543D">
        <w:rPr>
          <w:rFonts w:cs="Arial"/>
          <w:szCs w:val="22"/>
          <w:lang w:val="hr-HR"/>
        </w:rPr>
        <w:t xml:space="preserve"> se njime povređuje neka dužnost pravne osobe odnosno za kaznena djela propisana KZ-om i drugim zakonima u kojima su </w:t>
      </w:r>
      <w:r w:rsidR="00DD1D2A">
        <w:rPr>
          <w:rFonts w:cs="Arial"/>
          <w:szCs w:val="22"/>
          <w:lang w:val="hr-HR"/>
        </w:rPr>
        <w:t>propisana kaz</w:t>
      </w:r>
      <w:r w:rsidR="00FD543D">
        <w:rPr>
          <w:rFonts w:cs="Arial"/>
          <w:szCs w:val="22"/>
          <w:lang w:val="hr-HR"/>
        </w:rPr>
        <w:t xml:space="preserve">nena djela (čl. 3.). </w:t>
      </w:r>
      <w:r w:rsidR="00F13D41">
        <w:rPr>
          <w:rFonts w:cs="Arial"/>
          <w:szCs w:val="22"/>
          <w:lang w:val="hr-HR"/>
        </w:rPr>
        <w:t>Odgovornost će se temeljiti na krivnji odgovorne osobe</w:t>
      </w:r>
      <w:r w:rsidR="00D8413C">
        <w:rPr>
          <w:rFonts w:cs="Arial"/>
          <w:szCs w:val="22"/>
          <w:lang w:val="hr-HR"/>
        </w:rPr>
        <w:t xml:space="preserve"> (čl. 5.</w:t>
      </w:r>
      <w:r w:rsidR="001F2EA0">
        <w:rPr>
          <w:rFonts w:cs="Arial"/>
          <w:szCs w:val="22"/>
          <w:lang w:val="hr-HR"/>
        </w:rPr>
        <w:t>st.1.</w:t>
      </w:r>
      <w:r w:rsidR="00D8413C">
        <w:rPr>
          <w:rFonts w:cs="Arial"/>
          <w:szCs w:val="22"/>
          <w:lang w:val="hr-HR"/>
        </w:rPr>
        <w:t>)</w:t>
      </w:r>
      <w:r w:rsidR="00F13D41">
        <w:rPr>
          <w:rFonts w:cs="Arial"/>
          <w:szCs w:val="22"/>
          <w:lang w:val="hr-HR"/>
        </w:rPr>
        <w:t xml:space="preserve">, koju zakon </w:t>
      </w:r>
      <w:r w:rsidR="00D8413C">
        <w:rPr>
          <w:rFonts w:cs="Arial"/>
          <w:szCs w:val="22"/>
          <w:lang w:val="hr-HR"/>
        </w:rPr>
        <w:t xml:space="preserve">u članku 4. </w:t>
      </w:r>
      <w:r w:rsidR="00F13D41">
        <w:rPr>
          <w:rFonts w:cs="Arial"/>
          <w:szCs w:val="22"/>
          <w:lang w:val="hr-HR"/>
        </w:rPr>
        <w:t xml:space="preserve">definira kao fizičku osobu koja vodi poslove pravne osobe ili joj je povjereno obavljanje poslova iz područja djelovanja pravne osobe. </w:t>
      </w:r>
      <w:r w:rsidR="00FD543D">
        <w:rPr>
          <w:rFonts w:cs="Arial"/>
          <w:szCs w:val="22"/>
          <w:lang w:val="hr-HR"/>
        </w:rPr>
        <w:t xml:space="preserve"> </w:t>
      </w:r>
    </w:p>
    <w:p w:rsidR="00740D3F" w:rsidRDefault="00740D3F" w:rsidP="00C228F9">
      <w:pPr>
        <w:spacing w:line="360" w:lineRule="auto"/>
        <w:ind w:firstLine="429"/>
        <w:jc w:val="both"/>
        <w:rPr>
          <w:rFonts w:cs="Arial"/>
          <w:szCs w:val="22"/>
          <w:lang w:val="hr-HR"/>
        </w:rPr>
      </w:pPr>
    </w:p>
    <w:p w:rsidR="008F7ED9" w:rsidRDefault="008F7ED9" w:rsidP="00C228F9">
      <w:pPr>
        <w:spacing w:line="360" w:lineRule="auto"/>
        <w:ind w:firstLine="429"/>
        <w:jc w:val="both"/>
        <w:rPr>
          <w:rFonts w:cs="Arial"/>
          <w:szCs w:val="22"/>
          <w:lang w:val="hr-HR"/>
        </w:rPr>
      </w:pPr>
    </w:p>
    <w:p w:rsidR="002E7478" w:rsidRDefault="00C228F9" w:rsidP="002E7478">
      <w:pPr>
        <w:pStyle w:val="Heading1"/>
      </w:pPr>
      <w:bookmarkStart w:id="168" w:name="_Toc386285792"/>
      <w:bookmarkStart w:id="169" w:name="_Toc386498332"/>
      <w:bookmarkStart w:id="170" w:name="_Toc386563077"/>
      <w:bookmarkStart w:id="171" w:name="_Toc386567239"/>
      <w:bookmarkStart w:id="172" w:name="_Toc386619632"/>
      <w:r w:rsidRPr="00B830BB">
        <w:t>P</w:t>
      </w:r>
      <w:r w:rsidR="002E7478">
        <w:t>regled sudske prakse</w:t>
      </w:r>
      <w:bookmarkEnd w:id="168"/>
      <w:bookmarkEnd w:id="169"/>
      <w:bookmarkEnd w:id="170"/>
      <w:bookmarkEnd w:id="171"/>
      <w:bookmarkEnd w:id="172"/>
    </w:p>
    <w:p w:rsidR="001113BC" w:rsidRDefault="001113BC" w:rsidP="001113BC">
      <w:pPr>
        <w:pStyle w:val="Heading2"/>
        <w:numPr>
          <w:ilvl w:val="0"/>
          <w:numId w:val="0"/>
        </w:numPr>
        <w:ind w:left="576"/>
      </w:pPr>
      <w:bookmarkStart w:id="173" w:name="_Toc386285796"/>
    </w:p>
    <w:p w:rsidR="00EE6369" w:rsidRPr="00B830BB" w:rsidRDefault="00EE6369" w:rsidP="002E7478">
      <w:pPr>
        <w:pStyle w:val="Heading2"/>
      </w:pPr>
      <w:bookmarkStart w:id="174" w:name="_Toc386498333"/>
      <w:bookmarkStart w:id="175" w:name="_Toc386563078"/>
      <w:bookmarkStart w:id="176" w:name="_Toc386567240"/>
      <w:bookmarkStart w:id="177" w:name="_Toc386619633"/>
      <w:r w:rsidRPr="00B830BB">
        <w:t>Praksa Europskog suda za ljudska prava</w:t>
      </w:r>
      <w:bookmarkEnd w:id="173"/>
      <w:bookmarkEnd w:id="174"/>
      <w:bookmarkEnd w:id="175"/>
      <w:bookmarkEnd w:id="176"/>
      <w:bookmarkEnd w:id="177"/>
      <w:r w:rsidRPr="00B830BB">
        <w:t xml:space="preserve"> </w:t>
      </w:r>
    </w:p>
    <w:p w:rsidR="00EE6369" w:rsidRPr="00B830BB" w:rsidRDefault="00EE6369" w:rsidP="00EE6369">
      <w:pPr>
        <w:pStyle w:val="Heading1"/>
        <w:numPr>
          <w:ilvl w:val="0"/>
          <w:numId w:val="0"/>
        </w:numPr>
        <w:ind w:left="432"/>
        <w:rPr>
          <w:rFonts w:cs="Arial"/>
          <w:lang w:val="hr-HR"/>
        </w:rPr>
      </w:pPr>
    </w:p>
    <w:p w:rsidR="001F55B4" w:rsidRDefault="001F55B4" w:rsidP="007E12DD">
      <w:pPr>
        <w:pStyle w:val="Heading3"/>
      </w:pPr>
      <w:bookmarkStart w:id="178" w:name="_Toc386285801"/>
      <w:bookmarkStart w:id="179" w:name="_Toc386498334"/>
      <w:bookmarkStart w:id="180" w:name="_Toc386563079"/>
      <w:bookmarkStart w:id="181" w:name="_Toc386567241"/>
      <w:bookmarkStart w:id="182" w:name="_Toc386619634"/>
      <w:r w:rsidRPr="00B830BB">
        <w:t>Slučaj The Pirate Bay u Švedskoj</w:t>
      </w:r>
      <w:bookmarkEnd w:id="178"/>
      <w:bookmarkEnd w:id="179"/>
      <w:bookmarkEnd w:id="180"/>
      <w:bookmarkEnd w:id="181"/>
      <w:bookmarkEnd w:id="182"/>
    </w:p>
    <w:p w:rsidR="007E12DD" w:rsidRPr="007E12DD" w:rsidRDefault="007E12DD" w:rsidP="007E12DD">
      <w:pPr>
        <w:pStyle w:val="Heading2"/>
        <w:numPr>
          <w:ilvl w:val="0"/>
          <w:numId w:val="0"/>
        </w:numPr>
        <w:ind w:left="576"/>
      </w:pPr>
    </w:p>
    <w:p w:rsidR="001F55B4" w:rsidRPr="00B830BB" w:rsidRDefault="009A08DB" w:rsidP="002B156F">
      <w:pPr>
        <w:spacing w:line="360" w:lineRule="auto"/>
        <w:ind w:firstLine="708"/>
        <w:jc w:val="both"/>
        <w:rPr>
          <w:rFonts w:cs="Arial"/>
          <w:szCs w:val="22"/>
          <w:lang w:val="hr-HR"/>
        </w:rPr>
      </w:pPr>
      <w:r w:rsidRPr="00B830BB">
        <w:rPr>
          <w:rFonts w:cs="Arial"/>
          <w:szCs w:val="22"/>
          <w:lang w:val="hr-HR"/>
        </w:rPr>
        <w:t xml:space="preserve">U postupku </w:t>
      </w:r>
      <w:r w:rsidR="005235A7">
        <w:rPr>
          <w:rFonts w:cs="Arial"/>
          <w:szCs w:val="22"/>
          <w:lang w:val="hr-HR"/>
        </w:rPr>
        <w:t>pokrenutom protiv njih pred Švedskim nacionalnim sudovima,</w:t>
      </w:r>
      <w:r w:rsidRPr="00B830BB">
        <w:rPr>
          <w:rFonts w:cs="Arial"/>
          <w:szCs w:val="22"/>
          <w:lang w:val="hr-HR"/>
        </w:rPr>
        <w:t xml:space="preserve"> četvorica tuženika, uključujući ISP stvoritelje i operatere web stranice </w:t>
      </w:r>
      <w:r w:rsidRPr="005235A7">
        <w:rPr>
          <w:i/>
          <w:lang w:val="hr-HR"/>
        </w:rPr>
        <w:t>The Pirate Bay</w:t>
      </w:r>
      <w:r w:rsidRPr="00B830BB">
        <w:rPr>
          <w:rFonts w:cs="Arial"/>
          <w:szCs w:val="22"/>
          <w:lang w:val="hr-HR"/>
        </w:rPr>
        <w:t xml:space="preserve">, proglašeni su </w:t>
      </w:r>
      <w:r w:rsidR="005235A7">
        <w:rPr>
          <w:rFonts w:cs="Arial"/>
          <w:szCs w:val="22"/>
          <w:lang w:val="hr-HR"/>
        </w:rPr>
        <w:lastRenderedPageBreak/>
        <w:t>odgovornima</w:t>
      </w:r>
      <w:r w:rsidRPr="00B830BB">
        <w:rPr>
          <w:rFonts w:cs="Arial"/>
          <w:szCs w:val="22"/>
          <w:lang w:val="hr-HR"/>
        </w:rPr>
        <w:t xml:space="preserve"> za olakšavanje korisnicima njihove web stranice na kršenja autorskih prava, odnosno pomaganja u kršenju tih prava. Unatoč pozivanjima obrane na odredbe Direktive o elektroničkoj trgovini, tuženici se nisu uspjeli osloboditi odgovornosti i to stoga što Direktiva propisuje da</w:t>
      </w:r>
      <w:r w:rsidR="002B156F" w:rsidRPr="00B830BB">
        <w:rPr>
          <w:rFonts w:cs="Arial"/>
          <w:szCs w:val="22"/>
          <w:lang w:val="hr-HR"/>
        </w:rPr>
        <w:t>,</w:t>
      </w:r>
      <w:r w:rsidR="001F55B4" w:rsidRPr="00B830BB">
        <w:rPr>
          <w:rFonts w:cs="Arial"/>
          <w:szCs w:val="22"/>
          <w:lang w:val="hr-HR"/>
        </w:rPr>
        <w:t xml:space="preserve"> čak i kad ISP ne pokrene prijenos, on ne može izbjeći odgovornost ako selektira ili modificira sadržaj u bilo kojoj transmisiji. Prema tome, budući da su katalogizirali nezakonit sadržaj koji su korisnici postavljali na njihovu internet stranicu, tuženici su efektivno modificirali nezakonito prenesenu informaciju.</w:t>
      </w:r>
      <w:r w:rsidR="00095124" w:rsidRPr="00B830BB">
        <w:rPr>
          <w:rStyle w:val="FootnoteReference"/>
          <w:rFonts w:cs="Arial"/>
          <w:lang w:val="hr-HR"/>
        </w:rPr>
        <w:t xml:space="preserve"> </w:t>
      </w:r>
      <w:r w:rsidR="00095124" w:rsidRPr="00B830BB">
        <w:rPr>
          <w:rStyle w:val="FootnoteReference"/>
          <w:rFonts w:cs="Arial"/>
          <w:lang w:val="hr-HR"/>
        </w:rPr>
        <w:footnoteReference w:id="88"/>
      </w:r>
    </w:p>
    <w:p w:rsidR="002B156F" w:rsidRPr="00B830BB" w:rsidRDefault="002B156F" w:rsidP="002B156F">
      <w:pPr>
        <w:spacing w:line="360" w:lineRule="auto"/>
        <w:ind w:firstLine="708"/>
        <w:jc w:val="both"/>
        <w:rPr>
          <w:rFonts w:cs="Arial"/>
          <w:szCs w:val="22"/>
          <w:lang w:val="hr-HR"/>
        </w:rPr>
      </w:pPr>
      <w:r w:rsidRPr="00B830BB">
        <w:rPr>
          <w:rFonts w:cs="Arial"/>
          <w:szCs w:val="22"/>
          <w:lang w:val="hr-HR"/>
        </w:rPr>
        <w:t xml:space="preserve">Ovaj slučaj dobio je svoj epilog u obliku odluke Europskog suda za ljudska prava o nedopuštenosti zahtjeva u predmetu </w:t>
      </w:r>
      <w:r w:rsidRPr="00B830BB">
        <w:rPr>
          <w:rFonts w:cs="Arial"/>
          <w:i/>
          <w:szCs w:val="22"/>
          <w:lang w:val="hr-HR"/>
        </w:rPr>
        <w:t xml:space="preserve">Neij and Sunde Kolmisoppi </w:t>
      </w:r>
      <w:r w:rsidR="00EE7791">
        <w:rPr>
          <w:rFonts w:cs="Arial"/>
          <w:i/>
          <w:szCs w:val="22"/>
          <w:lang w:val="hr-HR"/>
        </w:rPr>
        <w:t>protiv Švedske</w:t>
      </w:r>
      <w:r w:rsidRPr="00B830BB">
        <w:rPr>
          <w:rFonts w:cs="Arial"/>
          <w:szCs w:val="22"/>
          <w:lang w:val="hr-HR"/>
        </w:rPr>
        <w:t>.</w:t>
      </w:r>
      <w:r w:rsidRPr="00B830BB">
        <w:rPr>
          <w:rStyle w:val="FootnoteReference"/>
          <w:rFonts w:cs="Arial"/>
          <w:szCs w:val="22"/>
          <w:lang w:val="hr-HR"/>
        </w:rPr>
        <w:footnoteReference w:id="89"/>
      </w:r>
    </w:p>
    <w:p w:rsidR="001E4026" w:rsidRPr="00B830BB" w:rsidRDefault="001E4026" w:rsidP="002B156F">
      <w:pPr>
        <w:spacing w:line="360" w:lineRule="auto"/>
        <w:ind w:firstLine="708"/>
        <w:jc w:val="both"/>
        <w:rPr>
          <w:rFonts w:cs="Arial"/>
          <w:szCs w:val="22"/>
          <w:lang w:val="hr-HR"/>
        </w:rPr>
      </w:pPr>
      <w:r w:rsidRPr="00B830BB">
        <w:rPr>
          <w:rFonts w:cs="Arial"/>
          <w:szCs w:val="22"/>
          <w:lang w:val="hr-HR"/>
        </w:rPr>
        <w:t>Naime, po završetku nacionalnog postupka u kojem su osuđeni na kazne zatvora i isplatu naknade štete u ukupnom iznosu od €3 000 000, dvojica optuženika podnijela su zahtjev Sudu za zaštitu njihovog prava na slobodu izražavanja, za koje su smatrali da im je prekršeno.</w:t>
      </w:r>
    </w:p>
    <w:p w:rsidR="00F3083F" w:rsidRPr="00B830BB" w:rsidRDefault="001E4026" w:rsidP="002B156F">
      <w:pPr>
        <w:spacing w:line="360" w:lineRule="auto"/>
        <w:ind w:firstLine="708"/>
        <w:jc w:val="both"/>
        <w:rPr>
          <w:rFonts w:cs="Arial"/>
          <w:szCs w:val="22"/>
          <w:lang w:val="hr-HR"/>
        </w:rPr>
      </w:pPr>
      <w:r w:rsidRPr="00B830BB">
        <w:rPr>
          <w:rFonts w:cs="Arial"/>
          <w:szCs w:val="22"/>
          <w:lang w:val="hr-HR"/>
        </w:rPr>
        <w:t>Ispitujući dopustivost zahtjeva, Sud je utvrdio kako podnositelji zaista jesu pružili drugima sredstva za širenje i primanje informacije, čime je njihovo djelova</w:t>
      </w:r>
      <w:r w:rsidR="00DD02E0" w:rsidRPr="00B830BB">
        <w:rPr>
          <w:rFonts w:cs="Arial"/>
          <w:szCs w:val="22"/>
          <w:lang w:val="hr-HR"/>
        </w:rPr>
        <w:t>n</w:t>
      </w:r>
      <w:r w:rsidRPr="00B830BB">
        <w:rPr>
          <w:rFonts w:cs="Arial"/>
          <w:szCs w:val="22"/>
          <w:lang w:val="hr-HR"/>
        </w:rPr>
        <w:t>je</w:t>
      </w:r>
      <w:r w:rsidR="00DD02E0" w:rsidRPr="00B830BB">
        <w:rPr>
          <w:rFonts w:cs="Arial"/>
          <w:szCs w:val="22"/>
          <w:lang w:val="hr-HR"/>
        </w:rPr>
        <w:t xml:space="preserve"> ušlo u opseg čl. 10. Konvencije. </w:t>
      </w:r>
      <w:r w:rsidR="009E5F9D" w:rsidRPr="00B830BB">
        <w:rPr>
          <w:rFonts w:cs="Arial"/>
          <w:szCs w:val="22"/>
          <w:lang w:val="hr-HR"/>
        </w:rPr>
        <w:t>Štoviše</w:t>
      </w:r>
      <w:r w:rsidR="00DD02E0" w:rsidRPr="00B830BB">
        <w:rPr>
          <w:rFonts w:cs="Arial"/>
          <w:szCs w:val="22"/>
          <w:lang w:val="hr-HR"/>
        </w:rPr>
        <w:t>, utvrđeno je</w:t>
      </w:r>
      <w:r w:rsidR="009E5F9D" w:rsidRPr="00B830BB">
        <w:rPr>
          <w:rFonts w:cs="Arial"/>
          <w:szCs w:val="22"/>
          <w:lang w:val="hr-HR"/>
        </w:rPr>
        <w:t xml:space="preserve"> i</w:t>
      </w:r>
      <w:r w:rsidR="00DD02E0" w:rsidRPr="00B830BB">
        <w:rPr>
          <w:rFonts w:cs="Arial"/>
          <w:szCs w:val="22"/>
          <w:lang w:val="hr-HR"/>
        </w:rPr>
        <w:t xml:space="preserve"> kako njihovo pravo jest bilo ograničeno</w:t>
      </w:r>
      <w:r w:rsidR="00A34CC5" w:rsidRPr="00B830BB">
        <w:rPr>
          <w:rFonts w:cs="Arial"/>
          <w:szCs w:val="22"/>
          <w:lang w:val="hr-HR"/>
        </w:rPr>
        <w:t>,</w:t>
      </w:r>
      <w:r w:rsidR="00DD02E0" w:rsidRPr="00B830BB">
        <w:rPr>
          <w:rFonts w:cs="Arial"/>
          <w:szCs w:val="22"/>
          <w:lang w:val="hr-HR"/>
        </w:rPr>
        <w:t xml:space="preserve"> no Sud je, provjeravajući sukladnost tog ograničenja sa zahtjevima postavljenim u čl. 10. st. 2., također utvrdio i da je ograničenje udovoljilo svim uvjetima trostupanjskog testa</w:t>
      </w:r>
      <w:r w:rsidR="00B26E72">
        <w:rPr>
          <w:rFonts w:cs="Arial"/>
          <w:szCs w:val="22"/>
          <w:lang w:val="hr-HR"/>
        </w:rPr>
        <w:t xml:space="preserve"> (više </w:t>
      </w:r>
      <w:r w:rsidR="00B26E72" w:rsidRPr="00B26E72">
        <w:rPr>
          <w:rFonts w:cs="Arial"/>
          <w:i/>
          <w:szCs w:val="22"/>
          <w:lang w:val="hr-HR"/>
        </w:rPr>
        <w:t>infra</w:t>
      </w:r>
      <w:r w:rsidR="00B26E72">
        <w:rPr>
          <w:rFonts w:cs="Arial"/>
          <w:szCs w:val="22"/>
          <w:lang w:val="hr-HR"/>
        </w:rPr>
        <w:t xml:space="preserve"> </w:t>
      </w:r>
      <w:r w:rsidR="00DF3651" w:rsidRPr="00B26E72">
        <w:rPr>
          <w:rFonts w:cs="Arial"/>
          <w:i/>
          <w:szCs w:val="22"/>
          <w:lang w:val="hr-HR"/>
        </w:rPr>
        <w:t>ad</w:t>
      </w:r>
      <w:r w:rsidR="001A2204" w:rsidRPr="00B26E72">
        <w:rPr>
          <w:rFonts w:cs="Arial"/>
          <w:i/>
          <w:szCs w:val="22"/>
          <w:lang w:val="hr-HR"/>
        </w:rPr>
        <w:t>.</w:t>
      </w:r>
      <w:r w:rsidR="00DF3651" w:rsidRPr="00B26E72">
        <w:rPr>
          <w:rFonts w:cs="Arial"/>
          <w:i/>
          <w:szCs w:val="22"/>
          <w:lang w:val="hr-HR"/>
        </w:rPr>
        <w:t xml:space="preserve"> </w:t>
      </w:r>
      <w:r w:rsidR="00B26E72">
        <w:rPr>
          <w:rFonts w:cs="Arial"/>
          <w:szCs w:val="22"/>
          <w:lang w:val="hr-HR"/>
        </w:rPr>
        <w:t>3.2.1.3</w:t>
      </w:r>
      <w:r w:rsidR="00DF3651">
        <w:rPr>
          <w:rFonts w:cs="Arial"/>
          <w:szCs w:val="22"/>
          <w:lang w:val="hr-HR"/>
        </w:rPr>
        <w:t>)</w:t>
      </w:r>
      <w:r w:rsidR="00DD02E0" w:rsidRPr="00B830BB">
        <w:rPr>
          <w:rFonts w:cs="Arial"/>
          <w:szCs w:val="22"/>
          <w:lang w:val="hr-HR"/>
        </w:rPr>
        <w:t xml:space="preserve"> čime je zahvat države u pravo na slobodu izražavanja podnositelja zahtjeva proglašen opravdanim.</w:t>
      </w:r>
      <w:r w:rsidR="00A34CC5" w:rsidRPr="00B830BB">
        <w:rPr>
          <w:rFonts w:cs="Arial"/>
          <w:szCs w:val="22"/>
          <w:lang w:val="hr-HR"/>
        </w:rPr>
        <w:t xml:space="preserve"> Naime, Sud je </w:t>
      </w:r>
      <w:r w:rsidR="00EE5ECF" w:rsidRPr="00B830BB">
        <w:rPr>
          <w:rFonts w:cs="Arial"/>
          <w:szCs w:val="22"/>
          <w:lang w:val="hr-HR"/>
        </w:rPr>
        <w:t>smatrao</w:t>
      </w:r>
      <w:r w:rsidR="00A34CC5" w:rsidRPr="00B830BB">
        <w:rPr>
          <w:rFonts w:cs="Arial"/>
          <w:szCs w:val="22"/>
          <w:lang w:val="hr-HR"/>
        </w:rPr>
        <w:t xml:space="preserve"> kako je norma koja je bila temelj osude bila propisana zakonom te kako je ista štitila legitiman cilj zaštite prava drugih i sprječavanja kaznenih djela.</w:t>
      </w:r>
    </w:p>
    <w:p w:rsidR="001113BC" w:rsidRDefault="00A34CC5" w:rsidP="002B156F">
      <w:pPr>
        <w:spacing w:line="360" w:lineRule="auto"/>
        <w:ind w:firstLine="708"/>
        <w:jc w:val="both"/>
        <w:rPr>
          <w:rFonts w:cs="Arial"/>
          <w:szCs w:val="22"/>
          <w:lang w:val="hr-HR"/>
        </w:rPr>
      </w:pPr>
      <w:r w:rsidRPr="00B830BB">
        <w:rPr>
          <w:rFonts w:cs="Arial"/>
          <w:szCs w:val="22"/>
          <w:lang w:val="hr-HR"/>
        </w:rPr>
        <w:t xml:space="preserve">Nadalje, </w:t>
      </w:r>
      <w:r w:rsidR="00F3083F" w:rsidRPr="00B830BB">
        <w:rPr>
          <w:rFonts w:cs="Arial"/>
          <w:szCs w:val="22"/>
          <w:lang w:val="hr-HR"/>
        </w:rPr>
        <w:t xml:space="preserve">u pogledu proporcionalnosti Sud je imao zadatak vaganja dva suprotstavljena interesa – interes podnositelja zahtjeva da im se dopusti djelovanje na olakšavanju </w:t>
      </w:r>
      <w:r w:rsidR="00D2004D" w:rsidRPr="00B830BB">
        <w:rPr>
          <w:rFonts w:cs="Arial"/>
          <w:szCs w:val="22"/>
          <w:lang w:val="hr-HR"/>
        </w:rPr>
        <w:t xml:space="preserve">širenja </w:t>
      </w:r>
      <w:r w:rsidR="001B1D2D" w:rsidRPr="00B830BB">
        <w:rPr>
          <w:rFonts w:cs="Arial"/>
          <w:szCs w:val="22"/>
          <w:lang w:val="hr-HR"/>
        </w:rPr>
        <w:t xml:space="preserve">informacija (zaštićen čl. 10.), s jedne strane, te interes zaštite autorskih prava (zaštićen čl. 1. Protokola br. 1 uz Konvenciju), s druge strane. </w:t>
      </w:r>
      <w:r w:rsidR="009E5F9D" w:rsidRPr="00B830BB">
        <w:rPr>
          <w:rFonts w:cs="Arial"/>
          <w:szCs w:val="22"/>
          <w:lang w:val="hr-HR"/>
        </w:rPr>
        <w:t>Pritom</w:t>
      </w:r>
      <w:r w:rsidR="00A132B3" w:rsidRPr="00B830BB">
        <w:rPr>
          <w:rFonts w:cs="Arial"/>
          <w:szCs w:val="22"/>
          <w:lang w:val="hr-HR"/>
        </w:rPr>
        <w:t xml:space="preserve">, </w:t>
      </w:r>
      <w:r w:rsidR="009E5F9D" w:rsidRPr="00B830BB">
        <w:rPr>
          <w:rFonts w:cs="Arial"/>
          <w:szCs w:val="22"/>
          <w:lang w:val="hr-HR"/>
        </w:rPr>
        <w:t xml:space="preserve">Sud je uzeo u obzir činjenicu kako je, </w:t>
      </w:r>
      <w:r w:rsidR="00A132B3" w:rsidRPr="00B830BB">
        <w:rPr>
          <w:rFonts w:cs="Arial"/>
          <w:szCs w:val="22"/>
          <w:lang w:val="hr-HR"/>
        </w:rPr>
        <w:t xml:space="preserve">budući da je imala ulogu balansiranja tih dvaju prava, država uživala i šire pravo na slobodnu procjenu (eng. </w:t>
      </w:r>
      <w:r w:rsidR="00A132B3" w:rsidRPr="00B830BB">
        <w:rPr>
          <w:rFonts w:cs="Arial"/>
          <w:i/>
          <w:szCs w:val="22"/>
          <w:lang w:val="hr-HR"/>
        </w:rPr>
        <w:t>margin of appreciation</w:t>
      </w:r>
      <w:r w:rsidR="00A132B3" w:rsidRPr="00B830BB">
        <w:rPr>
          <w:rFonts w:cs="Arial"/>
          <w:szCs w:val="22"/>
          <w:lang w:val="hr-HR"/>
        </w:rPr>
        <w:t>)</w:t>
      </w:r>
      <w:r w:rsidR="009E5F9D" w:rsidRPr="00B830BB">
        <w:rPr>
          <w:rFonts w:cs="Arial"/>
          <w:szCs w:val="22"/>
          <w:lang w:val="hr-HR"/>
        </w:rPr>
        <w:t xml:space="preserve"> koji od sukobljenih interesa bi trebalo prevagnuti. </w:t>
      </w:r>
      <w:r w:rsidR="008955B4" w:rsidRPr="00B830BB">
        <w:rPr>
          <w:rFonts w:cs="Arial"/>
          <w:szCs w:val="22"/>
          <w:lang w:val="hr-HR"/>
        </w:rPr>
        <w:t>Sloboda procjen</w:t>
      </w:r>
      <w:r w:rsidR="005C49F7" w:rsidRPr="00B830BB">
        <w:rPr>
          <w:rFonts w:cs="Arial"/>
          <w:szCs w:val="22"/>
          <w:lang w:val="hr-HR"/>
        </w:rPr>
        <w:t>e</w:t>
      </w:r>
      <w:r w:rsidR="008955B4" w:rsidRPr="00B830BB">
        <w:rPr>
          <w:rFonts w:cs="Arial"/>
          <w:szCs w:val="22"/>
          <w:lang w:val="hr-HR"/>
        </w:rPr>
        <w:t xml:space="preserve"> bila je šira </w:t>
      </w:r>
      <w:r w:rsidR="005C49F7" w:rsidRPr="00B830BB">
        <w:rPr>
          <w:rFonts w:cs="Arial"/>
          <w:szCs w:val="22"/>
          <w:lang w:val="hr-HR"/>
        </w:rPr>
        <w:t xml:space="preserve">iz razloga što u predmetnom slučaju materijali obuhvaćeni pravom iz čl. 10. nisu uživali tako visoku razinu zaštite kakva je </w:t>
      </w:r>
      <w:r w:rsidR="008A6B70" w:rsidRPr="00B830BB">
        <w:rPr>
          <w:rFonts w:cs="Arial"/>
          <w:szCs w:val="22"/>
          <w:lang w:val="hr-HR"/>
        </w:rPr>
        <w:t>predviđena</w:t>
      </w:r>
      <w:r w:rsidR="005C49F7" w:rsidRPr="00B830BB">
        <w:rPr>
          <w:rFonts w:cs="Arial"/>
          <w:szCs w:val="22"/>
          <w:lang w:val="hr-HR"/>
        </w:rPr>
        <w:t xml:space="preserve">, primjerice, </w:t>
      </w:r>
      <w:r w:rsidR="008A6B70" w:rsidRPr="00B830BB">
        <w:rPr>
          <w:rFonts w:cs="Arial"/>
          <w:szCs w:val="22"/>
          <w:lang w:val="hr-HR"/>
        </w:rPr>
        <w:t xml:space="preserve">za </w:t>
      </w:r>
      <w:r w:rsidR="005C49F7" w:rsidRPr="00B830BB">
        <w:rPr>
          <w:rFonts w:cs="Arial"/>
          <w:szCs w:val="22"/>
          <w:lang w:val="hr-HR"/>
        </w:rPr>
        <w:t>političk</w:t>
      </w:r>
      <w:r w:rsidR="008A6B70" w:rsidRPr="00B830BB">
        <w:rPr>
          <w:rFonts w:cs="Arial"/>
          <w:szCs w:val="22"/>
          <w:lang w:val="hr-HR"/>
        </w:rPr>
        <w:t>e</w:t>
      </w:r>
      <w:r w:rsidR="005C49F7" w:rsidRPr="00B830BB">
        <w:rPr>
          <w:rFonts w:cs="Arial"/>
          <w:szCs w:val="22"/>
          <w:lang w:val="hr-HR"/>
        </w:rPr>
        <w:t xml:space="preserve"> govor</w:t>
      </w:r>
      <w:r w:rsidR="008A6B70" w:rsidRPr="00B830BB">
        <w:rPr>
          <w:rFonts w:cs="Arial"/>
          <w:szCs w:val="22"/>
          <w:lang w:val="hr-HR"/>
        </w:rPr>
        <w:t>e</w:t>
      </w:r>
      <w:r w:rsidR="005C49F7" w:rsidRPr="00B830BB">
        <w:rPr>
          <w:rFonts w:cs="Arial"/>
          <w:szCs w:val="22"/>
          <w:lang w:val="hr-HR"/>
        </w:rPr>
        <w:t xml:space="preserve"> i debat</w:t>
      </w:r>
      <w:r w:rsidR="008A6B70" w:rsidRPr="00B830BB">
        <w:rPr>
          <w:rFonts w:cs="Arial"/>
          <w:szCs w:val="22"/>
          <w:lang w:val="hr-HR"/>
        </w:rPr>
        <w:t>e</w:t>
      </w:r>
      <w:r w:rsidR="005C49F7" w:rsidRPr="00B830BB">
        <w:rPr>
          <w:rFonts w:cs="Arial"/>
          <w:szCs w:val="22"/>
          <w:lang w:val="hr-HR"/>
        </w:rPr>
        <w:t xml:space="preserve"> koj</w:t>
      </w:r>
      <w:r w:rsidR="008A6B70" w:rsidRPr="00B830BB">
        <w:rPr>
          <w:rFonts w:cs="Arial"/>
          <w:szCs w:val="22"/>
          <w:lang w:val="hr-HR"/>
        </w:rPr>
        <w:t>i</w:t>
      </w:r>
      <w:r w:rsidR="005C49F7" w:rsidRPr="00B830BB">
        <w:rPr>
          <w:rFonts w:cs="Arial"/>
          <w:szCs w:val="22"/>
          <w:lang w:val="hr-HR"/>
        </w:rPr>
        <w:t xml:space="preserve"> ipak služe određenom javnom </w:t>
      </w:r>
      <w:r w:rsidR="005C49F7" w:rsidRPr="00B830BB">
        <w:rPr>
          <w:rFonts w:cs="Arial"/>
          <w:szCs w:val="22"/>
          <w:lang w:val="hr-HR"/>
        </w:rPr>
        <w:lastRenderedPageBreak/>
        <w:t xml:space="preserve">interesu. </w:t>
      </w:r>
      <w:r w:rsidR="008A6B70" w:rsidRPr="00B830BB">
        <w:rPr>
          <w:rFonts w:cs="Arial"/>
          <w:szCs w:val="22"/>
          <w:lang w:val="hr-HR"/>
        </w:rPr>
        <w:t>Nasuprot tome, jasna zaštita autorskih prava zajamčena nacionalnim zakonom predstavljala je dovoljno snažne razloge za ograničenje prava na slobodu izražavanja.</w:t>
      </w:r>
      <w:r w:rsidR="00C15CC7" w:rsidRPr="00B830BB">
        <w:rPr>
          <w:rFonts w:cs="Arial"/>
          <w:szCs w:val="22"/>
          <w:lang w:val="hr-HR"/>
        </w:rPr>
        <w:t xml:space="preserve"> </w:t>
      </w:r>
    </w:p>
    <w:p w:rsidR="001E4026" w:rsidRPr="00B830BB" w:rsidRDefault="00C15CC7" w:rsidP="002B156F">
      <w:pPr>
        <w:spacing w:line="360" w:lineRule="auto"/>
        <w:ind w:firstLine="708"/>
        <w:jc w:val="both"/>
        <w:rPr>
          <w:rFonts w:cs="Arial"/>
          <w:szCs w:val="22"/>
          <w:lang w:val="hr-HR"/>
        </w:rPr>
      </w:pPr>
      <w:r w:rsidRPr="00B830BB">
        <w:rPr>
          <w:rFonts w:cs="Arial"/>
          <w:szCs w:val="22"/>
          <w:lang w:val="hr-HR"/>
        </w:rPr>
        <w:t>Šve</w:t>
      </w:r>
      <w:r w:rsidR="00AB2A8A" w:rsidRPr="00B830BB">
        <w:rPr>
          <w:rFonts w:cs="Arial"/>
          <w:szCs w:val="22"/>
          <w:lang w:val="hr-HR"/>
        </w:rPr>
        <w:t xml:space="preserve">dski sudovi imali su valjane i dostatne argumente da zaključe kako su aktivnosti podnositelja zahtjeva vezane u </w:t>
      </w:r>
      <w:r w:rsidR="00AB2A8A" w:rsidRPr="00B830BB">
        <w:rPr>
          <w:rFonts w:cs="Arial"/>
          <w:i/>
          <w:szCs w:val="22"/>
          <w:lang w:val="hr-HR"/>
        </w:rPr>
        <w:t>The Pirate Bay</w:t>
      </w:r>
      <w:r w:rsidR="00AB2A8A" w:rsidRPr="00B830BB">
        <w:rPr>
          <w:rFonts w:cs="Arial"/>
          <w:szCs w:val="22"/>
          <w:lang w:val="hr-HR"/>
        </w:rPr>
        <w:t xml:space="preserve"> stranicu bile potaknute financijskim interesima te </w:t>
      </w:r>
      <w:r w:rsidR="001A2204" w:rsidRPr="001A2204">
        <w:rPr>
          <w:rFonts w:cs="Arial"/>
          <w:i/>
          <w:szCs w:val="22"/>
          <w:lang w:val="hr-HR"/>
        </w:rPr>
        <w:t>a fortiori</w:t>
      </w:r>
      <w:r w:rsidR="00AB2A8A" w:rsidRPr="00B830BB">
        <w:rPr>
          <w:rFonts w:cs="Arial"/>
          <w:szCs w:val="22"/>
          <w:lang w:val="hr-HR"/>
        </w:rPr>
        <w:t xml:space="preserve"> predstavljale kazneno djelo. Naposljetku, Sud je pronašao kako se zatvorska kazna i dosuđena naknada štete ne mogu smatrati nerazmjernima kad se uzme u razmatranje izostanak bilo kakvog djelovanja podnositelja zahtjeva na uklanjanju spornih </w:t>
      </w:r>
      <w:r w:rsidR="00AB2A8A" w:rsidRPr="00B830BB">
        <w:rPr>
          <w:rFonts w:cs="Arial"/>
          <w:i/>
          <w:szCs w:val="22"/>
          <w:lang w:val="hr-HR"/>
        </w:rPr>
        <w:t>torrent</w:t>
      </w:r>
      <w:r w:rsidR="00AB2A8A" w:rsidRPr="00B830BB">
        <w:rPr>
          <w:rFonts w:cs="Arial"/>
          <w:szCs w:val="22"/>
          <w:lang w:val="hr-HR"/>
        </w:rPr>
        <w:t xml:space="preserve"> datoteka, posebice s obzirom na to da </w:t>
      </w:r>
      <w:r w:rsidR="006F2089">
        <w:rPr>
          <w:rFonts w:cs="Arial"/>
          <w:szCs w:val="22"/>
          <w:lang w:val="hr-HR"/>
        </w:rPr>
        <w:t>je od njih bilo zahti</w:t>
      </w:r>
      <w:r w:rsidR="00EB66F7" w:rsidRPr="00B830BB">
        <w:rPr>
          <w:rFonts w:cs="Arial"/>
          <w:szCs w:val="22"/>
          <w:lang w:val="hr-HR"/>
        </w:rPr>
        <w:t>jevano takvo djelovanje.</w:t>
      </w:r>
      <w:r w:rsidR="00AB2A8A" w:rsidRPr="00B830BB">
        <w:rPr>
          <w:rFonts w:cs="Arial"/>
          <w:szCs w:val="22"/>
          <w:lang w:val="hr-HR"/>
        </w:rPr>
        <w:t xml:space="preserve"> Dodatni faktor pri odlučivanju bila je i nezainteresiranost podnositelja zahtjeva za činjenicu da se materijali zaštićeni autorskim pravima šire putem njihove stranice.</w:t>
      </w:r>
    </w:p>
    <w:p w:rsidR="00DB30C3" w:rsidRDefault="00DB30C3" w:rsidP="002B156F">
      <w:pPr>
        <w:spacing w:line="360" w:lineRule="auto"/>
        <w:ind w:firstLine="708"/>
        <w:jc w:val="both"/>
        <w:rPr>
          <w:rFonts w:cs="Arial"/>
          <w:szCs w:val="22"/>
          <w:lang w:val="hr-HR"/>
        </w:rPr>
      </w:pPr>
      <w:r w:rsidRPr="00B830BB">
        <w:rPr>
          <w:rFonts w:cs="Arial"/>
          <w:szCs w:val="22"/>
          <w:lang w:val="hr-HR"/>
        </w:rPr>
        <w:t>Zbog svih tih razloga</w:t>
      </w:r>
      <w:r w:rsidR="00A52820" w:rsidRPr="00B830BB">
        <w:rPr>
          <w:rFonts w:cs="Arial"/>
          <w:szCs w:val="22"/>
          <w:lang w:val="hr-HR"/>
        </w:rPr>
        <w:t>,</w:t>
      </w:r>
      <w:r w:rsidRPr="00B830BB">
        <w:rPr>
          <w:rFonts w:cs="Arial"/>
          <w:szCs w:val="22"/>
          <w:lang w:val="hr-HR"/>
        </w:rPr>
        <w:t xml:space="preserve"> Sud je</w:t>
      </w:r>
      <w:r w:rsidR="002E227D" w:rsidRPr="00B830BB">
        <w:rPr>
          <w:rFonts w:cs="Arial"/>
          <w:szCs w:val="22"/>
          <w:lang w:val="hr-HR"/>
        </w:rPr>
        <w:t xml:space="preserve"> podneseni proglasio zahtjev </w:t>
      </w:r>
      <w:r w:rsidRPr="00B830BB">
        <w:rPr>
          <w:rFonts w:cs="Arial"/>
          <w:szCs w:val="22"/>
          <w:lang w:val="hr-HR"/>
        </w:rPr>
        <w:t xml:space="preserve">očigledno neosnovanim (eng. </w:t>
      </w:r>
      <w:r w:rsidRPr="00B830BB">
        <w:rPr>
          <w:rFonts w:cs="Arial"/>
          <w:i/>
          <w:szCs w:val="22"/>
          <w:lang w:val="hr-HR"/>
        </w:rPr>
        <w:t>manifestly ill-founded</w:t>
      </w:r>
      <w:r w:rsidRPr="00B830BB">
        <w:rPr>
          <w:rFonts w:cs="Arial"/>
          <w:szCs w:val="22"/>
          <w:lang w:val="hr-HR"/>
        </w:rPr>
        <w:t>).</w:t>
      </w:r>
    </w:p>
    <w:p w:rsidR="00E13205" w:rsidRDefault="00E13205" w:rsidP="002B156F">
      <w:pPr>
        <w:spacing w:line="360" w:lineRule="auto"/>
        <w:ind w:firstLine="708"/>
        <w:jc w:val="both"/>
        <w:rPr>
          <w:rFonts w:cs="Arial"/>
          <w:szCs w:val="22"/>
          <w:lang w:val="hr-HR"/>
        </w:rPr>
      </w:pPr>
    </w:p>
    <w:p w:rsidR="009A08DB" w:rsidRDefault="009A08DB" w:rsidP="007E12DD">
      <w:pPr>
        <w:pStyle w:val="Heading3"/>
      </w:pPr>
      <w:bookmarkStart w:id="183" w:name="_Toc386285802"/>
      <w:bookmarkStart w:id="184" w:name="_Toc386498335"/>
      <w:bookmarkStart w:id="185" w:name="_Toc386563080"/>
      <w:bookmarkStart w:id="186" w:name="_Toc386567242"/>
      <w:bookmarkStart w:id="187" w:name="_Toc386619635"/>
      <w:r w:rsidRPr="00B830BB">
        <w:t>Slučaj Delfi AS protiv Estonije</w:t>
      </w:r>
      <w:r w:rsidRPr="00B830BB">
        <w:rPr>
          <w:vertAlign w:val="superscript"/>
        </w:rPr>
        <w:footnoteReference w:id="90"/>
      </w:r>
      <w:bookmarkEnd w:id="183"/>
      <w:bookmarkEnd w:id="184"/>
      <w:bookmarkEnd w:id="185"/>
      <w:bookmarkEnd w:id="186"/>
      <w:bookmarkEnd w:id="187"/>
    </w:p>
    <w:p w:rsidR="00F04F35" w:rsidRPr="00F04F35" w:rsidRDefault="00F04F35" w:rsidP="00F04F35">
      <w:pPr>
        <w:rPr>
          <w:lang w:val="hr-HR"/>
        </w:rPr>
      </w:pPr>
    </w:p>
    <w:p w:rsidR="00941322" w:rsidRPr="00B830BB" w:rsidRDefault="00941322" w:rsidP="00941322">
      <w:pPr>
        <w:rPr>
          <w:rFonts w:cs="Arial"/>
          <w:lang w:val="hr-HR"/>
        </w:rPr>
      </w:pPr>
    </w:p>
    <w:p w:rsidR="009A08DB" w:rsidRDefault="009A08DB" w:rsidP="001113BC">
      <w:pPr>
        <w:spacing w:line="360" w:lineRule="auto"/>
        <w:ind w:firstLine="360"/>
        <w:jc w:val="both"/>
        <w:rPr>
          <w:rFonts w:cs="Arial"/>
          <w:szCs w:val="22"/>
          <w:lang w:val="hr-HR"/>
        </w:rPr>
      </w:pPr>
      <w:r w:rsidRPr="00B830BB">
        <w:rPr>
          <w:rFonts w:cs="Arial"/>
          <w:szCs w:val="22"/>
          <w:lang w:val="hr-HR"/>
        </w:rPr>
        <w:t>Na tragu gore analiziranih odluka švedskog i talijanskih sudova jest i recentna odluka estonskih sudova kojom je estonski novinski portal Delfi proglašen odgovornim za izjave protiv časti i ugleda objavljene od strane anonimnih komentara u prostoru predviđenom za komentare korisnika na njihovoj internet stranici. Slučaj je nakon Estonije stigao i do Europskog suda za ljudska prava, a presuda toga Suda izazvala je još snažniji odjek od izvorne estonske. O konkretnim okolnostima slučaja kao i reakcijama na presude bit će govora u nastavku.</w:t>
      </w:r>
    </w:p>
    <w:p w:rsidR="00941322" w:rsidRPr="00B830BB" w:rsidRDefault="00941322" w:rsidP="00303780">
      <w:pPr>
        <w:spacing w:line="360" w:lineRule="auto"/>
        <w:jc w:val="both"/>
        <w:rPr>
          <w:rFonts w:cs="Arial"/>
          <w:szCs w:val="22"/>
          <w:lang w:val="hr-HR"/>
        </w:rPr>
      </w:pPr>
    </w:p>
    <w:p w:rsidR="009A08DB" w:rsidRPr="00B830BB" w:rsidRDefault="00F70406" w:rsidP="006A1867">
      <w:pPr>
        <w:pStyle w:val="ListParagraph"/>
        <w:numPr>
          <w:ilvl w:val="0"/>
          <w:numId w:val="11"/>
        </w:numPr>
        <w:spacing w:after="200" w:line="360" w:lineRule="auto"/>
        <w:jc w:val="both"/>
        <w:rPr>
          <w:rFonts w:cs="Arial"/>
          <w:bCs/>
          <w:i/>
          <w:szCs w:val="22"/>
          <w:lang w:val="hr-HR"/>
        </w:rPr>
      </w:pPr>
      <w:r>
        <w:rPr>
          <w:rFonts w:cs="Arial"/>
          <w:bCs/>
          <w:i/>
          <w:szCs w:val="22"/>
          <w:lang w:val="hr-HR"/>
        </w:rPr>
        <w:t>Č</w:t>
      </w:r>
      <w:r w:rsidR="009A08DB" w:rsidRPr="00B830BB">
        <w:rPr>
          <w:rFonts w:cs="Arial"/>
          <w:bCs/>
          <w:i/>
          <w:szCs w:val="22"/>
          <w:lang w:val="hr-HR"/>
        </w:rPr>
        <w:t>injenice slučaja</w:t>
      </w:r>
    </w:p>
    <w:p w:rsidR="009A08DB" w:rsidRPr="00B830BB" w:rsidRDefault="009A08DB" w:rsidP="007527BB">
      <w:pPr>
        <w:spacing w:line="360" w:lineRule="auto"/>
        <w:ind w:firstLine="360"/>
        <w:jc w:val="both"/>
        <w:rPr>
          <w:rFonts w:cs="Arial"/>
          <w:szCs w:val="22"/>
          <w:lang w:val="hr-HR"/>
        </w:rPr>
      </w:pPr>
      <w:r w:rsidRPr="00B830BB">
        <w:rPr>
          <w:rFonts w:cs="Arial"/>
          <w:szCs w:val="22"/>
          <w:lang w:val="hr-HR"/>
        </w:rPr>
        <w:t xml:space="preserve">Delfi je jedan od najpopularnijih internetskih portala u Estoniji koji dnevno objavljuje u prosjeku oko tristotinjak članaka. U siječnju 2006. objavili su članak o odluci jedne kompanije koja se bavi prijevozom trajektima kojom mijenjaju rute linija prema otocima. Među 185 komentara (eng. </w:t>
      </w:r>
      <w:r w:rsidRPr="00B830BB">
        <w:rPr>
          <w:rFonts w:cs="Arial"/>
          <w:i/>
          <w:szCs w:val="22"/>
          <w:lang w:val="hr-HR"/>
        </w:rPr>
        <w:t>user generated content</w:t>
      </w:r>
      <w:r w:rsidRPr="00B830BB">
        <w:rPr>
          <w:rFonts w:cs="Arial"/>
          <w:szCs w:val="22"/>
          <w:lang w:val="hr-HR"/>
        </w:rPr>
        <w:t xml:space="preserve">), 20 je bilo sadržavalo vrijeđanje ili prijetnju upućenu najvećem dioničaru te kompanije. On je dva mjeseca kasnije zatražio od Delfija </w:t>
      </w:r>
      <w:r w:rsidRPr="00B830BB">
        <w:rPr>
          <w:rFonts w:cs="Arial"/>
          <w:szCs w:val="22"/>
          <w:lang w:val="hr-HR"/>
        </w:rPr>
        <w:lastRenderedPageBreak/>
        <w:t xml:space="preserve">uklanjanje komentara i naknadu štete u iznosu od 32 000 eura. Delfi je komentare isti dan izbrisao, ali je odbio plaćanje štete. </w:t>
      </w:r>
    </w:p>
    <w:p w:rsidR="00941322" w:rsidRPr="00B830BB" w:rsidRDefault="00941322" w:rsidP="00303780">
      <w:pPr>
        <w:spacing w:line="360" w:lineRule="auto"/>
        <w:jc w:val="both"/>
        <w:rPr>
          <w:rFonts w:cs="Arial"/>
          <w:szCs w:val="22"/>
          <w:lang w:val="hr-HR"/>
        </w:rPr>
      </w:pPr>
    </w:p>
    <w:p w:rsidR="009A08DB" w:rsidRPr="00B830BB" w:rsidRDefault="009A08DB" w:rsidP="006A1867">
      <w:pPr>
        <w:pStyle w:val="ListParagraph"/>
        <w:numPr>
          <w:ilvl w:val="0"/>
          <w:numId w:val="11"/>
        </w:numPr>
        <w:spacing w:after="200" w:line="360" w:lineRule="auto"/>
        <w:jc w:val="both"/>
        <w:rPr>
          <w:rFonts w:cs="Arial"/>
          <w:bCs/>
          <w:i/>
          <w:szCs w:val="22"/>
          <w:lang w:val="hr-HR"/>
        </w:rPr>
      </w:pPr>
      <w:r w:rsidRPr="00B830BB">
        <w:rPr>
          <w:rFonts w:cs="Arial"/>
          <w:bCs/>
          <w:i/>
          <w:szCs w:val="22"/>
          <w:lang w:val="hr-HR"/>
        </w:rPr>
        <w:t>Postupak u Estoniji</w:t>
      </w:r>
    </w:p>
    <w:p w:rsidR="009A08DB" w:rsidRPr="00B830BB" w:rsidRDefault="009A08DB" w:rsidP="007527BB">
      <w:pPr>
        <w:spacing w:line="360" w:lineRule="auto"/>
        <w:ind w:firstLine="360"/>
        <w:jc w:val="both"/>
        <w:rPr>
          <w:rFonts w:cs="Arial"/>
          <w:szCs w:val="22"/>
          <w:lang w:val="hr-HR"/>
        </w:rPr>
      </w:pPr>
      <w:r w:rsidRPr="00B830BB">
        <w:rPr>
          <w:rFonts w:cs="Arial"/>
          <w:szCs w:val="22"/>
          <w:lang w:val="hr-HR"/>
        </w:rPr>
        <w:t>Dioničar je tada pokrenuo parnični postupak. U prvom stupnju njegov zahtjev bio je odbijen</w:t>
      </w:r>
      <w:r w:rsidR="00577E09">
        <w:rPr>
          <w:rFonts w:cs="Arial"/>
          <w:szCs w:val="22"/>
          <w:lang w:val="hr-HR"/>
        </w:rPr>
        <w:t>,</w:t>
      </w:r>
      <w:r w:rsidRPr="00B830BB">
        <w:rPr>
          <w:rFonts w:cs="Arial"/>
          <w:szCs w:val="22"/>
          <w:lang w:val="hr-HR"/>
        </w:rPr>
        <w:t xml:space="preserve"> no žalbeni sud je našao da je prvostupanjski sud pogriješio u primjeni prava te je slučaj vratio na ponovno suđenje. Vrhovni sud odbio je čuti tuženikove žalbene navode. Prilikom ponovljenog suđenja, prvostupanjski sud presudio je u korist tužitelja, obrazlažući kako su, bez obzira na generalno uravnotežen izvorni članak, komentari koji su se nadovezivali na njega bili klevetnički i/ili vrijeđajući, zbog čega im se odricala zaštita prema pravu na slobodu izražavanja. Takvu presudu potvrdio je žalbeni sud, kao i estonski Vrhovni sud. </w:t>
      </w:r>
    </w:p>
    <w:p w:rsidR="009A08DB" w:rsidRPr="00B830BB" w:rsidRDefault="009A08DB" w:rsidP="00090926">
      <w:pPr>
        <w:spacing w:line="360" w:lineRule="auto"/>
        <w:ind w:firstLine="708"/>
        <w:jc w:val="both"/>
        <w:rPr>
          <w:rFonts w:cs="Arial"/>
          <w:szCs w:val="22"/>
          <w:lang w:val="hr-HR"/>
        </w:rPr>
      </w:pPr>
      <w:r w:rsidRPr="00B830BB">
        <w:rPr>
          <w:rFonts w:cs="Arial"/>
          <w:szCs w:val="22"/>
          <w:lang w:val="hr-HR"/>
        </w:rPr>
        <w:t>Međutim, najoštrije kritike izazvao je dio presude u kojem se tvrdi kako se Delfi treba smatrati izdavačem komentara</w:t>
      </w:r>
      <w:r w:rsidR="00577E09">
        <w:rPr>
          <w:rFonts w:cs="Arial"/>
          <w:szCs w:val="22"/>
          <w:lang w:val="hr-HR"/>
        </w:rPr>
        <w:t>,</w:t>
      </w:r>
      <w:r w:rsidRPr="00B830BB">
        <w:rPr>
          <w:rFonts w:cs="Arial"/>
          <w:szCs w:val="22"/>
          <w:lang w:val="hr-HR"/>
        </w:rPr>
        <w:t xml:space="preserve"> budući da je samo Delfi imao kontrolu</w:t>
      </w:r>
      <w:r w:rsidR="00A262CB">
        <w:rPr>
          <w:rFonts w:cs="Arial"/>
          <w:szCs w:val="22"/>
          <w:lang w:val="hr-HR"/>
        </w:rPr>
        <w:t xml:space="preserve"> nad komentarima. Delfi </w:t>
      </w:r>
      <w:r w:rsidRPr="00B830BB">
        <w:rPr>
          <w:rFonts w:cs="Arial"/>
          <w:szCs w:val="22"/>
          <w:lang w:val="hr-HR"/>
        </w:rPr>
        <w:t>je</w:t>
      </w:r>
      <w:r w:rsidR="00A262CB">
        <w:rPr>
          <w:rFonts w:cs="Arial"/>
          <w:szCs w:val="22"/>
          <w:lang w:val="hr-HR"/>
        </w:rPr>
        <w:t>, naime,</w:t>
      </w:r>
      <w:r w:rsidRPr="00B830BB">
        <w:rPr>
          <w:rFonts w:cs="Arial"/>
          <w:szCs w:val="22"/>
          <w:lang w:val="hr-HR"/>
        </w:rPr>
        <w:t xml:space="preserve"> objavio uvjete komentiranja, kao i izjavu od odricanju od odgovornosti za komentare korisnika no kako im nije ostavio mogućnost da naknadno samostalno izmijene ili uklone komentare, sud je smatrao da je Delfi zapravo preuzeo odgovornost za njih.</w:t>
      </w:r>
    </w:p>
    <w:p w:rsidR="009A08DB" w:rsidRPr="00B830BB" w:rsidRDefault="009A08DB" w:rsidP="00090926">
      <w:pPr>
        <w:spacing w:line="360" w:lineRule="auto"/>
        <w:ind w:firstLine="708"/>
        <w:jc w:val="both"/>
        <w:rPr>
          <w:rFonts w:cs="Arial"/>
          <w:szCs w:val="22"/>
          <w:lang w:val="hr-HR"/>
        </w:rPr>
      </w:pPr>
      <w:r w:rsidRPr="00B830BB">
        <w:rPr>
          <w:rFonts w:cs="Arial"/>
          <w:szCs w:val="22"/>
          <w:lang w:val="hr-HR"/>
        </w:rPr>
        <w:t>Glede utjecaja na strukturu komentara, Delfi je imao nekoliko mehanizama djelovanja. U prvom redu, sustav regulacije komentara oslanjao se na aktivno djelovanje samih komentatora koji su mogli prijaviti nepoćudan komentar koji bi potom bio obrisan. Također, postojao je i automatski sistem uklanjanja određenih nedozvoljenih riječi. I, naposljetku, sama žrtva mogla se obratiti portalu ukazujući na povredu svojih prava, nakon čega bi predmetni sadržaji bili uklonjeni. Unatoč tome, estonski sudovi smatrali su da je takav sustav nedovoljno efikasan da bi adekvatno zaštitio prava trećih te da je neprimjereno prepustiti ulogu nadzora komentatorima, zbog čega je odgovornost Delfija još izraženija.</w:t>
      </w:r>
    </w:p>
    <w:p w:rsidR="009A08DB" w:rsidRPr="00B830BB" w:rsidRDefault="009A08DB" w:rsidP="00090926">
      <w:pPr>
        <w:spacing w:line="360" w:lineRule="auto"/>
        <w:ind w:firstLine="708"/>
        <w:jc w:val="both"/>
        <w:rPr>
          <w:rFonts w:cs="Arial"/>
          <w:szCs w:val="22"/>
          <w:lang w:val="hr-HR"/>
        </w:rPr>
      </w:pPr>
      <w:r w:rsidRPr="00B830BB">
        <w:rPr>
          <w:rFonts w:cs="Arial"/>
          <w:szCs w:val="22"/>
          <w:lang w:val="hr-HR"/>
        </w:rPr>
        <w:t xml:space="preserve">Delfi se pozivao na odredbe nacionalnog zakona kojim je implementirana Direktiva o elektroničkoj trgovini. Sud je ipak presudio kako Delfi ipak ne ispunjava zahtjeve predviđene za izuzeće od odgovornosti jer, zbog postojanja navedenih mehanizama, on nije samo tehnički odnosno pasivni posrednik (eng. </w:t>
      </w:r>
      <w:r w:rsidR="007C11B1" w:rsidRPr="00B830BB">
        <w:rPr>
          <w:rFonts w:cs="Arial"/>
          <w:i/>
          <w:szCs w:val="22"/>
          <w:lang w:val="hr-HR"/>
        </w:rPr>
        <w:t>intermediary</w:t>
      </w:r>
      <w:r w:rsidRPr="00B830BB">
        <w:rPr>
          <w:rFonts w:cs="Arial"/>
          <w:szCs w:val="22"/>
          <w:lang w:val="hr-HR"/>
        </w:rPr>
        <w:t>) već i modifikator sadržaja. Uz to, budući da je na dnu članaka bio postavljen natpis „dodajte svoj komentar“, sud je zaključio kako je Delfi pozivao korisnike da postave komentare, čime je također izašao iz opsega aktivnosti čistog posrednika. Činjenica da Delfi nije sam napisao sporne komentare, ne podrazumijeva ujedno i to da nije imao kontrolu nad prostorom pre</w:t>
      </w:r>
      <w:r w:rsidR="000122F5">
        <w:rPr>
          <w:rFonts w:cs="Arial"/>
          <w:szCs w:val="22"/>
          <w:lang w:val="hr-HR"/>
        </w:rPr>
        <w:t>d</w:t>
      </w:r>
      <w:r w:rsidRPr="00B830BB">
        <w:rPr>
          <w:rFonts w:cs="Arial"/>
          <w:szCs w:val="22"/>
          <w:lang w:val="hr-HR"/>
        </w:rPr>
        <w:t>viđenim za komentiranje. Štoviše, postavio je pravila takvih aktivnosti te brisao komentare kada su kršili pravila. Prema tome, Delfi je imao vlast nad odlučivanjem o informacijama koje će biti objavljene. Čini se, dakle, da je upravo čimbenik kontrole bio ključan pri odlučivanju o odgovornosti.</w:t>
      </w:r>
    </w:p>
    <w:p w:rsidR="009A08DB" w:rsidRPr="00B830BB" w:rsidRDefault="009A08DB" w:rsidP="00090926">
      <w:pPr>
        <w:spacing w:line="360" w:lineRule="auto"/>
        <w:ind w:firstLine="708"/>
        <w:jc w:val="both"/>
        <w:rPr>
          <w:rFonts w:cs="Arial"/>
          <w:szCs w:val="22"/>
          <w:lang w:val="hr-HR"/>
        </w:rPr>
      </w:pPr>
      <w:r w:rsidRPr="00B830BB">
        <w:rPr>
          <w:rFonts w:cs="Arial"/>
          <w:szCs w:val="22"/>
          <w:lang w:val="hr-HR"/>
        </w:rPr>
        <w:lastRenderedPageBreak/>
        <w:t xml:space="preserve">Drugi bitan element obrazloženja jest i konstatacija kako je Delfi trebao sam (na vlastitu inicijativu bez da ga je neki komentator o tome obavijestio) uklanjati nepoćudne komentare. Razlog tome jest činjenica da je da je Delfi imao ekonomske koristi od broja komentara koji je bio povezan s brojem posjeta stranici što je značilo i veći profit od reklama. </w:t>
      </w:r>
    </w:p>
    <w:p w:rsidR="009A08DB" w:rsidRDefault="009A08DB" w:rsidP="00090926">
      <w:pPr>
        <w:spacing w:line="360" w:lineRule="auto"/>
        <w:ind w:firstLine="360"/>
        <w:jc w:val="both"/>
        <w:rPr>
          <w:rFonts w:cs="Arial"/>
          <w:szCs w:val="22"/>
          <w:lang w:val="hr-HR"/>
        </w:rPr>
      </w:pPr>
      <w:r w:rsidRPr="00B830BB">
        <w:rPr>
          <w:rFonts w:cs="Arial"/>
          <w:szCs w:val="22"/>
          <w:lang w:val="hr-HR"/>
        </w:rPr>
        <w:t>Nadalje, sud je smatrao kako se u ovom slučaju i stvarni autor sadržaja i Delfi imaju smatrati osobama koje su objavile sadržaj te da je tužitelj ovlašten samostalno odlučiti od kojeg od njih će potraživati naknadu štete.</w:t>
      </w:r>
    </w:p>
    <w:p w:rsidR="00F04F35" w:rsidRPr="00B830BB" w:rsidRDefault="00F04F35" w:rsidP="00090926">
      <w:pPr>
        <w:spacing w:line="360" w:lineRule="auto"/>
        <w:ind w:firstLine="360"/>
        <w:jc w:val="both"/>
        <w:rPr>
          <w:rFonts w:cs="Arial"/>
          <w:szCs w:val="22"/>
          <w:lang w:val="hr-HR"/>
        </w:rPr>
      </w:pPr>
    </w:p>
    <w:p w:rsidR="009A08DB" w:rsidRPr="00B830BB" w:rsidRDefault="009A08DB" w:rsidP="006A1867">
      <w:pPr>
        <w:pStyle w:val="ListParagraph"/>
        <w:numPr>
          <w:ilvl w:val="0"/>
          <w:numId w:val="11"/>
        </w:numPr>
        <w:spacing w:after="200" w:line="360" w:lineRule="auto"/>
        <w:jc w:val="both"/>
        <w:rPr>
          <w:rFonts w:cs="Arial"/>
          <w:bCs/>
          <w:i/>
          <w:szCs w:val="22"/>
          <w:lang w:val="hr-HR"/>
        </w:rPr>
      </w:pPr>
      <w:r w:rsidRPr="00B830BB">
        <w:rPr>
          <w:rFonts w:cs="Arial"/>
          <w:bCs/>
          <w:i/>
          <w:szCs w:val="22"/>
          <w:lang w:val="hr-HR"/>
        </w:rPr>
        <w:t>Postupak pred Sudom u Strasbourgu</w:t>
      </w:r>
    </w:p>
    <w:p w:rsidR="009A08DB" w:rsidRPr="00B830BB" w:rsidRDefault="009A08DB" w:rsidP="00090926">
      <w:pPr>
        <w:spacing w:line="360" w:lineRule="auto"/>
        <w:ind w:firstLine="360"/>
        <w:jc w:val="both"/>
        <w:rPr>
          <w:rFonts w:cs="Arial"/>
          <w:szCs w:val="22"/>
          <w:lang w:val="hr-HR"/>
        </w:rPr>
      </w:pPr>
      <w:r w:rsidRPr="00B830BB">
        <w:rPr>
          <w:rFonts w:cs="Arial"/>
          <w:szCs w:val="22"/>
          <w:lang w:val="hr-HR"/>
        </w:rPr>
        <w:t xml:space="preserve">Nakon što je iscrpio sve redovne pravne lijekove, Delfi se žalio Europskom sudu za ljudska prava u Strasbourgu (u daljnjem tekstu: Sud), pozivajući se na članak 10. Na iznenađenje mnogih, Sud je jednoglasnom odlukom presudio da nije došlo do povrede. </w:t>
      </w:r>
    </w:p>
    <w:p w:rsidR="009A08DB" w:rsidRPr="00B830BB" w:rsidRDefault="00090926" w:rsidP="00090926">
      <w:pPr>
        <w:spacing w:line="360" w:lineRule="auto"/>
        <w:ind w:firstLine="360"/>
        <w:jc w:val="both"/>
        <w:rPr>
          <w:rFonts w:cs="Arial"/>
          <w:szCs w:val="22"/>
          <w:lang w:val="hr-HR"/>
        </w:rPr>
      </w:pPr>
      <w:r w:rsidRPr="00B830BB">
        <w:rPr>
          <w:rFonts w:cs="Arial"/>
          <w:szCs w:val="22"/>
          <w:lang w:val="hr-HR"/>
        </w:rPr>
        <w:t xml:space="preserve">Bitno je naglasiti kako se </w:t>
      </w:r>
      <w:r w:rsidR="009A08DB" w:rsidRPr="00B830BB">
        <w:rPr>
          <w:rFonts w:cs="Arial"/>
          <w:szCs w:val="22"/>
          <w:lang w:val="hr-HR"/>
        </w:rPr>
        <w:t>Sud nije upustio u odlučivanje o klevetničkom sadržaju. Glavno pitanje na kojem je izgrađena presuda jest je li građanska odgovornost za klevetničke komentare Delfija neproporcionalna pravu države na miješanje. Pri ocjeni opravdanosti Sud je u razmatranje uzeo tri čimbenika: kontekst u kojem su objavljeni komentari, učinkovitost mehanizama za uklanjanje nedopuštenih komentara te pitanje pasivne legitimacije s obzirom na specifičnost situacije.</w:t>
      </w:r>
    </w:p>
    <w:p w:rsidR="009A08DB" w:rsidRPr="00B830BB" w:rsidRDefault="009A08DB" w:rsidP="00472FDC">
      <w:pPr>
        <w:spacing w:line="360" w:lineRule="auto"/>
        <w:ind w:firstLine="360"/>
        <w:jc w:val="both"/>
        <w:rPr>
          <w:rFonts w:cs="Arial"/>
          <w:szCs w:val="22"/>
          <w:lang w:val="hr-HR"/>
        </w:rPr>
      </w:pPr>
      <w:r w:rsidRPr="00B830BB">
        <w:rPr>
          <w:rFonts w:cs="Arial"/>
          <w:szCs w:val="22"/>
          <w:lang w:val="hr-HR"/>
        </w:rPr>
        <w:t>Glede konteksta, prema mišljenju Suda, zbog samog sadržaja članka, Delfi je trebao predvidjeti moguće posljedice članka, a time i primijeniti posebnu pažnju kako bi izbjegao odgovornost.</w:t>
      </w:r>
    </w:p>
    <w:p w:rsidR="009A08DB" w:rsidRPr="00B830BB" w:rsidRDefault="009A08DB" w:rsidP="00472FDC">
      <w:pPr>
        <w:spacing w:line="360" w:lineRule="auto"/>
        <w:ind w:firstLine="360"/>
        <w:jc w:val="both"/>
        <w:rPr>
          <w:rFonts w:cs="Arial"/>
          <w:szCs w:val="22"/>
          <w:lang w:val="hr-HR"/>
        </w:rPr>
      </w:pPr>
      <w:r w:rsidRPr="00B830BB">
        <w:rPr>
          <w:rFonts w:cs="Arial"/>
          <w:szCs w:val="22"/>
          <w:lang w:val="hr-HR"/>
        </w:rPr>
        <w:t>Što se tiče ukupnog sustava zaštite koje je Delfi prim</w:t>
      </w:r>
      <w:r w:rsidR="001B5941">
        <w:rPr>
          <w:rFonts w:cs="Arial"/>
          <w:szCs w:val="22"/>
          <w:lang w:val="hr-HR"/>
        </w:rPr>
        <w:t>i</w:t>
      </w:r>
      <w:r w:rsidRPr="00B830BB">
        <w:rPr>
          <w:rFonts w:cs="Arial"/>
          <w:szCs w:val="22"/>
          <w:lang w:val="hr-HR"/>
        </w:rPr>
        <w:t xml:space="preserve">jenjivao, stajalište Suda bilo je kako, iako je bio jednostavan za upotrebu, nije bio u potpunosti učinkovit budući da su komentari ostali objavljeni čak šest tjedana. Osim navedenog, taj mehanizam nije omogućavano naknadnu promjenu ili brisanje od strane samog autora, nego isključivo od strane Delfija što stavlja dodatnu obvezu. </w:t>
      </w:r>
    </w:p>
    <w:p w:rsidR="00F70406" w:rsidRDefault="009A08DB" w:rsidP="00472FDC">
      <w:pPr>
        <w:spacing w:line="360" w:lineRule="auto"/>
        <w:ind w:firstLine="360"/>
        <w:jc w:val="both"/>
        <w:rPr>
          <w:rFonts w:cs="Arial"/>
          <w:szCs w:val="22"/>
          <w:lang w:val="hr-HR"/>
        </w:rPr>
      </w:pPr>
      <w:r w:rsidRPr="00B830BB">
        <w:rPr>
          <w:rFonts w:cs="Arial"/>
          <w:szCs w:val="22"/>
          <w:lang w:val="hr-HR"/>
        </w:rPr>
        <w:t>Naposljetku, po pitanju pasivne legitimacije, Sud se priklanja argumentima države. Prema njemu, tužitelj je imao mogućnost tužiti ili Delfi ili stvarne autore komentara. Budući da su komentari bili ostavljeni od strane anonimnih komentatora, Sud drži kako bi zapravo bilo nelogično i neproporcionalno da se teret dokazivanja identiteta komentatora svali na tužitelja. Činjenica da je Delfi dopustio anonimne komentare, treba se protumačiti na način da je Delfi preuzeo odgovornost za njih.</w:t>
      </w:r>
    </w:p>
    <w:p w:rsidR="00F70406" w:rsidRDefault="00F70406">
      <w:pPr>
        <w:spacing w:after="200" w:line="276" w:lineRule="auto"/>
        <w:rPr>
          <w:rFonts w:cs="Arial"/>
          <w:szCs w:val="22"/>
          <w:lang w:val="hr-HR"/>
        </w:rPr>
      </w:pPr>
      <w:r>
        <w:rPr>
          <w:rFonts w:cs="Arial"/>
          <w:szCs w:val="22"/>
          <w:lang w:val="hr-HR"/>
        </w:rPr>
        <w:br w:type="page"/>
      </w:r>
    </w:p>
    <w:p w:rsidR="009A08DB" w:rsidRPr="00546129" w:rsidRDefault="009A08DB" w:rsidP="006A1867">
      <w:pPr>
        <w:pStyle w:val="ListParagraph"/>
        <w:numPr>
          <w:ilvl w:val="0"/>
          <w:numId w:val="11"/>
        </w:numPr>
        <w:spacing w:after="200" w:line="360" w:lineRule="auto"/>
        <w:jc w:val="both"/>
        <w:rPr>
          <w:rFonts w:cs="Arial"/>
          <w:bCs/>
          <w:i/>
          <w:szCs w:val="22"/>
          <w:lang w:val="hr-HR"/>
        </w:rPr>
      </w:pPr>
      <w:r w:rsidRPr="00546129">
        <w:rPr>
          <w:rFonts w:cs="Arial"/>
          <w:bCs/>
          <w:i/>
          <w:szCs w:val="22"/>
          <w:lang w:val="hr-HR"/>
        </w:rPr>
        <w:lastRenderedPageBreak/>
        <w:t>Kontroverzije</w:t>
      </w:r>
    </w:p>
    <w:p w:rsidR="00472FDC" w:rsidRPr="00B830BB" w:rsidRDefault="009A08DB" w:rsidP="00472FDC">
      <w:pPr>
        <w:spacing w:line="360" w:lineRule="auto"/>
        <w:ind w:firstLine="360"/>
        <w:jc w:val="both"/>
        <w:rPr>
          <w:rFonts w:cs="Arial"/>
          <w:szCs w:val="22"/>
          <w:lang w:val="hr-HR"/>
        </w:rPr>
      </w:pPr>
      <w:r w:rsidRPr="00B830BB">
        <w:rPr>
          <w:rFonts w:cs="Arial"/>
          <w:szCs w:val="22"/>
          <w:lang w:val="hr-HR"/>
        </w:rPr>
        <w:t>Presuda je izazvala veliki broj kritika, kako u novinarskoj tako i u dijelu opće javnosti.</w:t>
      </w:r>
      <w:r w:rsidRPr="00B830BB">
        <w:rPr>
          <w:rFonts w:cs="Arial"/>
          <w:sz w:val="20"/>
          <w:szCs w:val="20"/>
          <w:vertAlign w:val="superscript"/>
          <w:lang w:val="hr-HR"/>
        </w:rPr>
        <w:footnoteReference w:id="91"/>
      </w:r>
      <w:r w:rsidRPr="00B830BB">
        <w:rPr>
          <w:rFonts w:cs="Arial"/>
          <w:szCs w:val="22"/>
          <w:lang w:val="hr-HR"/>
        </w:rPr>
        <w:t xml:space="preserve"> </w:t>
      </w:r>
      <w:r w:rsidR="002704A8">
        <w:rPr>
          <w:rFonts w:cs="Arial"/>
          <w:szCs w:val="22"/>
          <w:lang w:val="hr-HR"/>
        </w:rPr>
        <w:t>Prije svega</w:t>
      </w:r>
      <w:r w:rsidRPr="00B830BB">
        <w:rPr>
          <w:rFonts w:cs="Arial"/>
          <w:szCs w:val="22"/>
          <w:lang w:val="hr-HR"/>
        </w:rPr>
        <w:t xml:space="preserve">, </w:t>
      </w:r>
      <w:r w:rsidR="00266E9F">
        <w:rPr>
          <w:rFonts w:cs="Arial"/>
          <w:szCs w:val="22"/>
          <w:lang w:val="hr-HR"/>
        </w:rPr>
        <w:t>kritičari joj zamjeraju</w:t>
      </w:r>
      <w:r w:rsidR="002704A8">
        <w:rPr>
          <w:rFonts w:cs="Arial"/>
          <w:szCs w:val="22"/>
          <w:lang w:val="hr-HR"/>
        </w:rPr>
        <w:t xml:space="preserve"> oskudnost objašnjenja te činjenicu da je Sud, ne ulazeći u konkretno razmatranje tog pitanja, evidentno izbjegavao dati načelno stajalište o dopustivosti pripisivanja odgovornosti posrednicim</w:t>
      </w:r>
      <w:r w:rsidR="000216F9">
        <w:rPr>
          <w:rFonts w:cs="Arial"/>
          <w:szCs w:val="22"/>
          <w:lang w:val="hr-HR"/>
        </w:rPr>
        <w:t>a</w:t>
      </w:r>
      <w:r w:rsidR="002704A8">
        <w:rPr>
          <w:rFonts w:cs="Arial"/>
          <w:szCs w:val="22"/>
          <w:lang w:val="hr-HR"/>
        </w:rPr>
        <w:t xml:space="preserve">. </w:t>
      </w:r>
      <w:r w:rsidR="00266E9F">
        <w:rPr>
          <w:rFonts w:cs="Arial"/>
          <w:szCs w:val="22"/>
          <w:lang w:val="hr-HR"/>
        </w:rPr>
        <w:t>Jednako tako, spočitava joj se</w:t>
      </w:r>
      <w:r w:rsidRPr="00B830BB">
        <w:rPr>
          <w:rFonts w:cs="Arial"/>
          <w:szCs w:val="22"/>
          <w:lang w:val="hr-HR"/>
        </w:rPr>
        <w:t xml:space="preserve"> nerazumijevanje funkcioniranja i temeljnih principa interneta, počevši od samih pojmova </w:t>
      </w:r>
      <w:r w:rsidR="00577E09" w:rsidRPr="00577E09">
        <w:rPr>
          <w:lang w:val="hr-HR"/>
        </w:rPr>
        <w:t xml:space="preserve">ISP-a </w:t>
      </w:r>
      <w:r w:rsidRPr="00B830BB">
        <w:rPr>
          <w:rFonts w:cs="Arial"/>
          <w:szCs w:val="22"/>
          <w:lang w:val="hr-HR"/>
        </w:rPr>
        <w:t xml:space="preserve">i </w:t>
      </w:r>
      <w:r w:rsidRPr="005E1EBC">
        <w:rPr>
          <w:i/>
          <w:lang w:val="hr-HR"/>
        </w:rPr>
        <w:t>content providera</w:t>
      </w:r>
      <w:r w:rsidRPr="00B830BB">
        <w:rPr>
          <w:rFonts w:cs="Arial"/>
          <w:szCs w:val="22"/>
          <w:lang w:val="hr-HR"/>
        </w:rPr>
        <w:t xml:space="preserve"> pa do uobičajenih implikacija komentiranja. Kritičari navode kako je, ukoliko se zdravorazumski promatraju komentari (a i sama njihova svrha), za pretpostaviti da će uvijek, kada je tema u pitanju vezana za javni </w:t>
      </w:r>
      <w:r w:rsidR="005E1EBC">
        <w:rPr>
          <w:rFonts w:cs="Arial"/>
          <w:szCs w:val="22"/>
          <w:lang w:val="hr-HR"/>
        </w:rPr>
        <w:t>interes</w:t>
      </w:r>
      <w:r w:rsidRPr="00B830BB">
        <w:rPr>
          <w:rFonts w:cs="Arial"/>
          <w:szCs w:val="22"/>
          <w:lang w:val="hr-HR"/>
        </w:rPr>
        <w:t xml:space="preserve">, izazvati (žestoku) debatu, a time i privući određeni broj negativnih komentara. Nadalje, tvrde da se tumačenjem rečeničnih formulacija koje je Sud sastavio, može doći do zaključka kako bi internetski portali trebali netom po objavi nedozvoljenih komentara znati da je njihov sadržaj nepoćudan te ga promptno ukloniti, u protivnom će snositi posljedice. </w:t>
      </w:r>
    </w:p>
    <w:p w:rsidR="009A08DB" w:rsidRPr="00B830BB" w:rsidRDefault="009A08DB" w:rsidP="00472FDC">
      <w:pPr>
        <w:spacing w:line="360" w:lineRule="auto"/>
        <w:ind w:firstLine="360"/>
        <w:jc w:val="both"/>
        <w:rPr>
          <w:rFonts w:cs="Arial"/>
          <w:szCs w:val="22"/>
          <w:lang w:val="hr-HR"/>
        </w:rPr>
      </w:pPr>
      <w:r w:rsidRPr="00B830BB">
        <w:rPr>
          <w:rFonts w:cs="Arial"/>
          <w:szCs w:val="22"/>
          <w:lang w:val="hr-HR"/>
        </w:rPr>
        <w:t>Kritičari upozoravaju da, ukoliko prihvatimo takvu presum</w:t>
      </w:r>
      <w:r w:rsidR="001B5941">
        <w:rPr>
          <w:rFonts w:cs="Arial"/>
          <w:szCs w:val="22"/>
          <w:lang w:val="hr-HR"/>
        </w:rPr>
        <w:t>p</w:t>
      </w:r>
      <w:r w:rsidRPr="00B830BB">
        <w:rPr>
          <w:rFonts w:cs="Arial"/>
          <w:szCs w:val="22"/>
          <w:lang w:val="hr-HR"/>
        </w:rPr>
        <w:t xml:space="preserve">ciju, naličje nje jest poticanje na cenzuru kako se pitanje odgovornosti portala ne bi uopće dovodilo u pitanje. Takva premisa dovodi pak do tzv. </w:t>
      </w:r>
      <w:r w:rsidRPr="00B830BB">
        <w:rPr>
          <w:rFonts w:cs="Arial"/>
          <w:i/>
          <w:szCs w:val="22"/>
          <w:lang w:val="hr-HR"/>
        </w:rPr>
        <w:t xml:space="preserve">chilling </w:t>
      </w:r>
      <w:r w:rsidRPr="00B830BB">
        <w:rPr>
          <w:rFonts w:cs="Arial"/>
          <w:szCs w:val="22"/>
          <w:lang w:val="hr-HR"/>
        </w:rPr>
        <w:t xml:space="preserve">efekta, odnosno suzdržavanja od upuštanja u javnu raspravu, što je suprotno samoj srži prava na slobodu izražavanja kao jednog od temeljnih ljudskih prava. Daljnji argument onih skeptičnih prema ovakvoj presudi jest činjenica kako je količina komentara koja se na većim portalima ili forumima postavlja svaki dan enormna. Iz tog razloga, oni tvrde da bi prihvaćanjem ovakve kvalifikacije portala i drugih web stranica na njih bio postavljen nerealan i neproporcionalan teret. Zbog svega navedenog, svi oni neskloni </w:t>
      </w:r>
      <w:r w:rsidR="005E1EBC">
        <w:rPr>
          <w:rFonts w:cs="Arial"/>
          <w:szCs w:val="22"/>
          <w:lang w:val="hr-HR"/>
        </w:rPr>
        <w:t>postojećoj</w:t>
      </w:r>
      <w:r w:rsidRPr="00B830BB">
        <w:rPr>
          <w:rFonts w:cs="Arial"/>
          <w:szCs w:val="22"/>
          <w:lang w:val="hr-HR"/>
        </w:rPr>
        <w:t xml:space="preserve"> pre</w:t>
      </w:r>
      <w:r w:rsidR="00E575DF" w:rsidRPr="00B830BB">
        <w:rPr>
          <w:rFonts w:cs="Arial"/>
          <w:szCs w:val="22"/>
          <w:lang w:val="hr-HR"/>
        </w:rPr>
        <w:t>s</w:t>
      </w:r>
      <w:r w:rsidR="005E1EBC">
        <w:rPr>
          <w:rFonts w:cs="Arial"/>
          <w:szCs w:val="22"/>
          <w:lang w:val="hr-HR"/>
        </w:rPr>
        <w:t>udi</w:t>
      </w:r>
      <w:r w:rsidRPr="00B830BB">
        <w:rPr>
          <w:rFonts w:cs="Arial"/>
          <w:szCs w:val="22"/>
          <w:lang w:val="hr-HR"/>
        </w:rPr>
        <w:t xml:space="preserve"> Suda zagovaraju njenu izmjenu.</w:t>
      </w:r>
    </w:p>
    <w:p w:rsidR="009A08DB" w:rsidRDefault="009A08DB" w:rsidP="00E575DF">
      <w:pPr>
        <w:spacing w:line="360" w:lineRule="auto"/>
        <w:ind w:firstLine="360"/>
        <w:jc w:val="both"/>
        <w:rPr>
          <w:rFonts w:cs="Arial"/>
          <w:szCs w:val="22"/>
          <w:lang w:val="hr-HR"/>
        </w:rPr>
      </w:pPr>
      <w:r w:rsidRPr="00B830BB">
        <w:rPr>
          <w:rFonts w:cs="Arial"/>
          <w:szCs w:val="22"/>
          <w:lang w:val="hr-HR"/>
        </w:rPr>
        <w:t>Vezano u to, valja napomenuti kako analizirana presuda još nije postala pravomoćna već je uložena žalba, koja je podržana ne samo od strane brojnih novinarskih udruženja, nego i nevladinih i neprofitnih organizacija koje se bave ljudskim pravim</w:t>
      </w:r>
      <w:r w:rsidR="00AE79CB" w:rsidRPr="00B830BB">
        <w:rPr>
          <w:rFonts w:cs="Arial"/>
          <w:szCs w:val="22"/>
          <w:lang w:val="hr-HR"/>
        </w:rPr>
        <w:t>a.</w:t>
      </w:r>
      <w:r w:rsidRPr="00B830BB">
        <w:rPr>
          <w:rFonts w:cs="Arial"/>
          <w:sz w:val="20"/>
          <w:szCs w:val="20"/>
          <w:vertAlign w:val="superscript"/>
          <w:lang w:val="hr-HR"/>
        </w:rPr>
        <w:footnoteReference w:id="92"/>
      </w:r>
      <w:r w:rsidR="00E575DF" w:rsidRPr="00B830BB">
        <w:rPr>
          <w:rFonts w:cs="Arial"/>
          <w:szCs w:val="22"/>
          <w:lang w:val="hr-HR"/>
        </w:rPr>
        <w:t xml:space="preserve"> </w:t>
      </w:r>
      <w:r w:rsidRPr="00B830BB">
        <w:rPr>
          <w:rFonts w:cs="Arial"/>
          <w:szCs w:val="22"/>
          <w:lang w:val="hr-HR"/>
        </w:rPr>
        <w:t xml:space="preserve">Konačna odluka </w:t>
      </w:r>
      <w:r w:rsidRPr="00B830BB">
        <w:rPr>
          <w:rFonts w:cs="Arial"/>
          <w:szCs w:val="22"/>
          <w:lang w:val="hr-HR"/>
        </w:rPr>
        <w:lastRenderedPageBreak/>
        <w:t>zasigurno će imati značajan utjecaj na regulaciju ovoga područja u budućnosti zbog čega će svakako biti zanimljivo vidjeti daljnji ishod sudskoga postupka.</w:t>
      </w:r>
    </w:p>
    <w:p w:rsidR="000479EF" w:rsidRDefault="000479EF" w:rsidP="00E575DF">
      <w:pPr>
        <w:spacing w:line="360" w:lineRule="auto"/>
        <w:ind w:firstLine="360"/>
        <w:jc w:val="both"/>
        <w:rPr>
          <w:rFonts w:cs="Arial"/>
          <w:szCs w:val="22"/>
          <w:lang w:val="hr-HR"/>
        </w:rPr>
      </w:pPr>
    </w:p>
    <w:p w:rsidR="00D614A4" w:rsidRPr="002E7478" w:rsidRDefault="00D614A4" w:rsidP="00D614A4">
      <w:pPr>
        <w:pStyle w:val="Heading2"/>
      </w:pPr>
      <w:bookmarkStart w:id="188" w:name="_Toc386498336"/>
      <w:bookmarkStart w:id="189" w:name="_Toc386563081"/>
      <w:bookmarkStart w:id="190" w:name="_Toc386567243"/>
      <w:bookmarkStart w:id="191" w:name="_Toc386619636"/>
      <w:r>
        <w:t xml:space="preserve">Strana nacionalna </w:t>
      </w:r>
      <w:r w:rsidR="0009246C">
        <w:t>sudska</w:t>
      </w:r>
      <w:r w:rsidRPr="00B830BB">
        <w:t xml:space="preserve"> praks</w:t>
      </w:r>
      <w:r w:rsidR="0009246C">
        <w:t>a</w:t>
      </w:r>
      <w:bookmarkEnd w:id="188"/>
      <w:bookmarkEnd w:id="189"/>
      <w:bookmarkEnd w:id="190"/>
      <w:bookmarkEnd w:id="191"/>
    </w:p>
    <w:p w:rsidR="00D614A4" w:rsidRPr="00B830BB" w:rsidRDefault="00D614A4" w:rsidP="00D614A4">
      <w:pPr>
        <w:pStyle w:val="Heading3"/>
      </w:pPr>
      <w:bookmarkStart w:id="192" w:name="_Toc386498337"/>
      <w:bookmarkStart w:id="193" w:name="_Toc386563082"/>
      <w:bookmarkStart w:id="194" w:name="_Toc386567244"/>
      <w:bookmarkStart w:id="195" w:name="_Toc386619637"/>
      <w:r>
        <w:t xml:space="preserve">Italija: </w:t>
      </w:r>
      <w:r w:rsidRPr="00B830BB">
        <w:t>Slučaj RTI vs. Google, UK, YouTube, LLC &amp; YouTube, Inc.</w:t>
      </w:r>
      <w:r w:rsidRPr="00B830BB">
        <w:rPr>
          <w:rStyle w:val="FootnoteReference"/>
          <w:i w:val="0"/>
          <w:szCs w:val="22"/>
        </w:rPr>
        <w:footnoteReference w:id="93"/>
      </w:r>
      <w:bookmarkEnd w:id="192"/>
      <w:bookmarkEnd w:id="193"/>
      <w:bookmarkEnd w:id="194"/>
      <w:bookmarkEnd w:id="195"/>
    </w:p>
    <w:p w:rsidR="00D614A4" w:rsidRPr="00B830BB" w:rsidRDefault="00D614A4" w:rsidP="00D614A4">
      <w:pPr>
        <w:rPr>
          <w:rFonts w:cs="Arial"/>
          <w:lang w:val="hr-HR"/>
        </w:rPr>
      </w:pPr>
    </w:p>
    <w:p w:rsidR="00D614A4" w:rsidRPr="00B830BB" w:rsidRDefault="00D614A4" w:rsidP="00D614A4">
      <w:pPr>
        <w:spacing w:line="360" w:lineRule="auto"/>
        <w:ind w:firstLine="429"/>
        <w:jc w:val="both"/>
        <w:rPr>
          <w:rFonts w:cs="Arial"/>
          <w:szCs w:val="22"/>
          <w:lang w:val="hr-HR"/>
        </w:rPr>
      </w:pPr>
      <w:r w:rsidRPr="00B830BB">
        <w:rPr>
          <w:rFonts w:cs="Arial"/>
          <w:szCs w:val="22"/>
          <w:lang w:val="hr-HR"/>
        </w:rPr>
        <w:t xml:space="preserve">Postupak u ovom slučaju pokrenula je </w:t>
      </w:r>
      <w:r w:rsidRPr="00B830BB">
        <w:rPr>
          <w:rFonts w:cs="Arial"/>
          <w:i/>
          <w:lang w:val="hr-HR"/>
        </w:rPr>
        <w:t>Reti Televisive Italiane</w:t>
      </w:r>
      <w:r w:rsidRPr="00B830BB">
        <w:rPr>
          <w:rFonts w:cs="Arial"/>
          <w:szCs w:val="22"/>
          <w:lang w:val="hr-HR"/>
        </w:rPr>
        <w:t xml:space="preserve"> (RTI), protiv </w:t>
      </w:r>
      <w:r w:rsidRPr="00B830BB">
        <w:rPr>
          <w:rFonts w:cs="Arial"/>
          <w:i/>
          <w:lang w:val="hr-HR"/>
        </w:rPr>
        <w:t>YouTubea</w:t>
      </w:r>
      <w:r w:rsidRPr="00B830BB">
        <w:rPr>
          <w:rFonts w:cs="Arial"/>
          <w:szCs w:val="22"/>
          <w:lang w:val="hr-HR"/>
        </w:rPr>
        <w:t xml:space="preserve"> i njegove kompanije-majke, </w:t>
      </w:r>
      <w:r w:rsidRPr="00B830BB">
        <w:rPr>
          <w:rFonts w:cs="Arial"/>
          <w:i/>
          <w:lang w:val="hr-HR"/>
        </w:rPr>
        <w:t>Googlea</w:t>
      </w:r>
      <w:r w:rsidRPr="00B830BB">
        <w:rPr>
          <w:rFonts w:cs="Arial"/>
          <w:szCs w:val="22"/>
          <w:lang w:val="hr-HR"/>
        </w:rPr>
        <w:t xml:space="preserve">, nakon što se </w:t>
      </w:r>
      <w:r w:rsidRPr="00B830BB">
        <w:rPr>
          <w:rFonts w:cs="Arial"/>
          <w:i/>
          <w:lang w:val="hr-HR"/>
        </w:rPr>
        <w:t>YouTube</w:t>
      </w:r>
      <w:r w:rsidRPr="00B830BB">
        <w:rPr>
          <w:rFonts w:cs="Arial"/>
          <w:szCs w:val="22"/>
          <w:lang w:val="hr-HR"/>
        </w:rPr>
        <w:t xml:space="preserve"> oglušio na brojna pisma upozorenja u kojima je RTI tražila od njih da uklone reproducirane segmente televizijske emisije </w:t>
      </w:r>
      <w:r w:rsidRPr="00B830BB">
        <w:rPr>
          <w:rFonts w:cs="Arial"/>
          <w:i/>
          <w:lang w:val="hr-HR"/>
        </w:rPr>
        <w:t xml:space="preserve">Big Brother </w:t>
      </w:r>
      <w:r w:rsidRPr="00B830BB">
        <w:rPr>
          <w:rFonts w:cs="Arial"/>
          <w:szCs w:val="22"/>
          <w:lang w:val="hr-HR"/>
        </w:rPr>
        <w:t xml:space="preserve">sa svojih servera. Budući da </w:t>
      </w:r>
      <w:r w:rsidRPr="00B830BB">
        <w:rPr>
          <w:rFonts w:cs="Arial"/>
          <w:i/>
          <w:lang w:val="hr-HR"/>
        </w:rPr>
        <w:t xml:space="preserve">YouTube </w:t>
      </w:r>
      <w:r w:rsidRPr="00B830BB">
        <w:rPr>
          <w:rFonts w:cs="Arial"/>
          <w:szCs w:val="22"/>
          <w:lang w:val="hr-HR"/>
        </w:rPr>
        <w:t xml:space="preserve">to nije učinio, RTI je pokrenula parnicu u kojoj je od njega i </w:t>
      </w:r>
      <w:r w:rsidRPr="00B830BB">
        <w:rPr>
          <w:rFonts w:cs="Arial"/>
          <w:i/>
          <w:lang w:val="hr-HR"/>
        </w:rPr>
        <w:t>Googlea</w:t>
      </w:r>
      <w:r w:rsidRPr="00B830BB">
        <w:rPr>
          <w:rFonts w:cs="Arial"/>
          <w:szCs w:val="22"/>
          <w:lang w:val="hr-HR"/>
        </w:rPr>
        <w:t xml:space="preserve"> zahtijevala naknadu štete u iznosu od 500 milijuna eura zbog nezakonitog korištenja preko 325 sati audiosadržaja i vizualnog sadržaja. Također, RTI je tražila od </w:t>
      </w:r>
      <w:r w:rsidRPr="00B830BB">
        <w:rPr>
          <w:rFonts w:cs="Arial"/>
          <w:i/>
          <w:lang w:val="hr-HR"/>
        </w:rPr>
        <w:t>YouTubea</w:t>
      </w:r>
      <w:r w:rsidRPr="00B830BB">
        <w:rPr>
          <w:rFonts w:cs="Arial"/>
          <w:szCs w:val="22"/>
          <w:lang w:val="hr-HR"/>
        </w:rPr>
        <w:t xml:space="preserve"> da imenuje stručnjake koji će pratiti je li postavljeni materijal zaštićen autorskim pravima koja se na taj način krše.</w:t>
      </w:r>
    </w:p>
    <w:p w:rsidR="00D614A4" w:rsidRPr="00B830BB" w:rsidRDefault="00D614A4" w:rsidP="00D614A4">
      <w:pPr>
        <w:spacing w:line="360" w:lineRule="auto"/>
        <w:ind w:firstLine="429"/>
        <w:jc w:val="both"/>
        <w:rPr>
          <w:rFonts w:cs="Arial"/>
          <w:szCs w:val="22"/>
          <w:lang w:val="hr-HR"/>
        </w:rPr>
      </w:pPr>
      <w:r w:rsidRPr="00B830BB">
        <w:rPr>
          <w:rFonts w:cs="Arial"/>
          <w:szCs w:val="22"/>
          <w:lang w:val="hr-HR"/>
        </w:rPr>
        <w:t xml:space="preserve">U hitnom sudskom procesu </w:t>
      </w:r>
      <w:r w:rsidRPr="00B830BB">
        <w:rPr>
          <w:rFonts w:cs="Arial"/>
          <w:i/>
          <w:lang w:val="hr-HR"/>
        </w:rPr>
        <w:t>YouTube</w:t>
      </w:r>
      <w:r w:rsidRPr="00B830BB">
        <w:rPr>
          <w:rFonts w:cs="Arial"/>
          <w:szCs w:val="22"/>
          <w:lang w:val="hr-HR"/>
        </w:rPr>
        <w:t xml:space="preserve"> je proglašen krivim zbog sudjelovanja u kršenju autorskih prava. Sud je zaključio da je tuženik bio svjestan nelegalnog karaktera postavljenih materijala te stoga odgovoran za doprinos kršenju autorskih prava od strane korisnika. Dapače, </w:t>
      </w:r>
      <w:r w:rsidRPr="00B830BB">
        <w:rPr>
          <w:rFonts w:cs="Arial"/>
          <w:i/>
          <w:lang w:val="hr-HR"/>
        </w:rPr>
        <w:t>YouTubeu</w:t>
      </w:r>
      <w:r w:rsidRPr="00B830BB">
        <w:rPr>
          <w:rFonts w:cs="Arial"/>
          <w:szCs w:val="22"/>
          <w:lang w:val="hr-HR"/>
        </w:rPr>
        <w:t xml:space="preserve"> i </w:t>
      </w:r>
      <w:r w:rsidRPr="00B830BB">
        <w:rPr>
          <w:rFonts w:cs="Arial"/>
          <w:i/>
          <w:lang w:val="hr-HR"/>
        </w:rPr>
        <w:t>Googleu</w:t>
      </w:r>
      <w:r w:rsidRPr="00B830BB">
        <w:rPr>
          <w:rFonts w:cs="Arial"/>
          <w:szCs w:val="22"/>
          <w:lang w:val="hr-HR"/>
        </w:rPr>
        <w:t xml:space="preserve"> je zabranjeno da u u budućnosti krše prava RTI te im je naloženo da odmah uklone sporne sadržaje.</w:t>
      </w:r>
    </w:p>
    <w:p w:rsidR="00D614A4" w:rsidRPr="00B830BB" w:rsidRDefault="00890BEA" w:rsidP="00D614A4">
      <w:pPr>
        <w:spacing w:line="360" w:lineRule="auto"/>
        <w:ind w:firstLine="429"/>
        <w:jc w:val="both"/>
        <w:rPr>
          <w:rFonts w:cs="Arial"/>
          <w:szCs w:val="22"/>
          <w:lang w:val="hr-HR"/>
        </w:rPr>
      </w:pPr>
      <w:r>
        <w:rPr>
          <w:rFonts w:cs="Arial"/>
          <w:szCs w:val="22"/>
          <w:lang w:val="hr-HR"/>
        </w:rPr>
        <w:t>Presuda je dones</w:t>
      </w:r>
      <w:r w:rsidR="00D614A4" w:rsidRPr="00B830BB">
        <w:rPr>
          <w:rFonts w:cs="Arial"/>
          <w:szCs w:val="22"/>
          <w:lang w:val="hr-HR"/>
        </w:rPr>
        <w:t xml:space="preserve">ena na temelju nacionalnog zakona kojim je implementirana Direktiva o elektroničkoj trgovini te je njome utvrđeno da </w:t>
      </w:r>
      <w:r w:rsidR="00D614A4" w:rsidRPr="00B830BB">
        <w:rPr>
          <w:rFonts w:cs="Arial"/>
          <w:i/>
          <w:lang w:val="hr-HR"/>
        </w:rPr>
        <w:t>YouTube</w:t>
      </w:r>
      <w:r w:rsidR="00D614A4" w:rsidRPr="00B830BB">
        <w:rPr>
          <w:rFonts w:cs="Arial"/>
          <w:szCs w:val="22"/>
          <w:lang w:val="hr-HR"/>
        </w:rPr>
        <w:t xml:space="preserve"> nije ispunio predviđene uvjete za ekskulpaciju iz razloga što je njegovo postupanje nadilazilo pasivnost potrebnu za izuzeće – označeno je kao uporno i nedopušteno. Naime, premda ne postoji opća obveza motrenja postavljenih sadržaja, sud je obrazložio kako </w:t>
      </w:r>
      <w:r w:rsidR="00D614A4" w:rsidRPr="00B830BB">
        <w:rPr>
          <w:rFonts w:cs="Arial"/>
          <w:i/>
          <w:lang w:val="hr-HR"/>
        </w:rPr>
        <w:t>YouTube</w:t>
      </w:r>
      <w:r w:rsidR="00D614A4" w:rsidRPr="00B830BB">
        <w:rPr>
          <w:rFonts w:cs="Arial"/>
          <w:szCs w:val="22"/>
          <w:lang w:val="hr-HR"/>
        </w:rPr>
        <w:t xml:space="preserve"> javno najavljuje i posjeduje sposobnost da izbaci ili prekine prijenos sadržaja u slučajevima kao što su, primjerice, pornografski materijali ili sadržaji nakon obavijesti o kršenju autorskih prava. Stoga</w:t>
      </w:r>
      <w:r w:rsidR="00D614A4">
        <w:rPr>
          <w:rFonts w:cs="Arial"/>
          <w:szCs w:val="22"/>
          <w:lang w:val="hr-HR"/>
        </w:rPr>
        <w:t xml:space="preserve"> je</w:t>
      </w:r>
      <w:r w:rsidR="00D614A4" w:rsidRPr="00B830BB">
        <w:rPr>
          <w:rFonts w:cs="Arial"/>
          <w:szCs w:val="22"/>
          <w:lang w:val="hr-HR"/>
        </w:rPr>
        <w:t xml:space="preserve"> mogućnost pregl</w:t>
      </w:r>
      <w:r w:rsidR="00D614A4">
        <w:rPr>
          <w:rFonts w:cs="Arial"/>
          <w:szCs w:val="22"/>
          <w:lang w:val="hr-HR"/>
        </w:rPr>
        <w:t xml:space="preserve">edavanja predmetnog sadržaja </w:t>
      </w:r>
      <w:r w:rsidR="00D614A4" w:rsidRPr="00B830BB">
        <w:rPr>
          <w:rFonts w:cs="Arial"/>
          <w:szCs w:val="22"/>
          <w:lang w:val="hr-HR"/>
        </w:rPr>
        <w:t>očita. Štoviše, moglo bi se zaključiti da bi ISP bio dužan pregledati sadržaj nakon obavijesti budući da njegovo ustrajanje u nepr</w:t>
      </w:r>
      <w:r>
        <w:rPr>
          <w:rFonts w:cs="Arial"/>
          <w:szCs w:val="22"/>
          <w:lang w:val="hr-HR"/>
        </w:rPr>
        <w:t>egledavanju takvih nezakonitih s</w:t>
      </w:r>
      <w:r w:rsidR="00D614A4" w:rsidRPr="00B830BB">
        <w:rPr>
          <w:rFonts w:cs="Arial"/>
          <w:szCs w:val="22"/>
          <w:lang w:val="hr-HR"/>
        </w:rPr>
        <w:t>adržaja, jasno ukazuje da sporni sadržaj ne namjerava niti ukloniti, što uzrokuje njegovu odgovornost.</w:t>
      </w:r>
    </w:p>
    <w:p w:rsidR="00D614A4" w:rsidRPr="00B830BB" w:rsidRDefault="00D614A4" w:rsidP="00D614A4">
      <w:pPr>
        <w:spacing w:line="360" w:lineRule="auto"/>
        <w:ind w:firstLine="429"/>
        <w:jc w:val="both"/>
        <w:rPr>
          <w:rFonts w:cs="Arial"/>
          <w:szCs w:val="22"/>
          <w:lang w:val="hr-HR"/>
        </w:rPr>
      </w:pPr>
      <w:r w:rsidRPr="00B830BB">
        <w:rPr>
          <w:rFonts w:cs="Arial"/>
          <w:szCs w:val="22"/>
          <w:lang w:val="hr-HR"/>
        </w:rPr>
        <w:t xml:space="preserve">S obzirom na izreku ove presude kojom se navodi da je </w:t>
      </w:r>
      <w:r w:rsidRPr="00B830BB">
        <w:rPr>
          <w:rFonts w:cs="Arial"/>
          <w:i/>
          <w:lang w:val="hr-HR"/>
        </w:rPr>
        <w:t>YouTube</w:t>
      </w:r>
      <w:r w:rsidRPr="00B830BB">
        <w:rPr>
          <w:rFonts w:cs="Arial"/>
          <w:szCs w:val="22"/>
          <w:lang w:val="hr-HR"/>
        </w:rPr>
        <w:t xml:space="preserve"> imao mogućnost utvrditi nezakonitost postavljenih materijala, moglo bi se reći da postoji implicitan zahtjev </w:t>
      </w:r>
      <w:r w:rsidRPr="00B830BB">
        <w:rPr>
          <w:rFonts w:cs="Arial"/>
          <w:szCs w:val="22"/>
          <w:lang w:val="hr-HR"/>
        </w:rPr>
        <w:lastRenderedPageBreak/>
        <w:t>prema ISP-ovima da preventivno pregledavaju sadržaje koje korisnici objavljuju putem njihove web stranice. Ako je to zaista tako, bilo bi mjesta tvrdnji o blagoj tendenciji proširenja odgovornosti ISP-a no za donošenje takvog zaključka ipak bi bilo uputno vidjeti u kojem smjeru idu buduće sudske odluke, kao i eventualne izmjene europskog zakonodavstva u ovom području.</w:t>
      </w:r>
    </w:p>
    <w:p w:rsidR="00D614A4" w:rsidRPr="00B830BB" w:rsidRDefault="00D614A4" w:rsidP="00D614A4">
      <w:pPr>
        <w:pStyle w:val="Heading3"/>
      </w:pPr>
      <w:bookmarkStart w:id="196" w:name="_Toc386498338"/>
      <w:bookmarkStart w:id="197" w:name="_Toc386563083"/>
      <w:bookmarkStart w:id="198" w:name="_Toc386567245"/>
      <w:bookmarkStart w:id="199" w:name="_Toc386619638"/>
      <w:r w:rsidRPr="00B830BB">
        <w:t>Ujedinjeno Kraljevstvo: slučaj Payam Tamiz v Google Inc.</w:t>
      </w:r>
      <w:r w:rsidRPr="00B830BB">
        <w:rPr>
          <w:rStyle w:val="FootnoteReference"/>
          <w:i w:val="0"/>
          <w:szCs w:val="22"/>
        </w:rPr>
        <w:footnoteReference w:id="94"/>
      </w:r>
      <w:bookmarkEnd w:id="196"/>
      <w:bookmarkEnd w:id="197"/>
      <w:bookmarkEnd w:id="198"/>
      <w:bookmarkEnd w:id="199"/>
    </w:p>
    <w:p w:rsidR="00D614A4" w:rsidRPr="00B830BB" w:rsidRDefault="00D614A4" w:rsidP="00D614A4">
      <w:pPr>
        <w:rPr>
          <w:rFonts w:cs="Arial"/>
          <w:lang w:val="hr-HR"/>
        </w:rPr>
      </w:pPr>
    </w:p>
    <w:p w:rsidR="00D614A4" w:rsidRPr="00B830BB" w:rsidRDefault="00D614A4" w:rsidP="00D614A4">
      <w:pPr>
        <w:spacing w:line="360" w:lineRule="auto"/>
        <w:ind w:firstLine="429"/>
        <w:jc w:val="both"/>
        <w:rPr>
          <w:rFonts w:cs="Arial"/>
          <w:szCs w:val="22"/>
          <w:lang w:val="hr-HR"/>
        </w:rPr>
      </w:pPr>
      <w:r w:rsidRPr="00B830BB">
        <w:rPr>
          <w:rFonts w:cs="Arial"/>
          <w:szCs w:val="22"/>
          <w:lang w:val="hr-HR"/>
        </w:rPr>
        <w:t xml:space="preserve">U ovom slučaju Žalbeni sud Engleske i Walesa promijenio je raniju odluku nižeg suda te presudio da Google može biti smatran </w:t>
      </w:r>
      <w:r w:rsidR="000216F9">
        <w:rPr>
          <w:rFonts w:cs="Arial"/>
          <w:szCs w:val="22"/>
          <w:lang w:val="hr-HR"/>
        </w:rPr>
        <w:t>odgovornim</w:t>
      </w:r>
      <w:r w:rsidRPr="00B830BB">
        <w:rPr>
          <w:rFonts w:cs="Arial"/>
          <w:szCs w:val="22"/>
          <w:lang w:val="hr-HR"/>
        </w:rPr>
        <w:t xml:space="preserve"> za komentare korisnika, objavljene na njegovoj platformi Blogger, ukoliko ne reagira pravodobno na žalbu osobe čija su prava povrijeđena komentarima u pitanju. </w:t>
      </w:r>
    </w:p>
    <w:p w:rsidR="00D614A4" w:rsidRPr="00B830BB" w:rsidRDefault="00D614A4" w:rsidP="00D614A4">
      <w:pPr>
        <w:spacing w:line="360" w:lineRule="auto"/>
        <w:ind w:firstLine="429"/>
        <w:jc w:val="both"/>
        <w:rPr>
          <w:rFonts w:cs="Arial"/>
          <w:szCs w:val="22"/>
          <w:lang w:val="hr-HR"/>
        </w:rPr>
      </w:pPr>
      <w:r w:rsidRPr="00B830BB">
        <w:rPr>
          <w:rFonts w:cs="Arial"/>
          <w:szCs w:val="22"/>
          <w:lang w:val="hr-HR"/>
        </w:rPr>
        <w:t xml:space="preserve">Naime, slučaj se temelji na okolnosti kako je Google zaprimio pritužbe na određene komentare postavljene na nekom blogu te ih je proslijedio samom blogeru, propuštajući samostalno djelovati. Bloger je čekao pet tjedana da ukloni sadržaje, što je sud smatrao nerazumno dugim periodom za takvu radnju. Ova presuda označava jačanje važnosti i efektivnosti sustava uklanjanja nedozvoljenih sadržaja na zahtjev trećih osoba čija se prava krše objavom takvih sadržaja te potiče ISP-ove, kao što je Google (ali i individualne blogere koji su na svojim blogovima omogućili opciju komentiranja), da potencijalno sporne objave brišu bez odgađanja, odmah nakon zahtjeva trećih osoba. Ipak, zbog takve tendencije presuda je izložena kritikama britanske nevladine organizacije Article 19 koja je smatra „ozbiljnim korakom unatrag kad je u pitanju sloboda govora na internetu“. Ova organizacija drži spornim tako brzo uklanjanje sadržaja, navodeći kako se njime dovodi do </w:t>
      </w:r>
      <w:r w:rsidRPr="001113BC">
        <w:rPr>
          <w:rFonts w:cs="Arial"/>
          <w:i/>
          <w:szCs w:val="22"/>
          <w:lang w:val="hr-HR"/>
        </w:rPr>
        <w:t xml:space="preserve">chilling </w:t>
      </w:r>
      <w:r w:rsidR="005C7DB5">
        <w:rPr>
          <w:rFonts w:cs="Arial"/>
          <w:szCs w:val="22"/>
          <w:lang w:val="hr-HR"/>
        </w:rPr>
        <w:t xml:space="preserve">efekta, </w:t>
      </w:r>
      <w:r w:rsidRPr="00B830BB">
        <w:rPr>
          <w:rFonts w:cs="Arial"/>
          <w:szCs w:val="22"/>
          <w:lang w:val="hr-HR"/>
        </w:rPr>
        <w:t>budući da bi posrednici mogli u strahu od odgovornosti preventivno uklanjati potpuno legitimne oblike izražavanja.</w:t>
      </w:r>
      <w:r w:rsidRPr="00B830BB">
        <w:rPr>
          <w:rFonts w:cs="Arial"/>
          <w:sz w:val="20"/>
          <w:szCs w:val="20"/>
          <w:vertAlign w:val="superscript"/>
          <w:lang w:val="hr-HR"/>
        </w:rPr>
        <w:footnoteReference w:id="95"/>
      </w:r>
    </w:p>
    <w:p w:rsidR="00D614A4" w:rsidRPr="00B830BB" w:rsidRDefault="00D614A4" w:rsidP="00E575DF">
      <w:pPr>
        <w:spacing w:line="360" w:lineRule="auto"/>
        <w:ind w:firstLine="360"/>
        <w:jc w:val="both"/>
        <w:rPr>
          <w:rFonts w:cs="Arial"/>
          <w:szCs w:val="22"/>
          <w:lang w:val="hr-HR"/>
        </w:rPr>
      </w:pPr>
    </w:p>
    <w:p w:rsidR="00303780" w:rsidRPr="00B830BB" w:rsidRDefault="00303780" w:rsidP="00303780">
      <w:pPr>
        <w:spacing w:line="360" w:lineRule="auto"/>
        <w:jc w:val="both"/>
        <w:rPr>
          <w:rFonts w:cs="Arial"/>
          <w:szCs w:val="22"/>
          <w:lang w:val="hr-HR"/>
        </w:rPr>
      </w:pPr>
    </w:p>
    <w:p w:rsidR="00E575DF" w:rsidRPr="00B830BB" w:rsidRDefault="00C9545F" w:rsidP="007E12DD">
      <w:pPr>
        <w:pStyle w:val="Heading2"/>
      </w:pPr>
      <w:bookmarkStart w:id="200" w:name="_Toc386285803"/>
      <w:bookmarkStart w:id="201" w:name="_Toc386498339"/>
      <w:bookmarkStart w:id="202" w:name="_Toc386563084"/>
      <w:bookmarkStart w:id="203" w:name="_Toc386567246"/>
      <w:bookmarkStart w:id="204" w:name="_Toc386619639"/>
      <w:r>
        <w:t>H</w:t>
      </w:r>
      <w:r w:rsidR="00E575DF" w:rsidRPr="00B830BB">
        <w:t>rvatsk</w:t>
      </w:r>
      <w:r>
        <w:t xml:space="preserve">a sudska </w:t>
      </w:r>
      <w:r w:rsidR="00E575DF" w:rsidRPr="00B830BB">
        <w:t>praks</w:t>
      </w:r>
      <w:r>
        <w:t>a</w:t>
      </w:r>
      <w:bookmarkEnd w:id="200"/>
      <w:bookmarkEnd w:id="201"/>
      <w:bookmarkEnd w:id="202"/>
      <w:bookmarkEnd w:id="203"/>
      <w:bookmarkEnd w:id="204"/>
    </w:p>
    <w:p w:rsidR="009A08DB" w:rsidRPr="00B830BB" w:rsidRDefault="009A08DB" w:rsidP="007E12DD">
      <w:pPr>
        <w:pStyle w:val="Heading3"/>
      </w:pPr>
      <w:bookmarkStart w:id="205" w:name="_Toc386285804"/>
      <w:bookmarkStart w:id="206" w:name="_Toc386498340"/>
      <w:bookmarkStart w:id="207" w:name="_Toc386563085"/>
      <w:bookmarkStart w:id="208" w:name="_Toc386567247"/>
      <w:bookmarkStart w:id="209" w:name="_Toc386619640"/>
      <w:r w:rsidRPr="00B830BB">
        <w:t>Slučaj Vukovarac.net</w:t>
      </w:r>
      <w:bookmarkEnd w:id="205"/>
      <w:bookmarkEnd w:id="206"/>
      <w:bookmarkEnd w:id="207"/>
      <w:bookmarkEnd w:id="208"/>
      <w:bookmarkEnd w:id="209"/>
    </w:p>
    <w:p w:rsidR="00E575DF" w:rsidRPr="00B830BB" w:rsidRDefault="00E575DF" w:rsidP="00E575DF">
      <w:pPr>
        <w:rPr>
          <w:rFonts w:cs="Arial"/>
          <w:lang w:val="hr-HR"/>
        </w:rPr>
      </w:pPr>
    </w:p>
    <w:p w:rsidR="007C5411" w:rsidRPr="00B830BB" w:rsidRDefault="009A08DB" w:rsidP="007C5411">
      <w:pPr>
        <w:spacing w:line="360" w:lineRule="auto"/>
        <w:ind w:firstLine="708"/>
        <w:jc w:val="both"/>
        <w:rPr>
          <w:rFonts w:cs="Arial"/>
          <w:szCs w:val="22"/>
          <w:lang w:val="hr-HR"/>
        </w:rPr>
      </w:pPr>
      <w:r w:rsidRPr="00B830BB">
        <w:rPr>
          <w:rFonts w:cs="Arial"/>
          <w:szCs w:val="22"/>
          <w:lang w:val="hr-HR"/>
        </w:rPr>
        <w:t xml:space="preserve">Pod gore navedenim nazivom krije se </w:t>
      </w:r>
      <w:r w:rsidR="007C5411" w:rsidRPr="00B830BB">
        <w:rPr>
          <w:rFonts w:cs="Arial"/>
          <w:szCs w:val="22"/>
          <w:lang w:val="hr-HR"/>
        </w:rPr>
        <w:t>zapravo</w:t>
      </w:r>
      <w:r w:rsidRPr="00B830BB">
        <w:rPr>
          <w:rFonts w:cs="Arial"/>
          <w:szCs w:val="22"/>
          <w:lang w:val="hr-HR"/>
        </w:rPr>
        <w:t xml:space="preserve"> čitav set sudskih postupaka protiv poznatog vukovarskog novinara i blogera,</w:t>
      </w:r>
      <w:r w:rsidR="00ED2FC7">
        <w:rPr>
          <w:rFonts w:cs="Arial"/>
          <w:szCs w:val="22"/>
          <w:lang w:val="hr-HR"/>
        </w:rPr>
        <w:t xml:space="preserve"> vlasnika portala </w:t>
      </w:r>
      <w:r w:rsidR="00ED2FC7" w:rsidRPr="00CB61A8">
        <w:rPr>
          <w:rFonts w:cs="Arial"/>
          <w:i/>
          <w:szCs w:val="22"/>
          <w:lang w:val="hr-HR"/>
        </w:rPr>
        <w:t>Vukovarac.net</w:t>
      </w:r>
      <w:r w:rsidR="00ED2FC7">
        <w:rPr>
          <w:rFonts w:cs="Arial"/>
          <w:szCs w:val="22"/>
          <w:lang w:val="hr-HR"/>
        </w:rPr>
        <w:t xml:space="preserve">, </w:t>
      </w:r>
      <w:r w:rsidRPr="00B830BB">
        <w:rPr>
          <w:rFonts w:cs="Arial"/>
          <w:szCs w:val="22"/>
          <w:lang w:val="hr-HR"/>
        </w:rPr>
        <w:t xml:space="preserve">a kojima je utvrđena njegova odgovornost za sadržaje anonimnih osoba objavljene na </w:t>
      </w:r>
      <w:r w:rsidR="00ED2FC7">
        <w:rPr>
          <w:rFonts w:cs="Arial"/>
          <w:szCs w:val="22"/>
          <w:lang w:val="hr-HR"/>
        </w:rPr>
        <w:t>spomenutom portalu</w:t>
      </w:r>
      <w:r w:rsidR="00B007B5">
        <w:rPr>
          <w:rFonts w:cs="Arial"/>
          <w:szCs w:val="22"/>
          <w:lang w:val="hr-HR"/>
        </w:rPr>
        <w:t>.</w:t>
      </w:r>
    </w:p>
    <w:p w:rsidR="009A08DB" w:rsidRPr="00B830BB" w:rsidRDefault="009A08DB" w:rsidP="007C5411">
      <w:pPr>
        <w:spacing w:line="360" w:lineRule="auto"/>
        <w:ind w:firstLine="708"/>
        <w:jc w:val="both"/>
        <w:rPr>
          <w:rFonts w:cs="Arial"/>
          <w:szCs w:val="22"/>
          <w:lang w:val="hr-HR"/>
        </w:rPr>
      </w:pPr>
      <w:r w:rsidRPr="00B830BB">
        <w:rPr>
          <w:rFonts w:cs="Arial"/>
          <w:szCs w:val="22"/>
          <w:lang w:val="hr-HR"/>
        </w:rPr>
        <w:lastRenderedPageBreak/>
        <w:t>Slučaj je svojevrstan presedan u hrvatskoj sudskoj praksi te vjerojatno još uvijek jedini procesuiran slučaj toga tipa. Iz tog razloga, neizbježno je osvrnuti se na njega premda, nažalost, zbog nemogućnosti pronalaska izvornih sudskih presuda, nećemo biti u položaju analizirati točne zaključke suda na kojima je konstruirana odgovornost. Prema tome, informacije o slučaju bit će iznesene služeći se izvorima dostupnim na internetu</w:t>
      </w:r>
      <w:r w:rsidRPr="00B830BB">
        <w:rPr>
          <w:rFonts w:cs="Arial"/>
          <w:sz w:val="20"/>
          <w:szCs w:val="20"/>
          <w:vertAlign w:val="superscript"/>
          <w:lang w:val="hr-HR"/>
        </w:rPr>
        <w:footnoteReference w:id="96"/>
      </w:r>
      <w:r w:rsidR="00AE79CB" w:rsidRPr="00B830BB">
        <w:rPr>
          <w:rFonts w:cs="Arial"/>
          <w:sz w:val="20"/>
          <w:szCs w:val="20"/>
          <w:lang w:val="hr-HR"/>
        </w:rPr>
        <w:t>,</w:t>
      </w:r>
      <w:r w:rsidRPr="00B830BB">
        <w:rPr>
          <w:rFonts w:cs="Arial"/>
          <w:szCs w:val="22"/>
          <w:lang w:val="hr-HR"/>
        </w:rPr>
        <w:t>no valja svakako primijetiti kako je dobar dio njih objavljen od strane samog tuženika odnosno okrivljenika</w:t>
      </w:r>
      <w:r w:rsidRPr="00B830BB">
        <w:rPr>
          <w:rFonts w:cs="Arial"/>
          <w:sz w:val="20"/>
          <w:szCs w:val="20"/>
          <w:vertAlign w:val="superscript"/>
          <w:lang w:val="hr-HR"/>
        </w:rPr>
        <w:footnoteReference w:id="97"/>
      </w:r>
      <w:r w:rsidRPr="00B830BB">
        <w:rPr>
          <w:rFonts w:cs="Arial"/>
          <w:szCs w:val="22"/>
          <w:lang w:val="hr-HR"/>
        </w:rPr>
        <w:t>, čime nesumnjivo imaju jači kredibilitet nego u nekim drugim slučajevima</w:t>
      </w:r>
      <w:r w:rsidR="00B20ADC">
        <w:rPr>
          <w:rFonts w:cs="Arial"/>
          <w:szCs w:val="22"/>
          <w:lang w:val="hr-HR"/>
        </w:rPr>
        <w:t xml:space="preserve"> preuzimanja informacija s interneta</w:t>
      </w:r>
      <w:r w:rsidRPr="00B830BB">
        <w:rPr>
          <w:rFonts w:cs="Arial"/>
          <w:szCs w:val="22"/>
          <w:lang w:val="hr-HR"/>
        </w:rPr>
        <w:t>.</w:t>
      </w:r>
    </w:p>
    <w:p w:rsidR="009A08DB" w:rsidRPr="00B830BB" w:rsidRDefault="00AE1949" w:rsidP="004D7A91">
      <w:pPr>
        <w:spacing w:line="360" w:lineRule="auto"/>
        <w:ind w:firstLine="708"/>
        <w:jc w:val="both"/>
        <w:rPr>
          <w:rFonts w:cs="Arial"/>
          <w:szCs w:val="22"/>
          <w:lang w:val="hr-HR"/>
        </w:rPr>
      </w:pPr>
      <w:r>
        <w:rPr>
          <w:rFonts w:cs="Arial"/>
          <w:szCs w:val="22"/>
          <w:lang w:val="hr-HR"/>
        </w:rPr>
        <w:t xml:space="preserve">Okrivljenik je </w:t>
      </w:r>
      <w:r w:rsidR="009A08DB" w:rsidRPr="00B830BB">
        <w:rPr>
          <w:rFonts w:cs="Arial"/>
          <w:szCs w:val="22"/>
          <w:lang w:val="hr-HR"/>
        </w:rPr>
        <w:t>pokren</w:t>
      </w:r>
      <w:r w:rsidR="008E1723" w:rsidRPr="00B830BB">
        <w:rPr>
          <w:rFonts w:cs="Arial"/>
          <w:szCs w:val="22"/>
          <w:lang w:val="hr-HR"/>
        </w:rPr>
        <w:t>u</w:t>
      </w:r>
      <w:r w:rsidR="009A08DB" w:rsidRPr="00B830BB">
        <w:rPr>
          <w:rFonts w:cs="Arial"/>
          <w:szCs w:val="22"/>
          <w:lang w:val="hr-HR"/>
        </w:rPr>
        <w:t xml:space="preserve">o 2000. godine internetsku stranicu </w:t>
      </w:r>
      <w:r w:rsidR="009A08DB" w:rsidRPr="00AE1949">
        <w:rPr>
          <w:i/>
          <w:lang w:val="hr-HR"/>
        </w:rPr>
        <w:t>Vukovarac.net</w:t>
      </w:r>
      <w:r>
        <w:rPr>
          <w:rFonts w:cs="Arial"/>
          <w:szCs w:val="22"/>
          <w:lang w:val="hr-HR"/>
        </w:rPr>
        <w:t>,</w:t>
      </w:r>
      <w:r w:rsidR="009A08DB" w:rsidRPr="00B830BB">
        <w:rPr>
          <w:rFonts w:cs="Arial"/>
          <w:szCs w:val="22"/>
          <w:lang w:val="hr-HR"/>
        </w:rPr>
        <w:t xml:space="preserve"> koja je</w:t>
      </w:r>
      <w:r>
        <w:rPr>
          <w:rFonts w:cs="Arial"/>
          <w:szCs w:val="22"/>
          <w:lang w:val="hr-HR"/>
        </w:rPr>
        <w:t xml:space="preserve"> korisnicima služila</w:t>
      </w:r>
      <w:r w:rsidR="009A08DB" w:rsidRPr="00B830BB">
        <w:rPr>
          <w:rFonts w:cs="Arial"/>
          <w:szCs w:val="22"/>
          <w:lang w:val="hr-HR"/>
        </w:rPr>
        <w:t xml:space="preserve"> kao </w:t>
      </w:r>
      <w:r>
        <w:rPr>
          <w:rFonts w:cs="Arial"/>
          <w:szCs w:val="22"/>
          <w:lang w:val="hr-HR"/>
        </w:rPr>
        <w:t>platforma</w:t>
      </w:r>
      <w:r w:rsidR="009A08DB" w:rsidRPr="00B830BB">
        <w:rPr>
          <w:rFonts w:cs="Arial"/>
          <w:szCs w:val="22"/>
          <w:lang w:val="hr-HR"/>
        </w:rPr>
        <w:t xml:space="preserve"> za </w:t>
      </w:r>
      <w:r>
        <w:rPr>
          <w:rFonts w:cs="Arial"/>
          <w:szCs w:val="22"/>
          <w:lang w:val="hr-HR"/>
        </w:rPr>
        <w:t>objavu</w:t>
      </w:r>
      <w:r w:rsidR="009A08DB" w:rsidRPr="00B830BB">
        <w:rPr>
          <w:rFonts w:cs="Arial"/>
          <w:szCs w:val="22"/>
          <w:lang w:val="hr-HR"/>
        </w:rPr>
        <w:t xml:space="preserve"> fotografija, </w:t>
      </w:r>
      <w:r>
        <w:rPr>
          <w:rFonts w:cs="Arial"/>
          <w:szCs w:val="22"/>
          <w:lang w:val="hr-HR"/>
        </w:rPr>
        <w:t>razmjenu poruka</w:t>
      </w:r>
      <w:r w:rsidR="009A08DB" w:rsidRPr="00B830BB">
        <w:rPr>
          <w:rFonts w:cs="Arial"/>
          <w:szCs w:val="22"/>
          <w:lang w:val="hr-HR"/>
        </w:rPr>
        <w:t xml:space="preserve"> putem foruma, </w:t>
      </w:r>
      <w:r>
        <w:rPr>
          <w:rFonts w:cs="Arial"/>
          <w:szCs w:val="22"/>
          <w:lang w:val="hr-HR"/>
        </w:rPr>
        <w:t>izražavanje</w:t>
      </w:r>
      <w:r w:rsidR="009A08DB" w:rsidRPr="00B830BB">
        <w:rPr>
          <w:rFonts w:cs="Arial"/>
          <w:szCs w:val="22"/>
          <w:lang w:val="hr-HR"/>
        </w:rPr>
        <w:t xml:space="preserve"> mišljenja </w:t>
      </w:r>
      <w:r>
        <w:rPr>
          <w:rFonts w:cs="Arial"/>
          <w:szCs w:val="22"/>
          <w:lang w:val="hr-HR"/>
        </w:rPr>
        <w:t>u formi komentara.</w:t>
      </w:r>
      <w:r w:rsidR="009A08DB" w:rsidRPr="00B830BB">
        <w:rPr>
          <w:rFonts w:cs="Arial"/>
          <w:szCs w:val="22"/>
          <w:lang w:val="hr-HR"/>
        </w:rPr>
        <w:t xml:space="preserve"> Osim </w:t>
      </w:r>
      <w:r>
        <w:rPr>
          <w:rFonts w:cs="Arial"/>
          <w:szCs w:val="22"/>
          <w:lang w:val="hr-HR"/>
        </w:rPr>
        <w:t>navedenog,</w:t>
      </w:r>
      <w:r w:rsidR="009A08DB" w:rsidRPr="00B830BB">
        <w:rPr>
          <w:rFonts w:cs="Arial"/>
          <w:szCs w:val="22"/>
          <w:lang w:val="hr-HR"/>
        </w:rPr>
        <w:t xml:space="preserve"> od 2004. postojala je i rubrika “kolumne”.</w:t>
      </w:r>
    </w:p>
    <w:p w:rsidR="009A08DB" w:rsidRPr="00B830BB" w:rsidRDefault="00AE1949" w:rsidP="00BF3BB8">
      <w:pPr>
        <w:spacing w:line="360" w:lineRule="auto"/>
        <w:ind w:firstLine="708"/>
        <w:jc w:val="both"/>
        <w:rPr>
          <w:rFonts w:cs="Arial"/>
          <w:szCs w:val="22"/>
          <w:lang w:val="hr-HR"/>
        </w:rPr>
      </w:pPr>
      <w:r>
        <w:rPr>
          <w:rFonts w:cs="Arial"/>
          <w:szCs w:val="22"/>
          <w:lang w:val="hr-HR"/>
        </w:rPr>
        <w:t>Koristeći se tom rubrikom,</w:t>
      </w:r>
      <w:r w:rsidR="009A08DB" w:rsidRPr="00B830BB">
        <w:rPr>
          <w:rFonts w:cs="Arial"/>
          <w:szCs w:val="22"/>
          <w:lang w:val="hr-HR"/>
        </w:rPr>
        <w:t xml:space="preserve"> 7. lipnja 2005. godine jedna anonimna blogerica pod pseudonimom “agent” objavila </w:t>
      </w:r>
      <w:r>
        <w:rPr>
          <w:rFonts w:cs="Arial"/>
          <w:szCs w:val="22"/>
          <w:lang w:val="hr-HR"/>
        </w:rPr>
        <w:t>je</w:t>
      </w:r>
      <w:r w:rsidR="009A08DB" w:rsidRPr="00B830BB">
        <w:rPr>
          <w:rFonts w:cs="Arial"/>
          <w:szCs w:val="22"/>
          <w:lang w:val="hr-HR"/>
        </w:rPr>
        <w:t xml:space="preserve"> kolumnu pod nazivom “Oproštajno pismo najmilijem od svih” namijenjenu, prema svemu sudeći, tadašnjem </w:t>
      </w:r>
      <w:r>
        <w:rPr>
          <w:rFonts w:cs="Arial"/>
          <w:szCs w:val="22"/>
          <w:lang w:val="hr-HR"/>
        </w:rPr>
        <w:t xml:space="preserve">vukovarskom </w:t>
      </w:r>
      <w:r w:rsidR="009A08DB" w:rsidRPr="00B830BB">
        <w:rPr>
          <w:rFonts w:cs="Arial"/>
          <w:szCs w:val="22"/>
          <w:lang w:val="hr-HR"/>
        </w:rPr>
        <w:t>gradonačelniku u odlasku, iako se u kolumni nigdje izrijekom ne spominje njegovo ime. Kolumna je ironično i podrugljivo intonirana te tako počinje riječima: “Nemoj nam otić dragi naš koji si nas sve vratio u Vukovar, bog te tvoj, tko će nas sade uveseljavat javnim šovinizmom, nacionalizmom, seksizmom, rasizmom...”, a završava riječima: “Voli te tvoj Specijal Agent i iskreno se divi količini zla koje mali čovjek poput tebe može akumulirati. Priroda je svemoguća.”</w:t>
      </w:r>
    </w:p>
    <w:p w:rsidR="009A08DB" w:rsidRPr="00B830BB" w:rsidRDefault="009A08DB" w:rsidP="00BF3BB8">
      <w:pPr>
        <w:spacing w:line="360" w:lineRule="auto"/>
        <w:ind w:firstLine="708"/>
        <w:jc w:val="both"/>
        <w:rPr>
          <w:rFonts w:cs="Arial"/>
          <w:szCs w:val="22"/>
          <w:lang w:val="hr-HR"/>
        </w:rPr>
      </w:pPr>
      <w:r w:rsidRPr="00B830BB">
        <w:rPr>
          <w:rFonts w:cs="Arial"/>
          <w:szCs w:val="22"/>
          <w:lang w:val="hr-HR"/>
        </w:rPr>
        <w:t xml:space="preserve">Iako se, kako je rečeno, ime i funkcija </w:t>
      </w:r>
      <w:r w:rsidR="004008F6">
        <w:rPr>
          <w:rFonts w:cs="Arial"/>
          <w:szCs w:val="22"/>
          <w:lang w:val="hr-HR"/>
        </w:rPr>
        <w:t>osobe kojoj je kolumna upućena</w:t>
      </w:r>
      <w:r w:rsidRPr="00B830BB">
        <w:rPr>
          <w:rFonts w:cs="Arial"/>
          <w:szCs w:val="22"/>
          <w:lang w:val="hr-HR"/>
        </w:rPr>
        <w:t xml:space="preserve"> nigdje u </w:t>
      </w:r>
      <w:r w:rsidR="0064035B">
        <w:rPr>
          <w:rFonts w:cs="Arial"/>
          <w:szCs w:val="22"/>
          <w:lang w:val="hr-HR"/>
        </w:rPr>
        <w:t>tekstu</w:t>
      </w:r>
      <w:r w:rsidRPr="00B830BB">
        <w:rPr>
          <w:rFonts w:cs="Arial"/>
          <w:szCs w:val="22"/>
          <w:lang w:val="hr-HR"/>
        </w:rPr>
        <w:t xml:space="preserve"> ne spominju, neki </w:t>
      </w:r>
      <w:r w:rsidR="0064035B">
        <w:rPr>
          <w:rFonts w:cs="Arial"/>
          <w:szCs w:val="22"/>
          <w:lang w:val="hr-HR"/>
        </w:rPr>
        <w:t xml:space="preserve">su </w:t>
      </w:r>
      <w:r w:rsidRPr="00B830BB">
        <w:rPr>
          <w:rFonts w:cs="Arial"/>
          <w:szCs w:val="22"/>
          <w:lang w:val="hr-HR"/>
        </w:rPr>
        <w:t>čitatelji</w:t>
      </w:r>
      <w:r w:rsidR="0064035B">
        <w:rPr>
          <w:rFonts w:cs="Arial"/>
          <w:szCs w:val="22"/>
          <w:lang w:val="hr-HR"/>
        </w:rPr>
        <w:t>,</w:t>
      </w:r>
      <w:r w:rsidRPr="00B830BB">
        <w:rPr>
          <w:rFonts w:cs="Arial"/>
          <w:szCs w:val="22"/>
          <w:lang w:val="hr-HR"/>
        </w:rPr>
        <w:t xml:space="preserve"> vođeni zaključkom kako je kolumna posvećena gradonačelniku u odlasku</w:t>
      </w:r>
      <w:r w:rsidR="0064035B">
        <w:rPr>
          <w:rFonts w:cs="Arial"/>
          <w:szCs w:val="22"/>
          <w:lang w:val="hr-HR"/>
        </w:rPr>
        <w:t>,</w:t>
      </w:r>
      <w:r w:rsidRPr="00B830BB">
        <w:rPr>
          <w:rFonts w:cs="Arial"/>
          <w:szCs w:val="22"/>
          <w:lang w:val="hr-HR"/>
        </w:rPr>
        <w:t xml:space="preserve"> uz nju postavljali razno</w:t>
      </w:r>
      <w:r w:rsidR="00B926A7">
        <w:rPr>
          <w:rFonts w:cs="Arial"/>
          <w:szCs w:val="22"/>
          <w:lang w:val="hr-HR"/>
        </w:rPr>
        <w:t>vrs</w:t>
      </w:r>
      <w:r w:rsidRPr="00B830BB">
        <w:rPr>
          <w:rFonts w:cs="Arial"/>
          <w:szCs w:val="22"/>
          <w:lang w:val="hr-HR"/>
        </w:rPr>
        <w:t>ne komentar</w:t>
      </w:r>
      <w:r w:rsidR="0064035B">
        <w:rPr>
          <w:rFonts w:cs="Arial"/>
          <w:szCs w:val="22"/>
          <w:lang w:val="hr-HR"/>
        </w:rPr>
        <w:t>e</w:t>
      </w:r>
      <w:r w:rsidRPr="00B830BB">
        <w:rPr>
          <w:rFonts w:cs="Arial"/>
          <w:szCs w:val="22"/>
          <w:lang w:val="hr-HR"/>
        </w:rPr>
        <w:t xml:space="preserve">, kako na račun samog gradonačelnika tako i svih javnih institucija. </w:t>
      </w:r>
      <w:r w:rsidR="00B25E95">
        <w:rPr>
          <w:rFonts w:cs="Arial"/>
          <w:szCs w:val="22"/>
          <w:lang w:val="hr-HR"/>
        </w:rPr>
        <w:t>Zbog</w:t>
      </w:r>
      <w:r w:rsidRPr="00B830BB">
        <w:rPr>
          <w:rFonts w:cs="Arial"/>
          <w:szCs w:val="22"/>
          <w:lang w:val="hr-HR"/>
        </w:rPr>
        <w:t xml:space="preserve"> toga </w:t>
      </w:r>
      <w:r w:rsidR="00B25E95">
        <w:rPr>
          <w:rFonts w:cs="Arial"/>
          <w:szCs w:val="22"/>
          <w:lang w:val="hr-HR"/>
        </w:rPr>
        <w:t>što</w:t>
      </w:r>
      <w:r w:rsidRPr="00B830BB">
        <w:rPr>
          <w:rFonts w:cs="Arial"/>
          <w:szCs w:val="22"/>
          <w:lang w:val="hr-HR"/>
        </w:rPr>
        <w:t xml:space="preserve"> su građani na taj način izrazili svoje mišljenje ili određene sumnje, </w:t>
      </w:r>
      <w:r w:rsidR="00B25E95">
        <w:rPr>
          <w:rFonts w:cs="Arial"/>
          <w:szCs w:val="22"/>
          <w:lang w:val="hr-HR"/>
        </w:rPr>
        <w:t xml:space="preserve">tada već </w:t>
      </w:r>
      <w:r w:rsidRPr="00B830BB">
        <w:rPr>
          <w:rFonts w:cs="Arial"/>
          <w:szCs w:val="22"/>
          <w:lang w:val="hr-HR"/>
        </w:rPr>
        <w:t xml:space="preserve">bivši gradonačelnik podnio </w:t>
      </w:r>
      <w:r w:rsidR="00B25E95">
        <w:rPr>
          <w:rFonts w:cs="Arial"/>
          <w:szCs w:val="22"/>
          <w:lang w:val="hr-HR"/>
        </w:rPr>
        <w:t xml:space="preserve">je </w:t>
      </w:r>
      <w:r w:rsidRPr="00B830BB">
        <w:rPr>
          <w:rFonts w:cs="Arial"/>
          <w:szCs w:val="22"/>
          <w:lang w:val="hr-HR"/>
        </w:rPr>
        <w:t xml:space="preserve">privatnu tužbu zbog klevete protiv pokretača i urednika portala jer je </w:t>
      </w:r>
      <w:r w:rsidR="008E4E2C">
        <w:rPr>
          <w:rFonts w:cs="Arial"/>
          <w:szCs w:val="22"/>
          <w:lang w:val="hr-HR"/>
        </w:rPr>
        <w:t>„</w:t>
      </w:r>
      <w:r w:rsidRPr="00B830BB">
        <w:rPr>
          <w:rFonts w:cs="Arial"/>
          <w:szCs w:val="22"/>
          <w:lang w:val="hr-HR"/>
        </w:rPr>
        <w:t>dopustio nepoznatom autoru pod pseudonimom ‘Special Agent’ objavljivanje članka</w:t>
      </w:r>
      <w:r w:rsidR="008E4E2C">
        <w:rPr>
          <w:rFonts w:cs="Arial"/>
          <w:szCs w:val="22"/>
          <w:lang w:val="hr-HR"/>
        </w:rPr>
        <w:t>“</w:t>
      </w:r>
      <w:r w:rsidRPr="00B830BB">
        <w:rPr>
          <w:rFonts w:cs="Arial"/>
          <w:szCs w:val="22"/>
          <w:lang w:val="hr-HR"/>
        </w:rPr>
        <w:t xml:space="preserve"> te </w:t>
      </w:r>
      <w:r w:rsidR="008E4E2C">
        <w:rPr>
          <w:rFonts w:cs="Arial"/>
          <w:szCs w:val="22"/>
          <w:lang w:val="hr-HR"/>
        </w:rPr>
        <w:t>„</w:t>
      </w:r>
      <w:r w:rsidRPr="00B830BB">
        <w:rPr>
          <w:rFonts w:cs="Arial"/>
          <w:szCs w:val="22"/>
          <w:lang w:val="hr-HR"/>
        </w:rPr>
        <w:t xml:space="preserve">jer je pod naslovom ‘Komentari na članak’ dopustio objavljivanje komentara u kojima se privatnog tužitelja naziva </w:t>
      </w:r>
      <w:r w:rsidR="008E4E2C">
        <w:rPr>
          <w:rFonts w:cs="Arial"/>
          <w:szCs w:val="22"/>
          <w:lang w:val="hr-HR"/>
        </w:rPr>
        <w:t>'</w:t>
      </w:r>
      <w:r w:rsidRPr="00B830BB">
        <w:rPr>
          <w:rFonts w:cs="Arial"/>
          <w:szCs w:val="22"/>
          <w:lang w:val="hr-HR"/>
        </w:rPr>
        <w:t xml:space="preserve">lopovom, propalicom, ljudskim </w:t>
      </w:r>
      <w:r w:rsidR="008E4E2C">
        <w:rPr>
          <w:rFonts w:cs="Arial"/>
          <w:szCs w:val="22"/>
          <w:lang w:val="hr-HR"/>
        </w:rPr>
        <w:t>nusproizvodom'</w:t>
      </w:r>
      <w:r w:rsidRPr="00B830BB">
        <w:rPr>
          <w:rFonts w:cs="Arial"/>
          <w:szCs w:val="22"/>
          <w:lang w:val="hr-HR"/>
        </w:rPr>
        <w:t xml:space="preserve"> i drugim pogrdnim imenima, a kad je privatni tužitelj zatražio da </w:t>
      </w:r>
      <w:r w:rsidR="00B25E95">
        <w:rPr>
          <w:rFonts w:cs="Arial"/>
          <w:szCs w:val="22"/>
          <w:lang w:val="hr-HR"/>
        </w:rPr>
        <w:t>tuženik</w:t>
      </w:r>
      <w:r w:rsidRPr="00B830BB">
        <w:rPr>
          <w:rFonts w:cs="Arial"/>
          <w:szCs w:val="22"/>
          <w:lang w:val="hr-HR"/>
        </w:rPr>
        <w:t xml:space="preserve"> ukloni navedeni članak i komentare, on je objavio novu kolumnu pod naslovom </w:t>
      </w:r>
      <w:r w:rsidR="008E4E2C">
        <w:rPr>
          <w:rFonts w:cs="Arial"/>
          <w:szCs w:val="22"/>
          <w:lang w:val="hr-HR"/>
        </w:rPr>
        <w:t>'Za</w:t>
      </w:r>
      <w:r w:rsidRPr="00B830BB">
        <w:rPr>
          <w:rFonts w:cs="Arial"/>
          <w:szCs w:val="22"/>
          <w:lang w:val="hr-HR"/>
        </w:rPr>
        <w:t xml:space="preserve"> sada bez </w:t>
      </w:r>
      <w:r w:rsidR="008E4E2C">
        <w:rPr>
          <w:rFonts w:cs="Arial"/>
          <w:szCs w:val="22"/>
          <w:lang w:val="hr-HR"/>
        </w:rPr>
        <w:t>naslova'</w:t>
      </w:r>
      <w:r w:rsidRPr="00B830BB">
        <w:rPr>
          <w:rFonts w:cs="Arial"/>
          <w:szCs w:val="22"/>
          <w:lang w:val="hr-HR"/>
        </w:rPr>
        <w:t xml:space="preserve"> te omogućio daljnje vrijeđanje i klevetanje privatnog tužitelja</w:t>
      </w:r>
      <w:r w:rsidR="008E4E2C">
        <w:rPr>
          <w:rFonts w:cs="Arial"/>
          <w:szCs w:val="22"/>
          <w:lang w:val="hr-HR"/>
        </w:rPr>
        <w:t>...“</w:t>
      </w:r>
    </w:p>
    <w:p w:rsidR="004E693C" w:rsidRPr="00B830BB" w:rsidRDefault="00B25E95" w:rsidP="00BF3BB8">
      <w:pPr>
        <w:spacing w:line="360" w:lineRule="auto"/>
        <w:ind w:firstLine="708"/>
        <w:jc w:val="both"/>
        <w:rPr>
          <w:rFonts w:cs="Arial"/>
          <w:szCs w:val="22"/>
          <w:lang w:val="hr-HR"/>
        </w:rPr>
      </w:pPr>
      <w:r>
        <w:rPr>
          <w:rFonts w:cs="Arial"/>
          <w:szCs w:val="22"/>
          <w:lang w:val="hr-HR"/>
        </w:rPr>
        <w:lastRenderedPageBreak/>
        <w:t>Također</w:t>
      </w:r>
      <w:r w:rsidR="009A08DB" w:rsidRPr="00B830BB">
        <w:rPr>
          <w:rFonts w:cs="Arial"/>
          <w:szCs w:val="22"/>
          <w:lang w:val="hr-HR"/>
        </w:rPr>
        <w:t xml:space="preserve">, nevezano uz tu tužbu, </w:t>
      </w:r>
      <w:r w:rsidR="00860E5F">
        <w:rPr>
          <w:rFonts w:cs="Arial"/>
          <w:szCs w:val="22"/>
          <w:lang w:val="hr-HR"/>
        </w:rPr>
        <w:t>tužiteljeva</w:t>
      </w:r>
      <w:r w:rsidR="009A08DB" w:rsidRPr="00B830BB">
        <w:rPr>
          <w:rFonts w:cs="Arial"/>
          <w:szCs w:val="22"/>
          <w:lang w:val="hr-HR"/>
        </w:rPr>
        <w:t xml:space="preserve"> supruga pokrenula je posebnu privatnu tužbu, i to zato što je vlasnik portala dopustio objavljivanje jednog za nju uvredljivog komentara.</w:t>
      </w:r>
      <w:r w:rsidR="00110547">
        <w:rPr>
          <w:rFonts w:cs="Arial"/>
          <w:szCs w:val="22"/>
          <w:lang w:val="hr-HR"/>
        </w:rPr>
        <w:t xml:space="preserve"> O</w:t>
      </w:r>
      <w:r w:rsidR="009A08DB" w:rsidRPr="00B830BB">
        <w:rPr>
          <w:rFonts w:cs="Arial"/>
          <w:szCs w:val="22"/>
          <w:lang w:val="hr-HR"/>
        </w:rPr>
        <w:t xml:space="preserve">sim privatnih tužbe zbog klevete, svaki od supružnika zasebno je podnio još i tužbu za naknadu štete zbog pretrpljenih duševnih boli. U nastavku događaja, uslijedila je još jedna tužba i to ona kojom je </w:t>
      </w:r>
      <w:r>
        <w:rPr>
          <w:rFonts w:cs="Arial"/>
          <w:szCs w:val="22"/>
          <w:lang w:val="hr-HR"/>
        </w:rPr>
        <w:t xml:space="preserve">spomenuta </w:t>
      </w:r>
      <w:r w:rsidR="009A08DB" w:rsidRPr="00B830BB">
        <w:rPr>
          <w:rFonts w:cs="Arial"/>
          <w:szCs w:val="22"/>
          <w:lang w:val="hr-HR"/>
        </w:rPr>
        <w:t>g</w:t>
      </w:r>
      <w:r w:rsidR="004E693C" w:rsidRPr="00B830BB">
        <w:rPr>
          <w:rFonts w:cs="Arial"/>
          <w:szCs w:val="22"/>
          <w:lang w:val="hr-HR"/>
        </w:rPr>
        <w:t xml:space="preserve">ospođa tužila </w:t>
      </w:r>
      <w:r>
        <w:rPr>
          <w:rFonts w:cs="Arial"/>
          <w:szCs w:val="22"/>
          <w:lang w:val="hr-HR"/>
        </w:rPr>
        <w:t>vlasnika portala</w:t>
      </w:r>
      <w:r w:rsidR="009A08DB" w:rsidRPr="00B830BB">
        <w:rPr>
          <w:rFonts w:cs="Arial"/>
          <w:szCs w:val="22"/>
          <w:lang w:val="hr-HR"/>
        </w:rPr>
        <w:t xml:space="preserve"> zato što je na internetu objavio i medijima dostavio njezinu tužbu protiv sebe, a u sklopu tužbe se nalazila i njezina povijest bolesti te je zbog toga pretrpjela dodatne duševne boli.</w:t>
      </w:r>
    </w:p>
    <w:p w:rsidR="009A08DB" w:rsidRPr="00B830BB" w:rsidRDefault="00860E5F" w:rsidP="00494707">
      <w:pPr>
        <w:spacing w:line="360" w:lineRule="auto"/>
        <w:ind w:firstLine="708"/>
        <w:jc w:val="both"/>
        <w:rPr>
          <w:rFonts w:cs="Arial"/>
          <w:szCs w:val="22"/>
          <w:lang w:val="hr-HR"/>
        </w:rPr>
      </w:pPr>
      <w:r>
        <w:rPr>
          <w:rFonts w:cs="Arial"/>
          <w:szCs w:val="22"/>
          <w:lang w:val="hr-HR"/>
        </w:rPr>
        <w:t xml:space="preserve">U pogledu kaznenih postupaka, </w:t>
      </w:r>
      <w:r w:rsidR="00ED2FC7">
        <w:rPr>
          <w:rFonts w:cs="Arial"/>
          <w:szCs w:val="22"/>
          <w:lang w:val="hr-HR"/>
        </w:rPr>
        <w:t>zanimljivo</w:t>
      </w:r>
      <w:r w:rsidR="009A08DB" w:rsidRPr="00B830BB">
        <w:rPr>
          <w:rFonts w:cs="Arial"/>
          <w:szCs w:val="22"/>
          <w:lang w:val="hr-HR"/>
        </w:rPr>
        <w:t xml:space="preserve"> je </w:t>
      </w:r>
      <w:r w:rsidR="00ED2FC7">
        <w:rPr>
          <w:rFonts w:cs="Arial"/>
          <w:szCs w:val="22"/>
          <w:lang w:val="hr-HR"/>
        </w:rPr>
        <w:t>spomenuti</w:t>
      </w:r>
      <w:r w:rsidR="009A08DB" w:rsidRPr="00B830BB">
        <w:rPr>
          <w:rFonts w:cs="Arial"/>
          <w:szCs w:val="22"/>
          <w:lang w:val="hr-HR"/>
        </w:rPr>
        <w:t xml:space="preserve"> kako </w:t>
      </w:r>
      <w:r w:rsidR="00ED2FC7">
        <w:rPr>
          <w:rFonts w:cs="Arial"/>
          <w:szCs w:val="22"/>
          <w:lang w:val="hr-HR"/>
        </w:rPr>
        <w:t xml:space="preserve">je </w:t>
      </w:r>
      <w:r w:rsidR="009A08DB" w:rsidRPr="00B830BB">
        <w:rPr>
          <w:rFonts w:cs="Arial"/>
          <w:szCs w:val="22"/>
          <w:lang w:val="hr-HR"/>
        </w:rPr>
        <w:t>Općinski sud u Vukovaru</w:t>
      </w:r>
      <w:r>
        <w:rPr>
          <w:rFonts w:cs="Arial"/>
          <w:szCs w:val="22"/>
          <w:lang w:val="hr-HR"/>
        </w:rPr>
        <w:t>,</w:t>
      </w:r>
      <w:r w:rsidR="009A08DB" w:rsidRPr="00B830BB">
        <w:rPr>
          <w:rFonts w:cs="Arial"/>
          <w:szCs w:val="22"/>
          <w:lang w:val="hr-HR"/>
        </w:rPr>
        <w:t xml:space="preserve"> </w:t>
      </w:r>
      <w:r>
        <w:rPr>
          <w:rFonts w:cs="Arial"/>
          <w:szCs w:val="22"/>
          <w:lang w:val="hr-HR"/>
        </w:rPr>
        <w:t xml:space="preserve">nakon što je okrivljenika u oba postupka </w:t>
      </w:r>
      <w:r w:rsidR="009A08DB" w:rsidRPr="00B830BB">
        <w:rPr>
          <w:rFonts w:cs="Arial"/>
          <w:szCs w:val="22"/>
          <w:lang w:val="hr-HR"/>
        </w:rPr>
        <w:t xml:space="preserve">proglasio krivim </w:t>
      </w:r>
      <w:r>
        <w:rPr>
          <w:rFonts w:cs="Arial"/>
          <w:szCs w:val="22"/>
          <w:lang w:val="hr-HR"/>
        </w:rPr>
        <w:t>za počinjenje kaznenih djela koja su mu stavljana na teret,</w:t>
      </w:r>
      <w:r w:rsidR="009A08DB" w:rsidRPr="00B830BB">
        <w:rPr>
          <w:rFonts w:cs="Arial"/>
          <w:szCs w:val="22"/>
          <w:lang w:val="hr-HR"/>
        </w:rPr>
        <w:t xml:space="preserve"> u dva odvojena rješenja </w:t>
      </w:r>
      <w:r w:rsidR="006020B6">
        <w:rPr>
          <w:rFonts w:cs="Arial"/>
          <w:szCs w:val="22"/>
          <w:lang w:val="hr-HR"/>
        </w:rPr>
        <w:t>dosuđene</w:t>
      </w:r>
      <w:r w:rsidR="009A08DB" w:rsidRPr="00B830BB">
        <w:rPr>
          <w:rFonts w:cs="Arial"/>
          <w:szCs w:val="22"/>
          <w:lang w:val="hr-HR"/>
        </w:rPr>
        <w:t xml:space="preserve"> novčane kazne zbog neplaćanja zamijenio tzv. supletornim zatvorom</w:t>
      </w:r>
      <w:r w:rsidR="001C253A">
        <w:rPr>
          <w:rFonts w:cs="Arial"/>
          <w:szCs w:val="22"/>
          <w:lang w:val="hr-HR"/>
        </w:rPr>
        <w:t>. Time</w:t>
      </w:r>
      <w:r w:rsidR="009A08DB" w:rsidRPr="00B830BB">
        <w:rPr>
          <w:rFonts w:cs="Arial"/>
          <w:szCs w:val="22"/>
          <w:lang w:val="hr-HR"/>
        </w:rPr>
        <w:t xml:space="preserve"> je </w:t>
      </w:r>
      <w:r w:rsidR="00ED2FC7">
        <w:rPr>
          <w:rFonts w:cs="Arial"/>
          <w:szCs w:val="22"/>
          <w:lang w:val="hr-HR"/>
        </w:rPr>
        <w:t>taj</w:t>
      </w:r>
      <w:r w:rsidR="009A08DB" w:rsidRPr="00B830BB">
        <w:rPr>
          <w:rFonts w:cs="Arial"/>
          <w:szCs w:val="22"/>
          <w:lang w:val="hr-HR"/>
        </w:rPr>
        <w:t xml:space="preserve"> osuđenik postao prvi hrvatski bloger koji je trebao ići u zatvor zbog odgovornosti za sadržaje trećih i to zbog kaznenih djela protiv časti i ugleda. No, zbog oštrih reakcija javnosti, u postupak je interveniralo Državno odvjetništvo podnoseći zahtjev za zaštitu zakonitosti Vrhovnom sudu.</w:t>
      </w:r>
      <w:r w:rsidR="009A08DB" w:rsidRPr="00B830BB">
        <w:rPr>
          <w:rFonts w:cs="Arial"/>
          <w:sz w:val="20"/>
          <w:szCs w:val="20"/>
          <w:vertAlign w:val="superscript"/>
          <w:lang w:val="hr-HR"/>
        </w:rPr>
        <w:footnoteReference w:id="98"/>
      </w:r>
    </w:p>
    <w:p w:rsidR="009A08DB" w:rsidRPr="00B830BB" w:rsidRDefault="00ED2FC7" w:rsidP="00F94CA2">
      <w:pPr>
        <w:spacing w:line="360" w:lineRule="auto"/>
        <w:ind w:firstLine="708"/>
        <w:jc w:val="both"/>
        <w:rPr>
          <w:rFonts w:cs="Arial"/>
          <w:szCs w:val="22"/>
          <w:lang w:val="hr-HR"/>
        </w:rPr>
      </w:pPr>
      <w:r>
        <w:rPr>
          <w:rFonts w:cs="Arial"/>
          <w:szCs w:val="22"/>
          <w:lang w:val="hr-HR"/>
        </w:rPr>
        <w:t xml:space="preserve">Nastavno na to, </w:t>
      </w:r>
      <w:r w:rsidR="009A08DB" w:rsidRPr="00B830BB">
        <w:rPr>
          <w:rFonts w:cs="Arial"/>
          <w:szCs w:val="22"/>
          <w:lang w:val="hr-HR"/>
        </w:rPr>
        <w:t>Vrhovni sud pronašao je da je u kaznenim postupcima protiv okrivljenika pogrešno primijenjeno materijalno pravo te je presude ukinuo i vratio na ponovno suđenje. Naime, u tijeku postupka došlo je do izmjena Kaz</w:t>
      </w:r>
      <w:r w:rsidR="00B926A7">
        <w:rPr>
          <w:rFonts w:cs="Arial"/>
          <w:szCs w:val="22"/>
          <w:lang w:val="hr-HR"/>
        </w:rPr>
        <w:t>n</w:t>
      </w:r>
      <w:r w:rsidR="009A08DB" w:rsidRPr="00B830BB">
        <w:rPr>
          <w:rFonts w:cs="Arial"/>
          <w:szCs w:val="22"/>
          <w:lang w:val="hr-HR"/>
        </w:rPr>
        <w:t>enog zakona koji je tada bio na snazi te je tim kasnijim izmjenama ukinuta mogućnost određivanja kazne zatvora za djela protiv časti i ugleda, što je s obzirom na povoljniji tretman za okrivljenika, trebalo prim</w:t>
      </w:r>
      <w:r w:rsidR="00B926A7">
        <w:rPr>
          <w:rFonts w:cs="Arial"/>
          <w:szCs w:val="22"/>
          <w:lang w:val="hr-HR"/>
        </w:rPr>
        <w:t>i</w:t>
      </w:r>
      <w:r w:rsidR="009A08DB" w:rsidRPr="00B830BB">
        <w:rPr>
          <w:rFonts w:cs="Arial"/>
          <w:szCs w:val="22"/>
          <w:lang w:val="hr-HR"/>
        </w:rPr>
        <w:t>jeniti na ovaj slučaj</w:t>
      </w:r>
      <w:r w:rsidR="004E3E9D">
        <w:rPr>
          <w:rFonts w:cs="Arial"/>
          <w:szCs w:val="22"/>
          <w:lang w:val="hr-HR"/>
        </w:rPr>
        <w:t xml:space="preserve"> te je neplaćanje trebalo sankcionirati na drugi način, a nikako zamijeniti supletornim zatvorom</w:t>
      </w:r>
      <w:r w:rsidR="009A08DB" w:rsidRPr="00B830BB">
        <w:rPr>
          <w:rFonts w:cs="Arial"/>
          <w:szCs w:val="22"/>
          <w:lang w:val="hr-HR"/>
        </w:rPr>
        <w:t>.</w:t>
      </w:r>
      <w:r w:rsidR="009A08DB" w:rsidRPr="00B830BB">
        <w:rPr>
          <w:rFonts w:cs="Arial"/>
          <w:sz w:val="20"/>
          <w:szCs w:val="20"/>
          <w:vertAlign w:val="superscript"/>
          <w:lang w:val="hr-HR"/>
        </w:rPr>
        <w:footnoteReference w:id="99"/>
      </w:r>
    </w:p>
    <w:p w:rsidR="009A08DB" w:rsidRPr="00B830BB" w:rsidRDefault="009A08DB" w:rsidP="00ED2FC7">
      <w:pPr>
        <w:spacing w:line="360" w:lineRule="auto"/>
        <w:ind w:firstLine="708"/>
        <w:jc w:val="both"/>
        <w:rPr>
          <w:rFonts w:cs="Arial"/>
          <w:szCs w:val="22"/>
          <w:lang w:val="hr-HR"/>
        </w:rPr>
      </w:pPr>
      <w:r w:rsidRPr="00B830BB">
        <w:rPr>
          <w:rFonts w:cs="Arial"/>
          <w:szCs w:val="22"/>
          <w:lang w:val="hr-HR"/>
        </w:rPr>
        <w:t>Naposljetku, nakon ukupno šest kaznenih i građanski postupaka zbog k</w:t>
      </w:r>
      <w:r w:rsidR="00B926A7">
        <w:rPr>
          <w:rFonts w:cs="Arial"/>
          <w:szCs w:val="22"/>
          <w:lang w:val="hr-HR"/>
        </w:rPr>
        <w:t>l</w:t>
      </w:r>
      <w:r w:rsidRPr="00B830BB">
        <w:rPr>
          <w:rFonts w:cs="Arial"/>
          <w:szCs w:val="22"/>
          <w:lang w:val="hr-HR"/>
        </w:rPr>
        <w:t>evete, uvrede, iznošenja osobnih i obiteljskih prilika t</w:t>
      </w:r>
      <w:r w:rsidR="00494707" w:rsidRPr="00B830BB">
        <w:rPr>
          <w:rFonts w:cs="Arial"/>
          <w:szCs w:val="22"/>
          <w:lang w:val="hr-HR"/>
        </w:rPr>
        <w:t xml:space="preserve">e nanošenja duševnih boli, </w:t>
      </w:r>
      <w:r w:rsidR="00ED2FC7">
        <w:rPr>
          <w:rFonts w:cs="Arial"/>
          <w:szCs w:val="22"/>
          <w:lang w:val="hr-HR"/>
        </w:rPr>
        <w:t>vlasnik portala</w:t>
      </w:r>
      <w:r w:rsidRPr="00B830BB">
        <w:rPr>
          <w:rFonts w:cs="Arial"/>
          <w:szCs w:val="22"/>
          <w:lang w:val="hr-HR"/>
        </w:rPr>
        <w:t xml:space="preserve"> osuđen je na plaćanje velikih iznosa naknade štete kao i </w:t>
      </w:r>
      <w:r w:rsidR="004E3E9D">
        <w:rPr>
          <w:rFonts w:cs="Arial"/>
          <w:szCs w:val="22"/>
          <w:lang w:val="hr-HR"/>
        </w:rPr>
        <w:t xml:space="preserve">novčanih </w:t>
      </w:r>
      <w:r w:rsidRPr="00B830BB">
        <w:rPr>
          <w:rFonts w:cs="Arial"/>
          <w:szCs w:val="22"/>
          <w:lang w:val="hr-HR"/>
        </w:rPr>
        <w:t>kazni za kaznena djela čime je i konačno potvrđena njegova odgovornost za sporne sadržaje trećih</w:t>
      </w:r>
      <w:r w:rsidR="00ED2FC7" w:rsidRPr="00B830BB">
        <w:rPr>
          <w:rFonts w:cs="Arial"/>
          <w:szCs w:val="22"/>
          <w:lang w:val="hr-HR"/>
        </w:rPr>
        <w:t>.</w:t>
      </w:r>
      <w:r w:rsidR="00ED2FC7">
        <w:rPr>
          <w:rFonts w:cs="Arial"/>
          <w:szCs w:val="22"/>
          <w:lang w:val="hr-HR"/>
        </w:rPr>
        <w:t xml:space="preserve"> Konkretno, kaznenopravna odgovornost utemeljena je na zaključcima suda kako je okrivljenik </w:t>
      </w:r>
      <w:r w:rsidR="00ED2FC7" w:rsidRPr="00B830BB">
        <w:rPr>
          <w:rFonts w:cs="Arial"/>
          <w:szCs w:val="22"/>
          <w:lang w:val="hr-HR"/>
        </w:rPr>
        <w:t>u namjeri vrijeđanja i kle</w:t>
      </w:r>
      <w:r w:rsidR="00B926A7">
        <w:rPr>
          <w:rFonts w:cs="Arial"/>
          <w:szCs w:val="22"/>
          <w:lang w:val="hr-HR"/>
        </w:rPr>
        <w:t>ve</w:t>
      </w:r>
      <w:r w:rsidR="00ED2FC7" w:rsidRPr="00B830BB">
        <w:rPr>
          <w:rFonts w:cs="Arial"/>
          <w:szCs w:val="22"/>
          <w:lang w:val="hr-HR"/>
        </w:rPr>
        <w:t>tanja priva</w:t>
      </w:r>
      <w:r w:rsidR="00ED2FC7">
        <w:rPr>
          <w:rFonts w:cs="Arial"/>
          <w:szCs w:val="22"/>
          <w:lang w:val="hr-HR"/>
        </w:rPr>
        <w:t>tnih</w:t>
      </w:r>
      <w:r w:rsidR="00ED2FC7" w:rsidRPr="00B830BB">
        <w:rPr>
          <w:rFonts w:cs="Arial"/>
          <w:szCs w:val="22"/>
          <w:lang w:val="hr-HR"/>
        </w:rPr>
        <w:t xml:space="preserve"> tužitelja kao pokretač i urednik internet stranice </w:t>
      </w:r>
      <w:r w:rsidR="00ED2FC7" w:rsidRPr="00B25E95">
        <w:rPr>
          <w:rFonts w:cs="Arial"/>
          <w:i/>
          <w:szCs w:val="22"/>
          <w:lang w:val="hr-HR"/>
        </w:rPr>
        <w:t>www.vukovarac.net</w:t>
      </w:r>
      <w:r w:rsidR="00ED2FC7" w:rsidRPr="00B830BB">
        <w:rPr>
          <w:rFonts w:cs="Arial"/>
          <w:szCs w:val="22"/>
          <w:lang w:val="hr-HR"/>
        </w:rPr>
        <w:t xml:space="preserve"> dopustio objavljivanje</w:t>
      </w:r>
      <w:r w:rsidR="00ED2FC7">
        <w:rPr>
          <w:rFonts w:cs="Arial"/>
          <w:szCs w:val="22"/>
          <w:lang w:val="hr-HR"/>
        </w:rPr>
        <w:t xml:space="preserve"> spornog članka </w:t>
      </w:r>
      <w:r w:rsidR="00ED2FC7" w:rsidRPr="00B830BB">
        <w:rPr>
          <w:rFonts w:cs="Arial"/>
          <w:szCs w:val="22"/>
          <w:lang w:val="hr-HR"/>
        </w:rPr>
        <w:t xml:space="preserve">i </w:t>
      </w:r>
      <w:r w:rsidR="00ED2FC7">
        <w:rPr>
          <w:rFonts w:cs="Arial"/>
          <w:szCs w:val="22"/>
          <w:lang w:val="hr-HR"/>
        </w:rPr>
        <w:t xml:space="preserve">njemu </w:t>
      </w:r>
      <w:r w:rsidR="00ED2FC7" w:rsidRPr="00B830BB">
        <w:rPr>
          <w:rFonts w:cs="Arial"/>
          <w:szCs w:val="22"/>
          <w:lang w:val="hr-HR"/>
        </w:rPr>
        <w:t>pripadajućih komentara</w:t>
      </w:r>
      <w:r w:rsidRPr="00B830BB">
        <w:rPr>
          <w:rFonts w:cs="Arial"/>
          <w:szCs w:val="22"/>
          <w:lang w:val="hr-HR"/>
        </w:rPr>
        <w:t>.</w:t>
      </w:r>
    </w:p>
    <w:p w:rsidR="00D3276D" w:rsidRDefault="0036648F" w:rsidP="00ED2FC7">
      <w:pPr>
        <w:spacing w:line="360" w:lineRule="auto"/>
        <w:ind w:firstLine="708"/>
        <w:jc w:val="both"/>
        <w:rPr>
          <w:rFonts w:cs="Arial"/>
          <w:szCs w:val="22"/>
          <w:lang w:val="hr-HR"/>
        </w:rPr>
      </w:pPr>
      <w:r w:rsidRPr="00B830BB">
        <w:rPr>
          <w:rFonts w:cs="Arial"/>
          <w:szCs w:val="22"/>
          <w:lang w:val="hr-HR"/>
        </w:rPr>
        <w:t>Ovaj se slučaj, unatoč sličnosti odluke s onima ranije analiziranima</w:t>
      </w:r>
      <w:r w:rsidR="00DB60FD" w:rsidRPr="00DB60FD">
        <w:rPr>
          <w:rFonts w:cs="Arial"/>
          <w:szCs w:val="22"/>
          <w:lang w:val="hr-HR"/>
        </w:rPr>
        <w:t xml:space="preserve"> </w:t>
      </w:r>
      <w:r w:rsidR="00DB60FD">
        <w:rPr>
          <w:rFonts w:cs="Arial"/>
          <w:szCs w:val="22"/>
          <w:lang w:val="hr-HR"/>
        </w:rPr>
        <w:t xml:space="preserve">i </w:t>
      </w:r>
      <w:r w:rsidR="00DB60FD" w:rsidRPr="00B830BB">
        <w:rPr>
          <w:rFonts w:cs="Arial"/>
          <w:szCs w:val="22"/>
          <w:lang w:val="hr-HR"/>
        </w:rPr>
        <w:t>istovjetno</w:t>
      </w:r>
      <w:r w:rsidR="00DB60FD">
        <w:rPr>
          <w:rFonts w:cs="Arial"/>
          <w:szCs w:val="22"/>
          <w:lang w:val="hr-HR"/>
        </w:rPr>
        <w:t>sti logike usmjeravanja odgovornosti</w:t>
      </w:r>
      <w:r w:rsidRPr="00B830BB">
        <w:rPr>
          <w:rFonts w:cs="Arial"/>
          <w:szCs w:val="22"/>
          <w:lang w:val="hr-HR"/>
        </w:rPr>
        <w:t xml:space="preserve">, može smatrati negativnim primjerom </w:t>
      </w:r>
      <w:r w:rsidR="00DB60FD">
        <w:rPr>
          <w:rFonts w:cs="Arial"/>
          <w:szCs w:val="22"/>
          <w:lang w:val="hr-HR"/>
        </w:rPr>
        <w:t xml:space="preserve">primjene tog instituta </w:t>
      </w:r>
      <w:r w:rsidRPr="00B830BB">
        <w:rPr>
          <w:rFonts w:cs="Arial"/>
          <w:szCs w:val="22"/>
          <w:lang w:val="hr-HR"/>
        </w:rPr>
        <w:t>i to</w:t>
      </w:r>
      <w:r w:rsidR="00DB60FD">
        <w:rPr>
          <w:rFonts w:cs="Arial"/>
          <w:szCs w:val="22"/>
          <w:lang w:val="hr-HR"/>
        </w:rPr>
        <w:t xml:space="preserve"> ne toliko zbog samog </w:t>
      </w:r>
      <w:r w:rsidRPr="00B830BB">
        <w:rPr>
          <w:rFonts w:cs="Arial"/>
          <w:szCs w:val="22"/>
          <w:lang w:val="hr-HR"/>
        </w:rPr>
        <w:t xml:space="preserve">usmjeravanja </w:t>
      </w:r>
      <w:r w:rsidR="00DB60FD">
        <w:rPr>
          <w:rFonts w:cs="Arial"/>
          <w:szCs w:val="22"/>
          <w:lang w:val="hr-HR"/>
        </w:rPr>
        <w:t xml:space="preserve">odgovornosti </w:t>
      </w:r>
      <w:r w:rsidRPr="00B830BB">
        <w:rPr>
          <w:rFonts w:cs="Arial"/>
          <w:szCs w:val="22"/>
          <w:lang w:val="hr-HR"/>
        </w:rPr>
        <w:t>koliko zbog nerazmjernih posljedice koje su iz njega proizašle za tuženika.</w:t>
      </w:r>
      <w:r w:rsidR="00900D59">
        <w:rPr>
          <w:rFonts w:cs="Arial"/>
          <w:szCs w:val="22"/>
          <w:lang w:val="hr-HR"/>
        </w:rPr>
        <w:t xml:space="preserve"> Naime, razlika između ovog i ostalih polemiziranih </w:t>
      </w:r>
      <w:r w:rsidR="00900D59">
        <w:rPr>
          <w:rFonts w:cs="Arial"/>
          <w:szCs w:val="22"/>
          <w:lang w:val="hr-HR"/>
        </w:rPr>
        <w:lastRenderedPageBreak/>
        <w:t>slučajeva jest u tome što se ovdje radilo o fizičkoj osobi kojoj je presudama nametnut teret neproporcionalan povredama ljudskih prava koje su počinjene objavom sporne kolumne odnosno komentara. Nerazmjer proizlazi ne samo iz visokih iznosa novčanih sankcija već i iz broja postupaka, ali i njihovog tijeka i trajanja.</w:t>
      </w:r>
    </w:p>
    <w:p w:rsidR="0036648F" w:rsidRPr="00B830BB" w:rsidRDefault="00D3276D" w:rsidP="00ED2FC7">
      <w:pPr>
        <w:spacing w:line="360" w:lineRule="auto"/>
        <w:ind w:firstLine="708"/>
        <w:jc w:val="both"/>
        <w:rPr>
          <w:rFonts w:cs="Arial"/>
          <w:szCs w:val="22"/>
          <w:lang w:val="hr-HR"/>
        </w:rPr>
      </w:pPr>
      <w:r>
        <w:rPr>
          <w:rFonts w:cs="Arial"/>
          <w:szCs w:val="22"/>
          <w:lang w:val="hr-HR"/>
        </w:rPr>
        <w:t xml:space="preserve">Zbog toga, još jednom </w:t>
      </w:r>
      <w:r w:rsidR="00D55368">
        <w:rPr>
          <w:rFonts w:cs="Arial"/>
          <w:szCs w:val="22"/>
          <w:lang w:val="hr-HR"/>
        </w:rPr>
        <w:t xml:space="preserve">napominjemo </w:t>
      </w:r>
      <w:r>
        <w:rPr>
          <w:rFonts w:cs="Arial"/>
          <w:szCs w:val="22"/>
          <w:lang w:val="hr-HR"/>
        </w:rPr>
        <w:t xml:space="preserve">potrebu </w:t>
      </w:r>
      <w:r w:rsidR="00D55368">
        <w:rPr>
          <w:rFonts w:cs="Arial"/>
          <w:szCs w:val="22"/>
          <w:lang w:val="hr-HR"/>
        </w:rPr>
        <w:t xml:space="preserve">pristupanja svakom pojedinom slučaju sukladno specifičnim okolnostima koje ga obilježavaju, a </w:t>
      </w:r>
      <w:r>
        <w:rPr>
          <w:rFonts w:cs="Arial"/>
          <w:szCs w:val="22"/>
          <w:lang w:val="hr-HR"/>
        </w:rPr>
        <w:t>koje mogu biti od utjecaja na donošenje odluke o odgovornosti.</w:t>
      </w:r>
    </w:p>
    <w:p w:rsidR="009A08DB" w:rsidRPr="00B830BB" w:rsidRDefault="009A08DB" w:rsidP="00494707">
      <w:pPr>
        <w:spacing w:line="360" w:lineRule="auto"/>
        <w:ind w:firstLine="429"/>
        <w:jc w:val="both"/>
        <w:rPr>
          <w:rFonts w:cs="Arial"/>
          <w:szCs w:val="22"/>
          <w:lang w:val="hr-HR"/>
        </w:rPr>
      </w:pPr>
    </w:p>
    <w:p w:rsidR="00303780" w:rsidRPr="00B830BB" w:rsidRDefault="00303780" w:rsidP="00303780">
      <w:pPr>
        <w:spacing w:line="360" w:lineRule="auto"/>
        <w:jc w:val="both"/>
        <w:rPr>
          <w:rFonts w:cs="Arial"/>
          <w:szCs w:val="22"/>
          <w:lang w:val="hr-HR"/>
        </w:rPr>
      </w:pPr>
    </w:p>
    <w:p w:rsidR="009A08DB" w:rsidRPr="00B830BB" w:rsidRDefault="009A08DB" w:rsidP="00494707">
      <w:pPr>
        <w:pStyle w:val="Heading2"/>
        <w:rPr>
          <w:rFonts w:cs="Arial"/>
        </w:rPr>
      </w:pPr>
      <w:bookmarkStart w:id="210" w:name="_Toc386285805"/>
      <w:bookmarkStart w:id="211" w:name="_Toc386498341"/>
      <w:bookmarkStart w:id="212" w:name="_Toc386563086"/>
      <w:bookmarkStart w:id="213" w:name="_Toc386567248"/>
      <w:bookmarkStart w:id="214" w:name="_Toc386619641"/>
      <w:r w:rsidRPr="00B830BB">
        <w:rPr>
          <w:rFonts w:cs="Arial"/>
        </w:rPr>
        <w:t>Opservacije i primjedbe autora na problematiku usmjeravanja odgovornosti</w:t>
      </w:r>
      <w:bookmarkEnd w:id="210"/>
      <w:bookmarkEnd w:id="211"/>
      <w:r w:rsidR="00185311">
        <w:rPr>
          <w:rFonts w:cs="Arial"/>
        </w:rPr>
        <w:t xml:space="preserve"> u smislu analizirane sudske prakse</w:t>
      </w:r>
      <w:bookmarkEnd w:id="212"/>
      <w:bookmarkEnd w:id="213"/>
      <w:bookmarkEnd w:id="214"/>
    </w:p>
    <w:p w:rsidR="00494707" w:rsidRPr="00B830BB" w:rsidRDefault="00494707" w:rsidP="00494707">
      <w:pPr>
        <w:pStyle w:val="Heading1"/>
        <w:numPr>
          <w:ilvl w:val="0"/>
          <w:numId w:val="0"/>
        </w:numPr>
        <w:ind w:left="432" w:hanging="432"/>
        <w:rPr>
          <w:rFonts w:cs="Arial"/>
          <w:lang w:val="hr-HR"/>
        </w:rPr>
      </w:pPr>
    </w:p>
    <w:p w:rsidR="009A08DB" w:rsidRPr="00B830BB" w:rsidRDefault="009A08DB" w:rsidP="0073523F">
      <w:pPr>
        <w:spacing w:line="360" w:lineRule="auto"/>
        <w:ind w:firstLine="576"/>
        <w:jc w:val="both"/>
        <w:rPr>
          <w:rFonts w:cs="Arial"/>
          <w:szCs w:val="22"/>
          <w:lang w:val="hr-HR"/>
        </w:rPr>
      </w:pPr>
      <w:r w:rsidRPr="00B830BB">
        <w:rPr>
          <w:rFonts w:cs="Arial"/>
          <w:szCs w:val="22"/>
          <w:lang w:val="hr-HR"/>
        </w:rPr>
        <w:t>Uzimajući u obzir sve gore izneseno, stajališta smo kako usmjeravanje odgovornosti za s</w:t>
      </w:r>
      <w:r w:rsidR="003E3B5E">
        <w:rPr>
          <w:rFonts w:cs="Arial"/>
          <w:szCs w:val="22"/>
          <w:lang w:val="hr-HR"/>
        </w:rPr>
        <w:t>adržaje anonim</w:t>
      </w:r>
      <w:r w:rsidRPr="00B830BB">
        <w:rPr>
          <w:rFonts w:cs="Arial"/>
          <w:szCs w:val="22"/>
          <w:lang w:val="hr-HR"/>
        </w:rPr>
        <w:t>nih trećih osoba na posrednike čijim sredstvima su objavljeni nelegalni sadržaji ima određenu pravnu relevantnost i uporište. Pozivajući se na ono što je rečeno u uvodu ovoga poglavlja o ravnoteži između prava i odgovornosti, uz određene rezerve, priklanjamo se stavu da je nužno odgovornost, u slučajevima kada do primarno odgovorne osobe nije moguće doći niti upotrebom tehničkih dostignuća (kao što je otkrivanje IP adresa i sl.), usmjeriti prema onima koji su na svojim web stranicama dozvolili anonimne objave posjetitelja odnosno onim posrednicima koji niti nakon saznanja za postojanje nezakonitih materijala iste nisu uklonili.</w:t>
      </w:r>
    </w:p>
    <w:p w:rsidR="009A08DB" w:rsidRPr="00B830BB" w:rsidRDefault="009A08DB" w:rsidP="0073523F">
      <w:pPr>
        <w:spacing w:line="360" w:lineRule="auto"/>
        <w:ind w:firstLine="576"/>
        <w:jc w:val="both"/>
        <w:rPr>
          <w:rFonts w:cs="Arial"/>
          <w:szCs w:val="22"/>
          <w:lang w:val="hr-HR"/>
        </w:rPr>
      </w:pPr>
      <w:r w:rsidRPr="00B830BB">
        <w:rPr>
          <w:rFonts w:cs="Arial"/>
          <w:szCs w:val="22"/>
          <w:lang w:val="hr-HR"/>
        </w:rPr>
        <w:t>Opravdanje za ovo nalazimo u analogiji usmjeravanja odgovornosti za neispravan proizvod, koja je uređena i u hrvatskom Zakonu o obveznim odnosima (u daljnjem tekstu: ZOO).</w:t>
      </w:r>
      <w:r w:rsidRPr="00B830BB">
        <w:rPr>
          <w:rFonts w:cs="Arial"/>
          <w:sz w:val="20"/>
          <w:szCs w:val="20"/>
          <w:vertAlign w:val="superscript"/>
          <w:lang w:val="hr-HR"/>
        </w:rPr>
        <w:footnoteReference w:id="100"/>
      </w:r>
      <w:r w:rsidRPr="00B830BB">
        <w:rPr>
          <w:rFonts w:cs="Arial"/>
          <w:szCs w:val="22"/>
          <w:lang w:val="hr-HR"/>
        </w:rPr>
        <w:t xml:space="preserve"> Jasno, radi se o potpuno različitim institutima no, ako je načelno dopustivo primijeniti taj institut u jednom slučaju ne vidimo zašto to ne bi bilo moguće i u drugom. Temelj ove tvrdnje jest u odredbi čl. 1076. st. 3. i 4. ZOO-a kojom se propisuje supsidijarna odgovornost osobe koja je </w:t>
      </w:r>
      <w:r w:rsidR="005B1128">
        <w:rPr>
          <w:rFonts w:cs="Arial"/>
          <w:szCs w:val="22"/>
          <w:lang w:val="hr-HR"/>
        </w:rPr>
        <w:t>neispravan</w:t>
      </w:r>
      <w:r w:rsidRPr="00B830BB">
        <w:rPr>
          <w:rFonts w:cs="Arial"/>
          <w:szCs w:val="22"/>
          <w:lang w:val="hr-HR"/>
        </w:rPr>
        <w:t xml:space="preserve"> proizvod stavila u promet za štetu prouzročenu neispravnošću toga proizvoda. Naime, čl. 1073. st. 1. ZOO-a utvrđena je primarna odgovornost proizvođača koji stavi neispravan proizvod na tržište za štete nastale zbog neispravnosti proizvoda, a odredbe iz čl. 1076. st. 3. i 4. primjenjuju se u slučajevima kada nije moguće utvrditi tko je proizvođač</w:t>
      </w:r>
      <w:r w:rsidRPr="00B830BB">
        <w:rPr>
          <w:rFonts w:cs="Arial"/>
          <w:sz w:val="20"/>
          <w:szCs w:val="20"/>
          <w:vertAlign w:val="superscript"/>
          <w:lang w:val="hr-HR"/>
        </w:rPr>
        <w:footnoteReference w:id="101"/>
      </w:r>
      <w:r w:rsidRPr="00B830BB">
        <w:rPr>
          <w:rFonts w:cs="Arial"/>
          <w:szCs w:val="22"/>
          <w:lang w:val="hr-HR"/>
        </w:rPr>
        <w:t>, osim ako podredno odgovorna osoba u razumnom roku ne obavijesti oštećenika o osobi od koje je nabavila proizvod. Ove odredbe primjenjuju se i onda kada se ne može utvrditi tko je uvezao proizvod, pa i onda ako su ime, tvrtka ili naziv proizvođača navedeni na proizvodu.</w:t>
      </w:r>
    </w:p>
    <w:p w:rsidR="009A08DB" w:rsidRPr="00B830BB" w:rsidRDefault="009A08DB" w:rsidP="007527BB">
      <w:pPr>
        <w:spacing w:line="360" w:lineRule="auto"/>
        <w:ind w:firstLine="432"/>
        <w:jc w:val="both"/>
        <w:rPr>
          <w:rFonts w:cs="Arial"/>
          <w:szCs w:val="22"/>
          <w:lang w:val="hr-HR"/>
        </w:rPr>
      </w:pPr>
      <w:r w:rsidRPr="00B830BB">
        <w:rPr>
          <w:rFonts w:cs="Arial"/>
          <w:szCs w:val="22"/>
          <w:lang w:val="hr-HR"/>
        </w:rPr>
        <w:lastRenderedPageBreak/>
        <w:t>Dakle, sličnost između ovih dvaju odgovornosti na određenoj razini nesumnjivo postoji, iako je, dakako, nužno imati u vidu specifičnosti svake od njih. Ističemo još jednom kako je inst</w:t>
      </w:r>
      <w:r w:rsidR="007F29F2">
        <w:rPr>
          <w:rFonts w:cs="Arial"/>
          <w:szCs w:val="22"/>
          <w:lang w:val="hr-HR"/>
        </w:rPr>
        <w:t>it</w:t>
      </w:r>
      <w:r w:rsidRPr="00B830BB">
        <w:rPr>
          <w:rFonts w:cs="Arial"/>
          <w:szCs w:val="22"/>
          <w:lang w:val="hr-HR"/>
        </w:rPr>
        <w:t>ut iz ZOO-a prikazan samo da bi se demonstrirala sličnost u principu kao i da bi se pokazalo da usmjeravanje odgovornosti nije nova pojava već je pravni sustavi diljem svijeta poznaju i priznaju. Ipak, naglašavamo da treba ostati pri supsidijarnosti usmjeravanja odgovorn</w:t>
      </w:r>
      <w:r w:rsidR="005B1128">
        <w:rPr>
          <w:rFonts w:cs="Arial"/>
          <w:szCs w:val="22"/>
          <w:lang w:val="hr-HR"/>
        </w:rPr>
        <w:t>o</w:t>
      </w:r>
      <w:r w:rsidRPr="00B830BB">
        <w:rPr>
          <w:rFonts w:cs="Arial"/>
          <w:szCs w:val="22"/>
          <w:lang w:val="hr-HR"/>
        </w:rPr>
        <w:t>sti te zadržati određena ograničenja, ali i svakom slučaju pristupati na individualan način, uzimajući u obzir sve okolnosti.</w:t>
      </w:r>
    </w:p>
    <w:p w:rsidR="00303780" w:rsidRPr="00B830BB" w:rsidRDefault="00303780" w:rsidP="00303780">
      <w:pPr>
        <w:spacing w:line="360" w:lineRule="auto"/>
        <w:jc w:val="both"/>
        <w:rPr>
          <w:rFonts w:cs="Arial"/>
          <w:szCs w:val="22"/>
          <w:lang w:val="hr-HR"/>
        </w:rPr>
      </w:pPr>
    </w:p>
    <w:p w:rsidR="009A08DB" w:rsidRPr="0066355E" w:rsidRDefault="00694AB9" w:rsidP="00691711">
      <w:pPr>
        <w:pStyle w:val="Heading1"/>
        <w:rPr>
          <w:rFonts w:cs="Arial"/>
          <w:lang w:val="hr-HR"/>
        </w:rPr>
      </w:pPr>
      <w:bookmarkStart w:id="215" w:name="_Toc386285806"/>
      <w:bookmarkStart w:id="216" w:name="_Toc386498342"/>
      <w:bookmarkStart w:id="217" w:name="_Toc386563087"/>
      <w:bookmarkStart w:id="218" w:name="_Toc386567249"/>
      <w:bookmarkStart w:id="219" w:name="_Toc386619642"/>
      <w:r>
        <w:rPr>
          <w:rFonts w:cs="Arial"/>
        </w:rPr>
        <w:t>kaznenopravna</w:t>
      </w:r>
      <w:r w:rsidRPr="0066355E">
        <w:rPr>
          <w:rFonts w:cs="Arial"/>
          <w:lang w:val="hr-HR"/>
        </w:rPr>
        <w:t xml:space="preserve"> </w:t>
      </w:r>
      <w:bookmarkEnd w:id="215"/>
      <w:r w:rsidR="00933BB1">
        <w:rPr>
          <w:rFonts w:cs="Arial"/>
        </w:rPr>
        <w:t>odgovornost</w:t>
      </w:r>
      <w:r w:rsidR="00933BB1" w:rsidRPr="0066355E">
        <w:rPr>
          <w:rFonts w:cs="Arial"/>
          <w:lang w:val="hr-HR"/>
        </w:rPr>
        <w:t xml:space="preserve"> </w:t>
      </w:r>
      <w:r w:rsidR="008C60CD">
        <w:rPr>
          <w:rFonts w:cs="Arial"/>
        </w:rPr>
        <w:t>za govor mržnje</w:t>
      </w:r>
      <w:bookmarkEnd w:id="216"/>
      <w:bookmarkEnd w:id="217"/>
      <w:bookmarkEnd w:id="218"/>
      <w:bookmarkEnd w:id="219"/>
    </w:p>
    <w:p w:rsidR="0037217E" w:rsidRPr="0066355E" w:rsidRDefault="0037217E" w:rsidP="0037217E">
      <w:pPr>
        <w:pStyle w:val="Heading1"/>
        <w:numPr>
          <w:ilvl w:val="0"/>
          <w:numId w:val="0"/>
        </w:numPr>
        <w:ind w:left="432"/>
        <w:rPr>
          <w:rFonts w:cs="Arial"/>
          <w:lang w:val="hr-HR"/>
        </w:rPr>
      </w:pPr>
    </w:p>
    <w:p w:rsidR="009A08DB" w:rsidRPr="00B830BB" w:rsidRDefault="009A08DB" w:rsidP="00566873">
      <w:pPr>
        <w:spacing w:line="360" w:lineRule="auto"/>
        <w:ind w:firstLine="576"/>
        <w:jc w:val="both"/>
        <w:rPr>
          <w:rFonts w:cs="Arial"/>
          <w:szCs w:val="22"/>
          <w:lang w:val="hr-HR"/>
        </w:rPr>
      </w:pPr>
      <w:r w:rsidRPr="00B830BB">
        <w:rPr>
          <w:rFonts w:cs="Arial"/>
          <w:szCs w:val="22"/>
          <w:lang w:val="hr-HR"/>
        </w:rPr>
        <w:t>Jednom kada je pasivno legitimirana osoba od</w:t>
      </w:r>
      <w:r w:rsidR="009B0FAB">
        <w:rPr>
          <w:rFonts w:cs="Arial"/>
          <w:szCs w:val="22"/>
          <w:lang w:val="hr-HR"/>
        </w:rPr>
        <w:t>ređena, utvrđivanje odgovornosti</w:t>
      </w:r>
      <w:r w:rsidRPr="00B830BB">
        <w:rPr>
          <w:rFonts w:cs="Arial"/>
          <w:szCs w:val="22"/>
          <w:lang w:val="hr-HR"/>
        </w:rPr>
        <w:t xml:space="preserve"> moguće je kroz nekoliko tipova postupaka koji će redom biti navedeni u nastavku rada.</w:t>
      </w:r>
    </w:p>
    <w:p w:rsidR="009A08DB" w:rsidRPr="00B830BB" w:rsidRDefault="00017E0F" w:rsidP="00566873">
      <w:pPr>
        <w:spacing w:line="360" w:lineRule="auto"/>
        <w:ind w:firstLine="708"/>
        <w:jc w:val="both"/>
        <w:rPr>
          <w:rFonts w:cs="Arial"/>
          <w:szCs w:val="22"/>
          <w:lang w:val="hr-HR"/>
        </w:rPr>
      </w:pPr>
      <w:r>
        <w:rPr>
          <w:rFonts w:cs="Arial"/>
          <w:szCs w:val="22"/>
          <w:lang w:val="hr-HR"/>
        </w:rPr>
        <w:t>Prije svega, riječ je o kaznenopravnoj odgovornosti koja je u hrvatskom kaznenom zakonodavstvu propisana</w:t>
      </w:r>
      <w:r w:rsidR="009A08DB" w:rsidRPr="00B830BB">
        <w:rPr>
          <w:rFonts w:cs="Arial"/>
          <w:szCs w:val="22"/>
          <w:lang w:val="hr-HR"/>
        </w:rPr>
        <w:t xml:space="preserve"> u obliku kaznenog djela po nazivom </w:t>
      </w:r>
      <w:r w:rsidR="00881E18" w:rsidRPr="00881E18">
        <w:rPr>
          <w:rFonts w:cs="Arial"/>
          <w:i/>
          <w:lang w:val="hr-HR"/>
        </w:rPr>
        <w:t>Javno poticanje na nasilje i mržnju</w:t>
      </w:r>
      <w:r w:rsidR="009A08DB" w:rsidRPr="00B830BB">
        <w:rPr>
          <w:rFonts w:cs="Arial"/>
          <w:szCs w:val="22"/>
          <w:lang w:val="hr-HR"/>
        </w:rPr>
        <w:t>, uređenog čl. 325. K</w:t>
      </w:r>
      <w:r w:rsidR="0090280A">
        <w:rPr>
          <w:rFonts w:cs="Arial"/>
          <w:szCs w:val="22"/>
          <w:lang w:val="hr-HR"/>
        </w:rPr>
        <w:t xml:space="preserve">Z-a </w:t>
      </w:r>
      <w:r w:rsidR="006043D0">
        <w:rPr>
          <w:rFonts w:cs="Arial"/>
          <w:szCs w:val="22"/>
          <w:lang w:val="hr-HR"/>
        </w:rPr>
        <w:t>gdje je propisana i kazna zatvora za počinjenje djela iz st. 1. i 4.</w:t>
      </w:r>
      <w:r w:rsidR="009A08DB" w:rsidRPr="00B830BB">
        <w:rPr>
          <w:rFonts w:cs="Arial"/>
          <w:szCs w:val="22"/>
          <w:lang w:val="hr-HR"/>
        </w:rPr>
        <w:t xml:space="preserve"> </w:t>
      </w:r>
      <w:r w:rsidR="005941B6">
        <w:rPr>
          <w:rFonts w:cs="Arial"/>
          <w:szCs w:val="22"/>
          <w:lang w:val="hr-HR"/>
        </w:rPr>
        <w:t>(</w:t>
      </w:r>
      <w:r w:rsidR="006043D0">
        <w:rPr>
          <w:rFonts w:cs="Arial"/>
          <w:szCs w:val="22"/>
          <w:lang w:val="hr-HR"/>
        </w:rPr>
        <w:t>tekst odredaba citiran je ranije</w:t>
      </w:r>
      <w:r w:rsidR="005941B6">
        <w:rPr>
          <w:rFonts w:cs="Arial"/>
          <w:szCs w:val="22"/>
          <w:lang w:val="hr-HR"/>
        </w:rPr>
        <w:t xml:space="preserve">, vidi </w:t>
      </w:r>
      <w:r w:rsidR="005941B6" w:rsidRPr="00E13205">
        <w:rPr>
          <w:rFonts w:cs="Arial"/>
          <w:i/>
          <w:szCs w:val="22"/>
          <w:lang w:val="hr-HR"/>
        </w:rPr>
        <w:t>supra ad.</w:t>
      </w:r>
      <w:r w:rsidR="005941B6" w:rsidRPr="00E13205">
        <w:rPr>
          <w:rFonts w:cs="Arial"/>
          <w:szCs w:val="22"/>
          <w:lang w:val="hr-HR"/>
        </w:rPr>
        <w:t xml:space="preserve"> 4.2.</w:t>
      </w:r>
      <w:r w:rsidR="00E13205">
        <w:rPr>
          <w:rFonts w:cs="Arial"/>
          <w:szCs w:val="22"/>
          <w:lang w:val="hr-HR"/>
        </w:rPr>
        <w:t>2</w:t>
      </w:r>
      <w:r w:rsidR="005941B6">
        <w:rPr>
          <w:rFonts w:cs="Arial"/>
          <w:szCs w:val="22"/>
          <w:lang w:val="hr-HR"/>
        </w:rPr>
        <w:t>).</w:t>
      </w:r>
    </w:p>
    <w:p w:rsidR="00E355BF" w:rsidRPr="00B830BB" w:rsidRDefault="002B0F23" w:rsidP="00566873">
      <w:pPr>
        <w:spacing w:line="360" w:lineRule="auto"/>
        <w:ind w:firstLine="708"/>
        <w:jc w:val="both"/>
        <w:rPr>
          <w:rFonts w:cs="Arial"/>
          <w:szCs w:val="22"/>
          <w:lang w:val="hr-HR"/>
        </w:rPr>
      </w:pPr>
      <w:r w:rsidRPr="00B830BB">
        <w:rPr>
          <w:rFonts w:cs="Arial"/>
          <w:lang w:val="hr-HR"/>
        </w:rPr>
        <w:t xml:space="preserve">U </w:t>
      </w:r>
      <w:r w:rsidRPr="00B830BB">
        <w:rPr>
          <w:rFonts w:cs="Arial"/>
          <w:szCs w:val="22"/>
          <w:lang w:val="hr-HR"/>
        </w:rPr>
        <w:t>KZ</w:t>
      </w:r>
      <w:r w:rsidR="00827451" w:rsidRPr="00B830BB">
        <w:rPr>
          <w:rFonts w:cs="Arial"/>
          <w:szCs w:val="22"/>
          <w:lang w:val="hr-HR"/>
        </w:rPr>
        <w:t>/</w:t>
      </w:r>
      <w:r w:rsidRPr="00B830BB">
        <w:rPr>
          <w:rFonts w:cs="Arial"/>
          <w:szCs w:val="22"/>
          <w:lang w:val="hr-HR"/>
        </w:rPr>
        <w:t>97</w:t>
      </w:r>
      <w:r w:rsidR="002969D5" w:rsidRPr="00B830BB">
        <w:rPr>
          <w:rStyle w:val="FootnoteReference"/>
          <w:rFonts w:cs="Arial"/>
          <w:lang w:val="hr-HR"/>
        </w:rPr>
        <w:footnoteReference w:id="102"/>
      </w:r>
      <w:r w:rsidRPr="00B830BB">
        <w:rPr>
          <w:rFonts w:cs="Arial"/>
          <w:lang w:val="hr-HR"/>
        </w:rPr>
        <w:t xml:space="preserve"> u kaznenom djelu „Rasna i druga diskriminacija“ </w:t>
      </w:r>
      <w:r w:rsidR="002969D5" w:rsidRPr="00B830BB">
        <w:rPr>
          <w:rFonts w:cs="Arial"/>
          <w:lang w:val="hr-HR"/>
        </w:rPr>
        <w:t xml:space="preserve">iz članka 174. </w:t>
      </w:r>
      <w:r w:rsidRPr="00B830BB">
        <w:rPr>
          <w:rFonts w:cs="Arial"/>
          <w:lang w:val="hr-HR"/>
        </w:rPr>
        <w:t xml:space="preserve">u stavku 3. </w:t>
      </w:r>
      <w:r w:rsidR="00FC2BA7">
        <w:rPr>
          <w:rFonts w:cs="Arial"/>
          <w:lang w:val="hr-HR"/>
        </w:rPr>
        <w:t>i</w:t>
      </w:r>
      <w:r w:rsidRPr="00B830BB">
        <w:rPr>
          <w:rFonts w:cs="Arial"/>
          <w:lang w:val="hr-HR"/>
        </w:rPr>
        <w:t>nkriminirano je bilo javno iznošenje ili pronošenje zamisli o nadmoćnosti jedne rase nad drugom, širenje rasne mržnje te poticanje na rasnu diskriminaciju. Prilikom donošenja novog</w:t>
      </w:r>
      <w:r w:rsidR="00E355BF" w:rsidRPr="00B830BB">
        <w:rPr>
          <w:rFonts w:cs="Arial"/>
          <w:lang w:val="hr-HR"/>
        </w:rPr>
        <w:t xml:space="preserve"> KZ-a bila </w:t>
      </w:r>
      <w:r w:rsidR="00827451" w:rsidRPr="00B830BB">
        <w:rPr>
          <w:rFonts w:cs="Arial"/>
          <w:szCs w:val="22"/>
          <w:lang w:val="hr-HR"/>
        </w:rPr>
        <w:t>je</w:t>
      </w:r>
      <w:r w:rsidR="00E355BF" w:rsidRPr="00B830BB">
        <w:rPr>
          <w:rFonts w:cs="Arial"/>
          <w:szCs w:val="22"/>
          <w:lang w:val="hr-HR"/>
        </w:rPr>
        <w:t xml:space="preserve"> </w:t>
      </w:r>
      <w:r w:rsidR="008E0F07" w:rsidRPr="00B830BB">
        <w:rPr>
          <w:rFonts w:cs="Arial"/>
          <w:lang w:val="hr-HR"/>
        </w:rPr>
        <w:t xml:space="preserve">potrebna suštinska promjena bića tog kaznenog djela radi usklađenja s Okvirnom odlukom Europske unije 2008/913/PUP od 28. studenog 2008. </w:t>
      </w:r>
      <w:r w:rsidR="00827451" w:rsidRPr="00B830BB">
        <w:rPr>
          <w:rFonts w:cs="Arial"/>
          <w:szCs w:val="22"/>
          <w:lang w:val="hr-HR"/>
        </w:rPr>
        <w:t>o</w:t>
      </w:r>
      <w:r w:rsidR="008E0F07" w:rsidRPr="00B830BB">
        <w:rPr>
          <w:rFonts w:cs="Arial"/>
          <w:lang w:val="hr-HR"/>
        </w:rPr>
        <w:t xml:space="preserve"> suzbijanju određenih oblika i načina izražavanja rasizma i ksenofobije</w:t>
      </w:r>
      <w:r w:rsidR="00DE721C">
        <w:rPr>
          <w:rFonts w:cs="Arial"/>
          <w:lang w:val="hr-HR"/>
        </w:rPr>
        <w:t>.</w:t>
      </w:r>
      <w:r w:rsidR="008E0F07" w:rsidRPr="00B830BB">
        <w:rPr>
          <w:rStyle w:val="FootnoteReference"/>
          <w:rFonts w:cs="Arial"/>
          <w:lang w:val="hr-HR"/>
        </w:rPr>
        <w:footnoteReference w:id="103"/>
      </w:r>
      <w:r w:rsidR="00827451" w:rsidRPr="00B830BB">
        <w:rPr>
          <w:rFonts w:cs="Arial"/>
          <w:szCs w:val="22"/>
          <w:lang w:val="hr-HR"/>
        </w:rPr>
        <w:t xml:space="preserve"> U skladu s time, formuliran je čl. 325. st. 1. KZ-a, ali također su i uvedene kategorije odgovornosti za organiziranje, vođenje i sudjelovanje u grupi koja za cilj ima počinjenje djela iz st. 1</w:t>
      </w:r>
      <w:r w:rsidR="00E355BF" w:rsidRPr="00B830BB">
        <w:rPr>
          <w:rFonts w:cs="Arial"/>
          <w:lang w:val="hr-HR"/>
        </w:rPr>
        <w:t>.</w:t>
      </w:r>
    </w:p>
    <w:p w:rsidR="009E39A7" w:rsidRPr="00B830BB" w:rsidRDefault="009E39A7" w:rsidP="00566873">
      <w:pPr>
        <w:spacing w:line="360" w:lineRule="auto"/>
        <w:ind w:firstLine="708"/>
        <w:jc w:val="both"/>
        <w:rPr>
          <w:highlight w:val="yellow"/>
          <w:lang w:val="hr-HR"/>
        </w:rPr>
      </w:pPr>
      <w:r w:rsidRPr="00537ED2">
        <w:rPr>
          <w:lang w:val="hr-HR"/>
        </w:rPr>
        <w:t>Ipak, prema čl. 325. poticanje je kažnjivo samo ako je počinjeno s namjerom i to kad je poticatelj svjestan svojega djela i želi njegovo počinjenje (izravna namjera), odnosno kada je svjestan da djelo može biti počinjeno te na to pristaje (neizravna namjera).</w:t>
      </w:r>
      <w:r w:rsidR="00CF5AC4" w:rsidRPr="00537ED2">
        <w:rPr>
          <w:rStyle w:val="FootnoteReference"/>
          <w:lang w:val="hr-HR"/>
        </w:rPr>
        <w:footnoteReference w:id="104"/>
      </w:r>
    </w:p>
    <w:p w:rsidR="002C48F0" w:rsidRPr="00537ED2" w:rsidRDefault="008E2EEA" w:rsidP="0083118F">
      <w:pPr>
        <w:spacing w:line="360" w:lineRule="auto"/>
        <w:ind w:firstLine="708"/>
        <w:jc w:val="both"/>
        <w:rPr>
          <w:rFonts w:cs="Arial"/>
          <w:szCs w:val="22"/>
          <w:lang w:val="hr-HR"/>
        </w:rPr>
      </w:pPr>
      <w:r>
        <w:rPr>
          <w:rFonts w:cs="Arial"/>
          <w:szCs w:val="22"/>
          <w:lang w:val="hr-HR"/>
        </w:rPr>
        <w:t>Razjašnjenje</w:t>
      </w:r>
      <w:r w:rsidR="002C48F0">
        <w:rPr>
          <w:rFonts w:cs="Arial"/>
          <w:szCs w:val="22"/>
          <w:lang w:val="hr-HR"/>
        </w:rPr>
        <w:t xml:space="preserve"> obuhvata pojma poticanja na diskriminaciju, odnosno nasilje i mržnju</w:t>
      </w:r>
      <w:r>
        <w:rPr>
          <w:rFonts w:cs="Arial"/>
          <w:szCs w:val="22"/>
          <w:lang w:val="hr-HR"/>
        </w:rPr>
        <w:t xml:space="preserve"> moguće je potražiti u izvješću pučke pravobraniteljice za 2013. godinu, </w:t>
      </w:r>
      <w:r w:rsidR="00612B15">
        <w:rPr>
          <w:rFonts w:cs="Arial"/>
          <w:szCs w:val="22"/>
          <w:lang w:val="hr-HR"/>
        </w:rPr>
        <w:t xml:space="preserve">iz kojeg je vidljivo da je ista više puta reagirala na </w:t>
      </w:r>
      <w:r w:rsidR="00254F87">
        <w:rPr>
          <w:rFonts w:cs="Arial"/>
          <w:szCs w:val="22"/>
          <w:lang w:val="hr-HR"/>
        </w:rPr>
        <w:t>neprimjereno</w:t>
      </w:r>
      <w:r w:rsidR="0083118F">
        <w:rPr>
          <w:rFonts w:cs="Arial"/>
          <w:szCs w:val="22"/>
          <w:lang w:val="hr-HR"/>
        </w:rPr>
        <w:t xml:space="preserve"> </w:t>
      </w:r>
      <w:r w:rsidR="00254F87">
        <w:rPr>
          <w:rFonts w:cs="Arial"/>
          <w:szCs w:val="22"/>
          <w:lang w:val="hr-HR"/>
        </w:rPr>
        <w:t>i diskriminatorno izražavanje u javnom prostoru</w:t>
      </w:r>
      <w:r w:rsidR="00612B15">
        <w:rPr>
          <w:rFonts w:cs="Arial"/>
          <w:szCs w:val="22"/>
          <w:lang w:val="hr-HR"/>
        </w:rPr>
        <w:t>.</w:t>
      </w:r>
      <w:r w:rsidR="008C7CCE">
        <w:rPr>
          <w:rStyle w:val="FootnoteReference"/>
          <w:rFonts w:cs="Arial"/>
          <w:szCs w:val="22"/>
          <w:lang w:val="hr-HR"/>
        </w:rPr>
        <w:footnoteReference w:id="105"/>
      </w:r>
      <w:r w:rsidR="0083118F">
        <w:rPr>
          <w:rFonts w:cs="Arial"/>
          <w:szCs w:val="22"/>
          <w:lang w:val="hr-HR"/>
        </w:rPr>
        <w:t xml:space="preserve"> </w:t>
      </w:r>
      <w:r w:rsidR="0083118F">
        <w:rPr>
          <w:rFonts w:cs="Arial"/>
          <w:szCs w:val="22"/>
          <w:lang w:val="hr-HR"/>
        </w:rPr>
        <w:lastRenderedPageBreak/>
        <w:t>Također, u istom izvješću navodi se kako je, p</w:t>
      </w:r>
      <w:r w:rsidR="0083118F" w:rsidRPr="0083118F">
        <w:rPr>
          <w:rFonts w:cs="Arial"/>
          <w:szCs w:val="22"/>
          <w:lang w:val="hr-HR"/>
        </w:rPr>
        <w:t>rema podatcima Ureda</w:t>
      </w:r>
      <w:r w:rsidR="0083118F">
        <w:rPr>
          <w:rFonts w:cs="Arial"/>
          <w:szCs w:val="22"/>
          <w:lang w:val="hr-HR"/>
        </w:rPr>
        <w:t xml:space="preserve"> </w:t>
      </w:r>
      <w:r w:rsidR="0083118F" w:rsidRPr="0083118F">
        <w:rPr>
          <w:rFonts w:cs="Arial"/>
          <w:szCs w:val="22"/>
          <w:lang w:val="hr-HR"/>
        </w:rPr>
        <w:t>za ljudska prava i prava nacionalnih manjina, tijekom 2013. godine vođeno sedam kaznenih</w:t>
      </w:r>
      <w:r w:rsidR="0083118F">
        <w:rPr>
          <w:rFonts w:cs="Arial"/>
          <w:szCs w:val="22"/>
          <w:lang w:val="hr-HR"/>
        </w:rPr>
        <w:t xml:space="preserve"> </w:t>
      </w:r>
      <w:r w:rsidR="0083118F" w:rsidRPr="0083118F">
        <w:rPr>
          <w:rFonts w:cs="Arial"/>
          <w:szCs w:val="22"/>
          <w:lang w:val="hr-HR"/>
        </w:rPr>
        <w:t>postupaka zbog javnog poticanja na nasilje i mržnju po različitim osnovama (pet po osnovi</w:t>
      </w:r>
      <w:r w:rsidR="0083118F">
        <w:rPr>
          <w:rFonts w:cs="Arial"/>
          <w:szCs w:val="22"/>
          <w:lang w:val="hr-HR"/>
        </w:rPr>
        <w:t xml:space="preserve"> </w:t>
      </w:r>
      <w:r w:rsidR="0083118F" w:rsidRPr="0083118F">
        <w:rPr>
          <w:rFonts w:cs="Arial"/>
          <w:szCs w:val="22"/>
          <w:lang w:val="hr-HR"/>
        </w:rPr>
        <w:t>nacionalne pripadnosti i dva po osnovi spolnog opredjeljenja).</w:t>
      </w:r>
    </w:p>
    <w:p w:rsidR="009A08DB" w:rsidRPr="00B830BB" w:rsidRDefault="005C6AA7" w:rsidP="00566873">
      <w:pPr>
        <w:spacing w:line="360" w:lineRule="auto"/>
        <w:ind w:firstLine="708"/>
        <w:jc w:val="both"/>
        <w:rPr>
          <w:rFonts w:cs="Arial"/>
          <w:szCs w:val="22"/>
          <w:lang w:val="hr-HR"/>
        </w:rPr>
      </w:pPr>
      <w:r>
        <w:rPr>
          <w:rFonts w:cs="Arial"/>
          <w:szCs w:val="22"/>
          <w:lang w:val="hr-HR"/>
        </w:rPr>
        <w:t>Nadalje, i</w:t>
      </w:r>
      <w:r w:rsidR="009A08DB" w:rsidRPr="00B830BB">
        <w:rPr>
          <w:rFonts w:cs="Arial"/>
          <w:szCs w:val="22"/>
          <w:lang w:val="hr-HR"/>
        </w:rPr>
        <w:t>n</w:t>
      </w:r>
      <w:r w:rsidR="00E355BF" w:rsidRPr="00B830BB">
        <w:rPr>
          <w:rFonts w:cs="Arial"/>
          <w:szCs w:val="22"/>
          <w:lang w:val="hr-HR"/>
        </w:rPr>
        <w:t>t</w:t>
      </w:r>
      <w:r w:rsidR="009A08DB" w:rsidRPr="00B830BB">
        <w:rPr>
          <w:rFonts w:cs="Arial"/>
          <w:szCs w:val="22"/>
          <w:lang w:val="hr-HR"/>
        </w:rPr>
        <w:t xml:space="preserve">erpretacijom </w:t>
      </w:r>
      <w:r w:rsidR="006C13C7">
        <w:rPr>
          <w:rFonts w:cs="Arial"/>
          <w:szCs w:val="22"/>
          <w:lang w:val="hr-HR"/>
        </w:rPr>
        <w:t xml:space="preserve">čl. 325. </w:t>
      </w:r>
      <w:r w:rsidR="009A08DB" w:rsidRPr="00B830BB">
        <w:rPr>
          <w:rFonts w:cs="Arial"/>
          <w:szCs w:val="22"/>
          <w:lang w:val="hr-HR"/>
        </w:rPr>
        <w:t>st. 1. u skladu s čl. 18. KZ-a u kojem je definiran pojam računalnog sustava te dodajući k tome pojam računalne mreže dolazi se do zaključka kako govor mržnje</w:t>
      </w:r>
      <w:r w:rsidR="00F10FCD" w:rsidRPr="00B830BB">
        <w:rPr>
          <w:rFonts w:cs="Arial"/>
          <w:szCs w:val="22"/>
          <w:lang w:val="hr-HR"/>
        </w:rPr>
        <w:t xml:space="preserve"> koji se diseminira putem inter</w:t>
      </w:r>
      <w:r w:rsidR="009A08DB" w:rsidRPr="00B830BB">
        <w:rPr>
          <w:rFonts w:cs="Arial"/>
          <w:szCs w:val="22"/>
          <w:lang w:val="hr-HR"/>
        </w:rPr>
        <w:t>n</w:t>
      </w:r>
      <w:r w:rsidR="00F10FCD" w:rsidRPr="00B830BB">
        <w:rPr>
          <w:rFonts w:cs="Arial"/>
          <w:szCs w:val="22"/>
          <w:lang w:val="hr-HR"/>
        </w:rPr>
        <w:t>e</w:t>
      </w:r>
      <w:r w:rsidR="009A08DB" w:rsidRPr="00B830BB">
        <w:rPr>
          <w:rFonts w:cs="Arial"/>
          <w:szCs w:val="22"/>
          <w:lang w:val="hr-HR"/>
        </w:rPr>
        <w:t>ta ulazi u opseg ove definicije. Postavlja se stoga pitanje zbog čega je tako mali broj slučajeva procesuiranih temeljem ove odredbe, kojoj se samoj po sebi očito ne mogu pripisati manjkavosti. Odgovor na to zasigurno je uvjetovan skupom različitih čimbenika</w:t>
      </w:r>
      <w:r w:rsidR="00DE721C">
        <w:rPr>
          <w:rFonts w:cs="Arial"/>
          <w:szCs w:val="22"/>
          <w:lang w:val="hr-HR"/>
        </w:rPr>
        <w:t>,</w:t>
      </w:r>
      <w:r w:rsidR="009A08DB" w:rsidRPr="00B830BB">
        <w:rPr>
          <w:rFonts w:cs="Arial"/>
          <w:szCs w:val="22"/>
          <w:lang w:val="hr-HR"/>
        </w:rPr>
        <w:t xml:space="preserve"> no vjerojatno najvažniji od njih jest nedovoljna osviještenost žrtava govora mržnje na internetu o njihovim pravima i mehanizmima zaštite istih. Slijedom toga, čak i one osobe koje se odluče na progon počinitelja obično pribjegavaju kvalifikaciji tih djela kao onih protiv časti i ugleda, osobito uvrede, budući da su ta djela puno poznatija široj javnosti od onih kojima se zabranjuje diskriminacija, a među kojima je i djelo iz čl. 325. KZ</w:t>
      </w:r>
      <w:r w:rsidR="001B4D09" w:rsidRPr="00B830BB">
        <w:rPr>
          <w:rFonts w:cs="Arial"/>
          <w:szCs w:val="22"/>
          <w:lang w:val="hr-HR"/>
        </w:rPr>
        <w:t>-a</w:t>
      </w:r>
      <w:r w:rsidR="009A08DB" w:rsidRPr="00B830BB">
        <w:rPr>
          <w:rFonts w:cs="Arial"/>
          <w:szCs w:val="22"/>
          <w:lang w:val="hr-HR"/>
        </w:rPr>
        <w:t>.</w:t>
      </w:r>
    </w:p>
    <w:p w:rsidR="009A08DB" w:rsidRPr="00B830BB" w:rsidRDefault="009A08DB" w:rsidP="00566873">
      <w:pPr>
        <w:spacing w:line="360" w:lineRule="auto"/>
        <w:ind w:firstLine="708"/>
        <w:jc w:val="both"/>
        <w:rPr>
          <w:rFonts w:cs="Arial"/>
          <w:szCs w:val="22"/>
          <w:lang w:val="hr-HR"/>
        </w:rPr>
      </w:pPr>
      <w:r w:rsidRPr="00B830BB">
        <w:rPr>
          <w:rFonts w:cs="Arial"/>
          <w:szCs w:val="22"/>
          <w:lang w:val="hr-HR"/>
        </w:rPr>
        <w:t xml:space="preserve">Problematičnost takvog </w:t>
      </w:r>
      <w:r w:rsidR="001B4D09" w:rsidRPr="00B830BB">
        <w:rPr>
          <w:rFonts w:cs="Arial"/>
          <w:szCs w:val="22"/>
          <w:lang w:val="hr-HR"/>
        </w:rPr>
        <w:t>uređenja</w:t>
      </w:r>
      <w:r w:rsidRPr="00B830BB">
        <w:rPr>
          <w:rFonts w:cs="Arial"/>
          <w:szCs w:val="22"/>
          <w:lang w:val="hr-HR"/>
        </w:rPr>
        <w:t xml:space="preserve"> jest u tome </w:t>
      </w:r>
      <w:r w:rsidR="001B4D09" w:rsidRPr="00B830BB">
        <w:rPr>
          <w:rFonts w:cs="Arial"/>
          <w:szCs w:val="22"/>
          <w:lang w:val="hr-HR"/>
        </w:rPr>
        <w:t>što se</w:t>
      </w:r>
      <w:r w:rsidRPr="00B830BB">
        <w:rPr>
          <w:rFonts w:cs="Arial"/>
          <w:szCs w:val="22"/>
          <w:lang w:val="hr-HR"/>
        </w:rPr>
        <w:t>, premda su obje vrste djelovanja kaznena djela, njihov progon razlikuje u određenju aktivno legitimirane osobe. Naime, dok je kod poticanja na nasilje i mržnju za progon ovlaš</w:t>
      </w:r>
      <w:r w:rsidR="007F29F2">
        <w:rPr>
          <w:rFonts w:cs="Arial"/>
          <w:szCs w:val="22"/>
          <w:lang w:val="hr-HR"/>
        </w:rPr>
        <w:t>t</w:t>
      </w:r>
      <w:r w:rsidRPr="00B830BB">
        <w:rPr>
          <w:rFonts w:cs="Arial"/>
          <w:szCs w:val="22"/>
          <w:lang w:val="hr-HR"/>
        </w:rPr>
        <w:t>en i dužan državni odvjetnik koji to čini na trošak javnog proračuna, dotle progon za djela protiv časti i ugleda pokreće sama osoba čija su prava povrijeđena i to privatnom tužbom. I dok pitanje tako slabe angažiranosti državnog odvjetništva ostaje otvoreno za diskusiju, nedvojbeno je da se privatne osobe, nesvjesne mogućnosti podnošenja kaznene prijave za djelo iz čl. 325. KZ-a, nevoljko odlučuju na progon po privatnoj tužbi za djelo protiv časti i ugleda upravo zbog  financijskih implikacija takvih postupaka. Iz toga jasno proizlazi potreba podizanja svijesti o kojoj će također biti govora u ovom radu.</w:t>
      </w:r>
    </w:p>
    <w:p w:rsidR="009A08DB" w:rsidRPr="00B830BB" w:rsidRDefault="009A08DB" w:rsidP="00652239">
      <w:pPr>
        <w:spacing w:line="360" w:lineRule="auto"/>
        <w:ind w:firstLine="708"/>
        <w:jc w:val="both"/>
        <w:rPr>
          <w:rFonts w:cs="Arial"/>
          <w:szCs w:val="22"/>
          <w:lang w:val="hr-HR"/>
        </w:rPr>
      </w:pPr>
      <w:r w:rsidRPr="00B830BB">
        <w:rPr>
          <w:rFonts w:cs="Arial"/>
          <w:szCs w:val="22"/>
          <w:lang w:val="hr-HR"/>
        </w:rPr>
        <w:t xml:space="preserve">Nadalje, važno je napomenuti i da, u određenim slučajevima, govor mržnje temeljen na nacionalnoj pripadnosti hrvatskom narodu, može biti kvalificiran kao kazneno djelo povrede ugleda Republike Hrvatske </w:t>
      </w:r>
      <w:r w:rsidR="00BB21EB">
        <w:rPr>
          <w:rFonts w:cs="Arial"/>
          <w:szCs w:val="22"/>
          <w:lang w:val="hr-HR"/>
        </w:rPr>
        <w:t xml:space="preserve">(u daljnjem tekstu: RH) </w:t>
      </w:r>
      <w:r w:rsidRPr="00B830BB">
        <w:rPr>
          <w:rFonts w:cs="Arial"/>
          <w:szCs w:val="22"/>
          <w:lang w:val="hr-HR"/>
        </w:rPr>
        <w:t xml:space="preserve">uređeno čl. 349. KZ-a. </w:t>
      </w:r>
      <w:r w:rsidR="00E35CB6">
        <w:rPr>
          <w:rFonts w:cs="Arial"/>
          <w:szCs w:val="22"/>
          <w:lang w:val="hr-HR"/>
        </w:rPr>
        <w:t xml:space="preserve">Tako, u predmetu </w:t>
      </w:r>
      <w:r w:rsidR="00E35CB6" w:rsidRPr="00E35CB6">
        <w:rPr>
          <w:rFonts w:cs="Arial"/>
          <w:i/>
          <w:szCs w:val="22"/>
          <w:lang w:val="hr-HR"/>
        </w:rPr>
        <w:t>Rujak protiv Hrvatske</w:t>
      </w:r>
      <w:r w:rsidR="0089317A">
        <w:rPr>
          <w:rStyle w:val="FootnoteReference"/>
          <w:rFonts w:cs="Arial"/>
          <w:i/>
          <w:szCs w:val="22"/>
          <w:lang w:val="hr-HR"/>
        </w:rPr>
        <w:footnoteReference w:id="106"/>
      </w:r>
      <w:r w:rsidR="00E35CB6">
        <w:rPr>
          <w:rFonts w:cs="Arial"/>
          <w:szCs w:val="22"/>
          <w:lang w:val="hr-HR"/>
        </w:rPr>
        <w:t xml:space="preserve"> koji se pojavio pred Europski sudom za ljudska prava, a kojim je podnositelj zahtjeva tv</w:t>
      </w:r>
      <w:r w:rsidR="00BB21EB">
        <w:rPr>
          <w:rFonts w:cs="Arial"/>
          <w:szCs w:val="22"/>
          <w:lang w:val="hr-HR"/>
        </w:rPr>
        <w:t>rdio da mu je RH</w:t>
      </w:r>
      <w:r w:rsidR="00E35CB6">
        <w:rPr>
          <w:rFonts w:cs="Arial"/>
          <w:szCs w:val="22"/>
          <w:lang w:val="hr-HR"/>
        </w:rPr>
        <w:t xml:space="preserve"> povrijedila pravo na slobodu izražavanja zajamčeno čl. 10. st. 1. Konvencije.</w:t>
      </w:r>
      <w:r w:rsidR="00E53FD7">
        <w:rPr>
          <w:rFonts w:cs="Arial"/>
          <w:szCs w:val="22"/>
          <w:lang w:val="hr-HR"/>
        </w:rPr>
        <w:t xml:space="preserve">, govor koji je okarakteriziran </w:t>
      </w:r>
      <w:r w:rsidR="00BB21EB">
        <w:rPr>
          <w:rFonts w:cs="Arial"/>
          <w:szCs w:val="22"/>
          <w:lang w:val="hr-HR"/>
        </w:rPr>
        <w:t>kao djelo povrede ugleda RH</w:t>
      </w:r>
      <w:r w:rsidR="00E53FD7">
        <w:rPr>
          <w:rFonts w:cs="Arial"/>
          <w:szCs w:val="22"/>
          <w:lang w:val="hr-HR"/>
        </w:rPr>
        <w:t xml:space="preserve"> prema čl. 151, tada važećeg K</w:t>
      </w:r>
      <w:r w:rsidR="00BF52D9">
        <w:rPr>
          <w:rFonts w:cs="Arial"/>
          <w:szCs w:val="22"/>
          <w:lang w:val="hr-HR"/>
        </w:rPr>
        <w:t>Z-a</w:t>
      </w:r>
      <w:r w:rsidR="00E53FD7">
        <w:rPr>
          <w:rFonts w:cs="Arial"/>
          <w:szCs w:val="22"/>
          <w:lang w:val="hr-HR"/>
        </w:rPr>
        <w:t>.</w:t>
      </w:r>
      <w:r w:rsidR="00BA35BB">
        <w:rPr>
          <w:rFonts w:cs="Arial"/>
          <w:szCs w:val="22"/>
          <w:lang w:val="hr-HR"/>
        </w:rPr>
        <w:t xml:space="preserve"> Naime, radilo se o izjavama </w:t>
      </w:r>
      <w:r w:rsidR="00C53705">
        <w:rPr>
          <w:rFonts w:cs="Arial"/>
          <w:szCs w:val="22"/>
          <w:lang w:val="hr-HR"/>
        </w:rPr>
        <w:t xml:space="preserve">sljedećeg sadržaja: </w:t>
      </w:r>
      <w:r w:rsidR="00C53705" w:rsidRPr="00C53705">
        <w:rPr>
          <w:rFonts w:cs="Arial"/>
          <w:szCs w:val="22"/>
          <w:lang w:val="hr-HR"/>
        </w:rPr>
        <w:t>„Jebem ti majku pokrštenu!“</w:t>
      </w:r>
      <w:r w:rsidR="00C53705">
        <w:rPr>
          <w:rFonts w:cs="Arial"/>
          <w:szCs w:val="22"/>
          <w:lang w:val="hr-HR"/>
        </w:rPr>
        <w:t xml:space="preserve">, </w:t>
      </w:r>
      <w:r w:rsidR="00C53705" w:rsidRPr="00C53705">
        <w:rPr>
          <w:rFonts w:cs="Arial"/>
          <w:szCs w:val="22"/>
          <w:lang w:val="hr-HR"/>
        </w:rPr>
        <w:t>„Ovo nije moja država, ja nisam njen državljanin, ja ne priznajem tebe, tvoj čin niti Hrvatsku vojsku!“</w:t>
      </w:r>
      <w:r w:rsidR="00C53705">
        <w:rPr>
          <w:rFonts w:cs="Arial"/>
          <w:szCs w:val="22"/>
          <w:lang w:val="hr-HR"/>
        </w:rPr>
        <w:t>,</w:t>
      </w:r>
      <w:r w:rsidR="0089317A">
        <w:rPr>
          <w:rFonts w:cs="Arial"/>
          <w:szCs w:val="22"/>
          <w:lang w:val="hr-HR"/>
        </w:rPr>
        <w:t xml:space="preserve"> </w:t>
      </w:r>
      <w:r w:rsidR="0089317A" w:rsidRPr="0089317A">
        <w:rPr>
          <w:rFonts w:cs="Arial"/>
          <w:szCs w:val="22"/>
          <w:lang w:val="hr-HR"/>
        </w:rPr>
        <w:t xml:space="preserve">„Da! Jebem vam majku pokrštenu! Jebem vam </w:t>
      </w:r>
      <w:r w:rsidR="0089317A" w:rsidRPr="0089317A">
        <w:rPr>
          <w:rFonts w:cs="Arial"/>
          <w:szCs w:val="22"/>
          <w:lang w:val="hr-HR"/>
        </w:rPr>
        <w:lastRenderedPageBreak/>
        <w:t>majku ustašku! Svi se potekli od Srba!“</w:t>
      </w:r>
      <w:r w:rsidR="0089317A">
        <w:rPr>
          <w:rFonts w:cs="Arial"/>
          <w:szCs w:val="22"/>
          <w:lang w:val="hr-HR"/>
        </w:rPr>
        <w:t>. Izjave su bile upućene hrvatskim vojnicima, a nesumnjivo bi mogle biti prepoznate kao govor mržnje prema njima kao pripadnicima hrvatskog naroda – dakle, kao govor mržnje temelj na nacionalnoj osnovi</w:t>
      </w:r>
      <w:r w:rsidR="00BB21EB">
        <w:rPr>
          <w:rFonts w:cs="Arial"/>
          <w:szCs w:val="22"/>
          <w:lang w:val="hr-HR"/>
        </w:rPr>
        <w:t>. Takvu nesnošljivost uvidio je i nacionalni sud navodeći da se radi o: „izvrgavanju</w:t>
      </w:r>
      <w:r w:rsidR="00BB21EB" w:rsidRPr="00BB21EB">
        <w:rPr>
          <w:rFonts w:cs="Arial"/>
          <w:szCs w:val="22"/>
          <w:lang w:val="hr-HR"/>
        </w:rPr>
        <w:t xml:space="preserve"> ruglu, </w:t>
      </w:r>
      <w:r w:rsidR="00BB21EB">
        <w:rPr>
          <w:rFonts w:cs="Arial"/>
          <w:szCs w:val="22"/>
          <w:lang w:val="hr-HR"/>
        </w:rPr>
        <w:t xml:space="preserve">preziru, grubom omalovažavanju ... </w:t>
      </w:r>
      <w:r w:rsidR="00BB21EB" w:rsidRPr="00BB21EB">
        <w:rPr>
          <w:rFonts w:cs="Arial"/>
          <w:szCs w:val="22"/>
          <w:lang w:val="hr-HR"/>
        </w:rPr>
        <w:t>ponižava</w:t>
      </w:r>
      <w:r w:rsidR="00BB21EB">
        <w:rPr>
          <w:rFonts w:cs="Arial"/>
          <w:szCs w:val="22"/>
          <w:lang w:val="hr-HR"/>
        </w:rPr>
        <w:t>nju, pakosti, mržnji“</w:t>
      </w:r>
      <w:r w:rsidR="00A85229">
        <w:rPr>
          <w:rFonts w:cs="Arial"/>
          <w:szCs w:val="22"/>
          <w:lang w:val="hr-HR"/>
        </w:rPr>
        <w:t>,</w:t>
      </w:r>
      <w:r w:rsidR="00BB21EB">
        <w:rPr>
          <w:rFonts w:cs="Arial"/>
          <w:szCs w:val="22"/>
          <w:lang w:val="hr-HR"/>
        </w:rPr>
        <w:t xml:space="preserve"> no nacionalni sud objektom zaštite smatrao je simbole RH, </w:t>
      </w:r>
      <w:r w:rsidR="00EF30AC">
        <w:rPr>
          <w:rFonts w:cs="Arial"/>
          <w:szCs w:val="22"/>
          <w:lang w:val="hr-HR"/>
        </w:rPr>
        <w:t>zbog čega je okrivljenik i osuđen za djelo protiv ugleda RH.</w:t>
      </w:r>
    </w:p>
    <w:p w:rsidR="00F749BB" w:rsidRDefault="00F749BB" w:rsidP="00652239">
      <w:pPr>
        <w:spacing w:line="360" w:lineRule="auto"/>
        <w:ind w:firstLine="708"/>
        <w:jc w:val="both"/>
        <w:rPr>
          <w:rFonts w:cs="Arial"/>
          <w:szCs w:val="22"/>
          <w:lang w:val="hr-HR"/>
        </w:rPr>
      </w:pPr>
      <w:r>
        <w:rPr>
          <w:rFonts w:cs="Arial"/>
          <w:szCs w:val="22"/>
          <w:lang w:val="hr-HR"/>
        </w:rPr>
        <w:t>Također, za spomenuti je kako je Europski sud za ljudska prava za</w:t>
      </w:r>
      <w:r w:rsidR="007F29F2">
        <w:rPr>
          <w:rFonts w:cs="Arial"/>
          <w:szCs w:val="22"/>
          <w:lang w:val="hr-HR"/>
        </w:rPr>
        <w:t>h</w:t>
      </w:r>
      <w:r>
        <w:rPr>
          <w:rFonts w:cs="Arial"/>
          <w:szCs w:val="22"/>
          <w:lang w:val="hr-HR"/>
        </w:rPr>
        <w:t xml:space="preserve">tjev proglasio nedopuštenim zbog nespojivosti </w:t>
      </w:r>
      <w:r w:rsidRPr="00F749BB">
        <w:rPr>
          <w:rFonts w:cs="Arial"/>
          <w:i/>
          <w:szCs w:val="22"/>
          <w:lang w:val="hr-HR"/>
        </w:rPr>
        <w:t>ratione materiae</w:t>
      </w:r>
      <w:r>
        <w:rPr>
          <w:rFonts w:cs="Arial"/>
          <w:szCs w:val="22"/>
          <w:lang w:val="hr-HR"/>
        </w:rPr>
        <w:t xml:space="preserve"> s odredbama Konvencije</w:t>
      </w:r>
      <w:r w:rsidR="00F21ABF">
        <w:rPr>
          <w:rFonts w:cs="Arial"/>
          <w:szCs w:val="22"/>
          <w:lang w:val="hr-HR"/>
        </w:rPr>
        <w:t xml:space="preserve"> objašnjavajući pritom kako o</w:t>
      </w:r>
      <w:r w:rsidR="00F21ABF" w:rsidRPr="00F21ABF">
        <w:rPr>
          <w:rFonts w:cs="Arial"/>
          <w:szCs w:val="22"/>
          <w:lang w:val="hr-HR"/>
        </w:rPr>
        <w:t>dređene vrste govora, kao što su nepristojni i bestidni govori nemaju bi</w:t>
      </w:r>
      <w:r w:rsidR="00F21ABF">
        <w:rPr>
          <w:rFonts w:cs="Arial"/>
          <w:szCs w:val="22"/>
          <w:lang w:val="hr-HR"/>
        </w:rPr>
        <w:t>tnu ulogu u izražavanju ideja te kako u</w:t>
      </w:r>
      <w:r w:rsidR="00F21ABF" w:rsidRPr="00F21ABF">
        <w:rPr>
          <w:rFonts w:cs="Arial"/>
          <w:szCs w:val="22"/>
          <w:lang w:val="hr-HR"/>
        </w:rPr>
        <w:t>vredljive izjave mogu pasti izvan zaštite slobode izraž</w:t>
      </w:r>
      <w:r w:rsidR="00F21ABF">
        <w:rPr>
          <w:rFonts w:cs="Arial"/>
          <w:szCs w:val="22"/>
          <w:lang w:val="hr-HR"/>
        </w:rPr>
        <w:t>avanja kada je jedina namjera tih uvredljivih izjava</w:t>
      </w:r>
      <w:r w:rsidR="00F21ABF" w:rsidRPr="00F21ABF">
        <w:rPr>
          <w:rFonts w:cs="Arial"/>
          <w:szCs w:val="22"/>
          <w:lang w:val="hr-HR"/>
        </w:rPr>
        <w:t xml:space="preserve"> vrijeđanje.</w:t>
      </w:r>
      <w:r w:rsidR="00857B4F">
        <w:rPr>
          <w:rFonts w:cs="Arial"/>
          <w:szCs w:val="22"/>
          <w:lang w:val="hr-HR"/>
        </w:rPr>
        <w:t xml:space="preserve"> </w:t>
      </w:r>
      <w:r w:rsidR="00857B4F" w:rsidRPr="00857B4F">
        <w:rPr>
          <w:rFonts w:cs="Arial"/>
          <w:szCs w:val="22"/>
          <w:lang w:val="hr-HR"/>
        </w:rPr>
        <w:t>S obzirom na činjenicu da su se izjave podnositelja uglavnom odnosile na vulgarni i uv</w:t>
      </w:r>
      <w:r w:rsidR="00652214">
        <w:rPr>
          <w:rFonts w:cs="Arial"/>
          <w:szCs w:val="22"/>
          <w:lang w:val="hr-HR"/>
        </w:rPr>
        <w:t xml:space="preserve">rjedljiv jezik, Sud je zaključio kako </w:t>
      </w:r>
      <w:r w:rsidR="00857B4F" w:rsidRPr="00857B4F">
        <w:rPr>
          <w:rFonts w:cs="Arial"/>
          <w:szCs w:val="22"/>
          <w:lang w:val="hr-HR"/>
        </w:rPr>
        <w:t xml:space="preserve">podnositelj zahtjeva davanjem uvrjedljive izjave </w:t>
      </w:r>
      <w:r w:rsidR="00652214">
        <w:rPr>
          <w:rFonts w:cs="Arial"/>
          <w:szCs w:val="22"/>
          <w:lang w:val="hr-HR"/>
        </w:rPr>
        <w:t xml:space="preserve">nije </w:t>
      </w:r>
      <w:r w:rsidR="00857B4F" w:rsidRPr="00857B4F">
        <w:rPr>
          <w:rFonts w:cs="Arial"/>
          <w:szCs w:val="22"/>
          <w:lang w:val="hr-HR"/>
        </w:rPr>
        <w:t>pokušavao „širiti informacije i ideje“.</w:t>
      </w:r>
      <w:r w:rsidR="00652214">
        <w:rPr>
          <w:rFonts w:cs="Arial"/>
          <w:szCs w:val="22"/>
          <w:lang w:val="hr-HR"/>
        </w:rPr>
        <w:t xml:space="preserve"> Baš naprotiv</w:t>
      </w:r>
      <w:r w:rsidR="00857B4F" w:rsidRPr="00857B4F">
        <w:rPr>
          <w:rFonts w:cs="Arial"/>
          <w:szCs w:val="22"/>
          <w:lang w:val="hr-HR"/>
        </w:rPr>
        <w:t xml:space="preserve">, </w:t>
      </w:r>
      <w:r w:rsidR="00652214">
        <w:rPr>
          <w:rFonts w:cs="Arial"/>
          <w:szCs w:val="22"/>
          <w:lang w:val="hr-HR"/>
        </w:rPr>
        <w:t xml:space="preserve">Sud je pronašao da, </w:t>
      </w:r>
      <w:r w:rsidR="00857B4F" w:rsidRPr="00857B4F">
        <w:rPr>
          <w:rFonts w:cs="Arial"/>
          <w:szCs w:val="22"/>
          <w:lang w:val="hr-HR"/>
        </w:rPr>
        <w:t>iz konteksta u kojem su te izjave bile dane, proizlazi da je jedina namjera podnositelja bila da uvrijedi svoje suborce i svoje nadređene</w:t>
      </w:r>
      <w:r w:rsidR="00652214">
        <w:rPr>
          <w:rFonts w:cs="Arial"/>
          <w:szCs w:val="22"/>
          <w:lang w:val="hr-HR"/>
        </w:rPr>
        <w:t xml:space="preserve"> zbog čega</w:t>
      </w:r>
      <w:r w:rsidR="00857B4F" w:rsidRPr="00857B4F">
        <w:rPr>
          <w:rFonts w:cs="Arial"/>
          <w:szCs w:val="22"/>
          <w:lang w:val="hr-HR"/>
        </w:rPr>
        <w:t xml:space="preserve"> takvo „izražavanje“ pada izvan zaštite članka 10. </w:t>
      </w:r>
      <w:r w:rsidR="00652214">
        <w:rPr>
          <w:rFonts w:cs="Arial"/>
          <w:szCs w:val="22"/>
          <w:lang w:val="hr-HR"/>
        </w:rPr>
        <w:t>Konvencije.</w:t>
      </w:r>
    </w:p>
    <w:p w:rsidR="009A08DB" w:rsidRPr="00E35CB6" w:rsidRDefault="00BB21EB" w:rsidP="00652239">
      <w:pPr>
        <w:spacing w:line="360" w:lineRule="auto"/>
        <w:ind w:firstLine="708"/>
        <w:jc w:val="both"/>
        <w:rPr>
          <w:rFonts w:cs="Arial"/>
          <w:szCs w:val="22"/>
          <w:lang w:val="hr-HR"/>
        </w:rPr>
      </w:pPr>
      <w:r>
        <w:rPr>
          <w:rFonts w:cs="Arial"/>
          <w:szCs w:val="22"/>
          <w:lang w:val="hr-HR"/>
        </w:rPr>
        <w:t>O</w:t>
      </w:r>
      <w:r w:rsidR="00C53705">
        <w:rPr>
          <w:rFonts w:cs="Arial"/>
          <w:szCs w:val="22"/>
          <w:lang w:val="hr-HR"/>
        </w:rPr>
        <w:t xml:space="preserve">vaj slučaj </w:t>
      </w:r>
      <w:r w:rsidR="0089317A">
        <w:rPr>
          <w:rFonts w:cs="Arial"/>
          <w:szCs w:val="22"/>
          <w:lang w:val="hr-HR"/>
        </w:rPr>
        <w:t xml:space="preserve">gdje </w:t>
      </w:r>
      <w:r>
        <w:rPr>
          <w:rFonts w:cs="Arial"/>
          <w:szCs w:val="22"/>
          <w:lang w:val="hr-HR"/>
        </w:rPr>
        <w:t>su ranije citirani oblici izražavanja</w:t>
      </w:r>
      <w:r w:rsidR="0089317A">
        <w:rPr>
          <w:rFonts w:cs="Arial"/>
          <w:szCs w:val="22"/>
          <w:lang w:val="hr-HR"/>
        </w:rPr>
        <w:t xml:space="preserve"> označen</w:t>
      </w:r>
      <w:r>
        <w:rPr>
          <w:rFonts w:cs="Arial"/>
          <w:szCs w:val="22"/>
          <w:lang w:val="hr-HR"/>
        </w:rPr>
        <w:t>i</w:t>
      </w:r>
      <w:r w:rsidR="0089317A">
        <w:rPr>
          <w:rFonts w:cs="Arial"/>
          <w:szCs w:val="22"/>
          <w:lang w:val="hr-HR"/>
        </w:rPr>
        <w:t xml:space="preserve"> kao djelo</w:t>
      </w:r>
      <w:r w:rsidR="00C53705">
        <w:rPr>
          <w:rFonts w:cs="Arial"/>
          <w:szCs w:val="22"/>
          <w:lang w:val="hr-HR"/>
        </w:rPr>
        <w:t xml:space="preserve"> prot</w:t>
      </w:r>
      <w:r>
        <w:rPr>
          <w:rFonts w:cs="Arial"/>
          <w:szCs w:val="22"/>
          <w:lang w:val="hr-HR"/>
        </w:rPr>
        <w:t>iv ugleda Republike Hrvatske</w:t>
      </w:r>
      <w:r w:rsidR="00C53705">
        <w:rPr>
          <w:rFonts w:cs="Arial"/>
          <w:szCs w:val="22"/>
          <w:lang w:val="hr-HR"/>
        </w:rPr>
        <w:t xml:space="preserve"> primjer </w:t>
      </w:r>
      <w:r>
        <w:rPr>
          <w:rFonts w:cs="Arial"/>
          <w:szCs w:val="22"/>
          <w:lang w:val="hr-HR"/>
        </w:rPr>
        <w:t xml:space="preserve">je </w:t>
      </w:r>
      <w:r w:rsidR="00C53705">
        <w:rPr>
          <w:rFonts w:cs="Arial"/>
          <w:szCs w:val="22"/>
          <w:lang w:val="hr-HR"/>
        </w:rPr>
        <w:t>kako je ponekad teško govor mržnje pravilno prepoznati i kv</w:t>
      </w:r>
      <w:r>
        <w:rPr>
          <w:rFonts w:cs="Arial"/>
          <w:szCs w:val="22"/>
          <w:lang w:val="hr-HR"/>
        </w:rPr>
        <w:t>alificirati, a time i progoniti. Uzrok tome vjerojatno je moguće pronaći u tankoj granici između nekoliko kaznenih djela. Jasno, o</w:t>
      </w:r>
      <w:r w:rsidR="00BC717E">
        <w:rPr>
          <w:rFonts w:cs="Arial"/>
          <w:szCs w:val="22"/>
          <w:lang w:val="hr-HR"/>
        </w:rPr>
        <w:t>v</w:t>
      </w:r>
      <w:r>
        <w:rPr>
          <w:rFonts w:cs="Arial"/>
          <w:szCs w:val="22"/>
          <w:lang w:val="hr-HR"/>
        </w:rPr>
        <w:t xml:space="preserve">dje se ne radi se o sličnosti odnosno istovjetnosti s govorom mržnje na internetu već s „običnim“ govorom mržnje, no zbog supstancijalne jednakosti između ta dva govora </w:t>
      </w:r>
      <w:r w:rsidR="00B618E0">
        <w:rPr>
          <w:rFonts w:cs="Arial"/>
          <w:szCs w:val="22"/>
          <w:lang w:val="hr-HR"/>
        </w:rPr>
        <w:t>izneseno je</w:t>
      </w:r>
      <w:r>
        <w:rPr>
          <w:rFonts w:cs="Arial"/>
          <w:szCs w:val="22"/>
          <w:lang w:val="hr-HR"/>
        </w:rPr>
        <w:t xml:space="preserve"> primjenjivo i na govor mržnje na internetu.</w:t>
      </w:r>
    </w:p>
    <w:p w:rsidR="0073523F" w:rsidRDefault="008A5E41" w:rsidP="00451607">
      <w:pPr>
        <w:pStyle w:val="Heading3"/>
      </w:pPr>
      <w:bookmarkStart w:id="220" w:name="_Toc386285808"/>
      <w:bookmarkStart w:id="221" w:name="_Toc386498344"/>
      <w:bookmarkStart w:id="222" w:name="_Toc386563088"/>
      <w:bookmarkStart w:id="223" w:name="_Toc386567250"/>
      <w:bookmarkStart w:id="224" w:name="_Toc386619643"/>
      <w:r w:rsidRPr="00B830BB">
        <w:t>Imovinskopravni zahtjev za naknadu štete</w:t>
      </w:r>
      <w:r w:rsidR="008176B8">
        <w:t xml:space="preserve"> počinjene kaznenim djelom</w:t>
      </w:r>
      <w:bookmarkEnd w:id="220"/>
      <w:bookmarkEnd w:id="221"/>
      <w:bookmarkEnd w:id="222"/>
      <w:bookmarkEnd w:id="223"/>
      <w:bookmarkEnd w:id="224"/>
    </w:p>
    <w:p w:rsidR="00451607" w:rsidRPr="00451607" w:rsidRDefault="00451607" w:rsidP="00451607">
      <w:pPr>
        <w:pStyle w:val="Heading2"/>
        <w:numPr>
          <w:ilvl w:val="0"/>
          <w:numId w:val="0"/>
        </w:numPr>
        <w:ind w:left="576"/>
      </w:pPr>
    </w:p>
    <w:p w:rsidR="0056164B" w:rsidRDefault="00322A00" w:rsidP="00451607">
      <w:pPr>
        <w:spacing w:line="360" w:lineRule="auto"/>
        <w:ind w:firstLine="708"/>
        <w:jc w:val="both"/>
        <w:rPr>
          <w:lang w:val="hr-HR"/>
        </w:rPr>
      </w:pPr>
      <w:r>
        <w:rPr>
          <w:lang w:val="hr-HR"/>
        </w:rPr>
        <w:t xml:space="preserve">Osim utvrđenja kaznene odgovornosti, </w:t>
      </w:r>
      <w:r w:rsidR="00A60BC4">
        <w:rPr>
          <w:lang w:val="hr-HR"/>
        </w:rPr>
        <w:t>određena satisfakcija koja se pruža oštećeniku jest i pravo na naknadu štete počinjene kaznenim djelom, koje može potraživati</w:t>
      </w:r>
      <w:r w:rsidR="0056164B">
        <w:rPr>
          <w:lang w:val="hr-HR"/>
        </w:rPr>
        <w:t xml:space="preserve"> već u samom kaznenom postupku.</w:t>
      </w:r>
    </w:p>
    <w:p w:rsidR="00F664FF" w:rsidRDefault="00A60BC4" w:rsidP="00451607">
      <w:pPr>
        <w:spacing w:line="360" w:lineRule="auto"/>
        <w:ind w:firstLine="708"/>
        <w:jc w:val="both"/>
        <w:rPr>
          <w:lang w:val="hr-HR"/>
        </w:rPr>
      </w:pPr>
      <w:r>
        <w:rPr>
          <w:lang w:val="hr-HR"/>
        </w:rPr>
        <w:t xml:space="preserve">Naime, iz razloga pragmatičnosti i ekonomičnosti </w:t>
      </w:r>
      <w:r w:rsidR="004A1065">
        <w:rPr>
          <w:lang w:val="hr-HR"/>
        </w:rPr>
        <w:t>čl. 153</w:t>
      </w:r>
      <w:r w:rsidR="00BC710C">
        <w:rPr>
          <w:lang w:val="hr-HR"/>
        </w:rPr>
        <w:t>.</w:t>
      </w:r>
      <w:r w:rsidR="004A1065">
        <w:rPr>
          <w:lang w:val="hr-HR"/>
        </w:rPr>
        <w:t xml:space="preserve">-162. ZKP-a uređena je mogućnost postavljanja imovinskopravnog zahtjeva u kaznenom postupku. Tako spomenute odredbe predviđaju </w:t>
      </w:r>
      <w:r w:rsidR="001E5287">
        <w:rPr>
          <w:lang w:val="hr-HR"/>
        </w:rPr>
        <w:t xml:space="preserve">da će se spomenuti zahtjev raspraviti u tijeku kaznenog postupka na prijedlog ovlaštene osobe, ukoliko time ne bi došlo do znatnog odugovlačenja tog postupka. </w:t>
      </w:r>
      <w:r w:rsidR="001F3A25">
        <w:rPr>
          <w:lang w:val="hr-HR"/>
        </w:rPr>
        <w:t>Predmet zahtjeva može biti sve ono što se može potraživati u građanskoj parnici, a ovlaštena osoba je ista ona osoba koja bi imala pravo pokrenuti takvu parnicu.</w:t>
      </w:r>
      <w:r w:rsidR="0056164B">
        <w:rPr>
          <w:lang w:val="hr-HR"/>
        </w:rPr>
        <w:t xml:space="preserve"> Prijedlog se predaje tijelu kojem se podnosi kaznena prijava ili sudu pred kojim se vodi postupak i to najkasnije do završetka dokaznog postupka pred prvostupanjskim sudom. </w:t>
      </w:r>
      <w:r w:rsidR="00F970B4">
        <w:rPr>
          <w:lang w:val="hr-HR"/>
        </w:rPr>
        <w:t xml:space="preserve">Od zahtjeva njegov podnositelj može i do završetka dokaznog postupka i odustati te ga ostvarivati u parnici. </w:t>
      </w:r>
      <w:r w:rsidR="0056164B">
        <w:rPr>
          <w:lang w:val="hr-HR"/>
        </w:rPr>
        <w:t xml:space="preserve">Osoba koja zahtjev podnosi dužna </w:t>
      </w:r>
      <w:r w:rsidR="00F664FF">
        <w:rPr>
          <w:lang w:val="hr-HR"/>
        </w:rPr>
        <w:t xml:space="preserve">ga </w:t>
      </w:r>
      <w:r w:rsidR="0056164B">
        <w:rPr>
          <w:lang w:val="hr-HR"/>
        </w:rPr>
        <w:t xml:space="preserve">je </w:t>
      </w:r>
      <w:r w:rsidR="00F970B4">
        <w:rPr>
          <w:lang w:val="hr-HR"/>
        </w:rPr>
        <w:t>određeno naznačiti</w:t>
      </w:r>
      <w:r w:rsidR="00F664FF">
        <w:rPr>
          <w:lang w:val="hr-HR"/>
        </w:rPr>
        <w:t xml:space="preserve"> te iznijeti dokaze </w:t>
      </w:r>
      <w:r w:rsidR="00F664FF">
        <w:rPr>
          <w:lang w:val="hr-HR"/>
        </w:rPr>
        <w:lastRenderedPageBreak/>
        <w:t>relevantne za odlučivanje o njemu. Pritom također ima pravo upozoriti na sve činjenice koje smatra važnima za odlučivanje, a t</w:t>
      </w:r>
      <w:r w:rsidR="00F970B4">
        <w:rPr>
          <w:lang w:val="hr-HR"/>
        </w:rPr>
        <w:t xml:space="preserve">ijelo koje vodi postupak ispitat će okrivljenika o </w:t>
      </w:r>
      <w:r w:rsidR="00F664FF">
        <w:rPr>
          <w:lang w:val="hr-HR"/>
        </w:rPr>
        <w:t xml:space="preserve">tim </w:t>
      </w:r>
      <w:r w:rsidR="00F970B4">
        <w:rPr>
          <w:lang w:val="hr-HR"/>
        </w:rPr>
        <w:t>činjenicama i ispitati okolnosti koje su važne za utvrđivanje imovinskopravnog zahtjeva.</w:t>
      </w:r>
      <w:r w:rsidR="00F664FF" w:rsidRPr="0066355E">
        <w:rPr>
          <w:lang w:val="hr-HR"/>
        </w:rPr>
        <w:t xml:space="preserve"> </w:t>
      </w:r>
      <w:r w:rsidR="00F664FF" w:rsidRPr="00F664FF">
        <w:rPr>
          <w:lang w:val="hr-HR"/>
        </w:rPr>
        <w:t>O imovinsk</w:t>
      </w:r>
      <w:r w:rsidR="00F664FF">
        <w:rPr>
          <w:lang w:val="hr-HR"/>
        </w:rPr>
        <w:t>opravnom zahtjevu odlučuje sud.</w:t>
      </w:r>
    </w:p>
    <w:p w:rsidR="00F664FF" w:rsidRDefault="00F664FF" w:rsidP="00451607">
      <w:pPr>
        <w:spacing w:line="360" w:lineRule="auto"/>
        <w:ind w:firstLine="708"/>
        <w:jc w:val="both"/>
        <w:rPr>
          <w:lang w:val="hr-HR"/>
        </w:rPr>
      </w:pPr>
      <w:r w:rsidRPr="00F664FF">
        <w:rPr>
          <w:lang w:val="hr-HR"/>
        </w:rPr>
        <w:t>U presudi kojom okrivljenika proglašava krivim sud može oštećeniku dosuditi imovinskopravni zahtjev u cijelosti ili mu može imovinskopravni zahtjev dosuditi djelomično, a za ostatak uputiti ga u parnicu. Ako podaci kaznenog postupka ne daju pouzdanu osnovu ni za potpuno niti za djelomično presuđenje, sud će oštećenika s imovinskopravn</w:t>
      </w:r>
      <w:r>
        <w:rPr>
          <w:lang w:val="hr-HR"/>
        </w:rPr>
        <w:t>im zahtjevom uputiti u parnicu.</w:t>
      </w:r>
    </w:p>
    <w:p w:rsidR="00344BC4" w:rsidRDefault="00F664FF" w:rsidP="00451607">
      <w:pPr>
        <w:spacing w:line="360" w:lineRule="auto"/>
        <w:ind w:firstLine="708"/>
        <w:jc w:val="both"/>
        <w:rPr>
          <w:lang w:val="hr-HR"/>
        </w:rPr>
      </w:pPr>
      <w:r w:rsidRPr="00F664FF">
        <w:rPr>
          <w:lang w:val="hr-HR"/>
        </w:rPr>
        <w:t>Kad sud donese presudu kojom se okrivljenik oslobađa optužbe ili kojom se optužba odbija ili kad rješenjem obustavi kazneni postupak, uputit će oštećenika da imovinskopravni zahtjev može ostvarivati u parnici. Kad se sud proglasi nenadležnim, uputit će oštećenika da imovinskopravni zahtjev može podnijeti u kaznenom postupku koji će početi ili nastaviti nadležni sud.</w:t>
      </w:r>
    </w:p>
    <w:p w:rsidR="00F664FF" w:rsidRDefault="00F664FF" w:rsidP="00451607">
      <w:pPr>
        <w:spacing w:line="360" w:lineRule="auto"/>
        <w:ind w:firstLine="708"/>
        <w:jc w:val="both"/>
        <w:rPr>
          <w:lang w:val="hr-HR"/>
        </w:rPr>
      </w:pPr>
      <w:r>
        <w:rPr>
          <w:lang w:val="hr-HR"/>
        </w:rPr>
        <w:t xml:space="preserve">Mogućnost potraživanja naknade štete u građanskom postupku ovdje nećemo dublje analizirati budući da se u tom slučaju primjenjuju procesna pravila građanskoga prava. </w:t>
      </w:r>
      <w:r w:rsidR="00DB17DB">
        <w:rPr>
          <w:lang w:val="hr-HR"/>
        </w:rPr>
        <w:t>Težište ovog rada jest ponajprije na kaznenopravnom postupku i odgovornosti koja se utvrđuje u njemu, stoga ovdje obrađujemo samo taj aspekt. Ipak, valja primijetiti da su ovlaštenik i predmet i u slučaju imovinskopravnog zahtjeva u kaznenom postupku određeni propisima materijalnog građanskog prava – zapravo odredbama ZOO-a o izvanugovornoj odgovornosti za štetu.</w:t>
      </w:r>
    </w:p>
    <w:p w:rsidR="00551C56" w:rsidRDefault="00322A00" w:rsidP="00451607">
      <w:pPr>
        <w:spacing w:line="360" w:lineRule="auto"/>
        <w:ind w:firstLine="708"/>
        <w:jc w:val="both"/>
        <w:rPr>
          <w:lang w:val="hr-HR"/>
        </w:rPr>
      </w:pPr>
      <w:r>
        <w:rPr>
          <w:lang w:val="hr-HR"/>
        </w:rPr>
        <w:t xml:space="preserve">Nedvojbeno je da </w:t>
      </w:r>
      <w:r w:rsidR="00F664FF">
        <w:rPr>
          <w:lang w:val="hr-HR"/>
        </w:rPr>
        <w:t>se izneseno odn</w:t>
      </w:r>
      <w:r w:rsidR="00CA1DC5">
        <w:rPr>
          <w:lang w:val="hr-HR"/>
        </w:rPr>
        <w:t>o</w:t>
      </w:r>
      <w:r w:rsidR="00F664FF">
        <w:rPr>
          <w:lang w:val="hr-HR"/>
        </w:rPr>
        <w:t>si i na govor mržnje</w:t>
      </w:r>
      <w:r>
        <w:rPr>
          <w:lang w:val="hr-HR"/>
        </w:rPr>
        <w:t xml:space="preserve"> jer</w:t>
      </w:r>
      <w:r w:rsidR="00F664FF">
        <w:rPr>
          <w:lang w:val="hr-HR"/>
        </w:rPr>
        <w:t xml:space="preserve"> i njime oštećeniku mogu nastati štete predviđene ZOO-om, u prvom redu povreda </w:t>
      </w:r>
      <w:r w:rsidR="00CA1DC5">
        <w:rPr>
          <w:lang w:val="hr-HR"/>
        </w:rPr>
        <w:t xml:space="preserve">nekih od </w:t>
      </w:r>
      <w:r w:rsidR="00F664FF">
        <w:rPr>
          <w:lang w:val="hr-HR"/>
        </w:rPr>
        <w:t xml:space="preserve">prava osobnosti </w:t>
      </w:r>
      <w:r w:rsidR="00CA1DC5">
        <w:rPr>
          <w:lang w:val="hr-HR"/>
        </w:rPr>
        <w:t>predviđenih čl. 19. ZOO-a. Govor mržnje uglavnom će izazvati negativne posljedice na duševno zdravlje, ugled, čast i dostojanstvo osobe kojoj je upućen</w:t>
      </w:r>
      <w:r w:rsidR="00917A7D">
        <w:rPr>
          <w:lang w:val="hr-HR"/>
        </w:rPr>
        <w:t>, a koja će temeljem takve povrede moći tražiti popravljanje štete koju je pretrpjela.</w:t>
      </w:r>
      <w:r w:rsidR="009D1216" w:rsidRPr="009D1216">
        <w:rPr>
          <w:lang w:val="hr-HR"/>
        </w:rPr>
        <w:t xml:space="preserve"> </w:t>
      </w:r>
      <w:r w:rsidR="00551C56" w:rsidRPr="00551C56">
        <w:rPr>
          <w:lang w:val="hr-HR"/>
        </w:rPr>
        <w:t>Štiti se dakle osobnost svakog čovjeka, ukupnost njegovog psiho-socijalnog stanja, njegov personalitet, njegovo pravo da od svakog drugog subjekta traži ostvarivanje poštivanja i razvoja vlastite osobnosti.</w:t>
      </w:r>
      <w:r w:rsidR="00B10B25">
        <w:rPr>
          <w:rStyle w:val="FootnoteReference"/>
          <w:lang w:val="hr-HR"/>
        </w:rPr>
        <w:footnoteReference w:id="107"/>
      </w:r>
    </w:p>
    <w:p w:rsidR="002B2C3D" w:rsidRDefault="00D402AC" w:rsidP="00451607">
      <w:pPr>
        <w:spacing w:line="360" w:lineRule="auto"/>
        <w:ind w:firstLine="708"/>
        <w:jc w:val="both"/>
        <w:rPr>
          <w:lang w:val="hr-HR"/>
        </w:rPr>
      </w:pPr>
      <w:r>
        <w:rPr>
          <w:lang w:val="hr-HR"/>
        </w:rPr>
        <w:t>Ne negirajući mogućnost nastanka i materijalne štete ovdje prvenstveno naglašavamo nematerijalne štete koje žrtva govora mržnje može pretrpjeti, a koje se, prema ZOO-u, ispravljaju satisfakcijom –</w:t>
      </w:r>
      <w:r w:rsidR="00110528">
        <w:rPr>
          <w:lang w:val="hr-HR"/>
        </w:rPr>
        <w:t xml:space="preserve"> bilo moralnom bilo novčanom.</w:t>
      </w:r>
    </w:p>
    <w:p w:rsidR="00451607" w:rsidRDefault="00D402AC" w:rsidP="00325818">
      <w:pPr>
        <w:spacing w:line="360" w:lineRule="auto"/>
        <w:ind w:firstLine="708"/>
        <w:jc w:val="both"/>
        <w:rPr>
          <w:lang w:val="hr-HR"/>
        </w:rPr>
      </w:pPr>
      <w:r>
        <w:rPr>
          <w:lang w:val="hr-HR"/>
        </w:rPr>
        <w:t>Prema čl. 1099. ZOO-a, moralna satisfakcija može se sastojati u objavljivanju presude, odnosno ispravka, povlačenju izjave kojom je povreda učinjena ili u čemu drugom čime se postiže svrha popravljanja štete</w:t>
      </w:r>
      <w:r w:rsidR="00FD7D2E">
        <w:rPr>
          <w:lang w:val="hr-HR"/>
        </w:rPr>
        <w:t>, sve na trošak štetnika</w:t>
      </w:r>
      <w:r>
        <w:rPr>
          <w:lang w:val="hr-HR"/>
        </w:rPr>
        <w:t xml:space="preserve">. </w:t>
      </w:r>
      <w:r w:rsidR="00944883">
        <w:rPr>
          <w:lang w:val="hr-HR"/>
        </w:rPr>
        <w:t xml:space="preserve">Smatramo kako je ovaj tip popravljanja od iznimne važnosti kod slučajeva govora mržnje na internetu jer se njime </w:t>
      </w:r>
      <w:r w:rsidR="00944883">
        <w:rPr>
          <w:lang w:val="hr-HR"/>
        </w:rPr>
        <w:lastRenderedPageBreak/>
        <w:t>otvara mogućnost uklanjanja spornih sadržaja, čime ih se čini nedostupnima onim korisnicima interneta koji ih nisu do tada pregledali</w:t>
      </w:r>
      <w:r w:rsidR="00024E33">
        <w:rPr>
          <w:lang w:val="hr-HR"/>
        </w:rPr>
        <w:t xml:space="preserve"> te se sprječava štetni učinak koji bi njihov ostanak na internetu potencijalno proizveo u budućnosti. Nada</w:t>
      </w:r>
      <w:r w:rsidR="00FD7D2E">
        <w:rPr>
          <w:lang w:val="hr-HR"/>
        </w:rPr>
        <w:t>l</w:t>
      </w:r>
      <w:r w:rsidR="00024E33">
        <w:rPr>
          <w:lang w:val="hr-HR"/>
        </w:rPr>
        <w:t xml:space="preserve">je, ništa manje bitna nije ni mogućnost objavljivanja presude kojom se pruža način da javnost sazna za počinjeno djelo i činjenicu da ga je i sud proglasio nedopuštenim. Time dolazi </w:t>
      </w:r>
      <w:r w:rsidR="00F460C2">
        <w:rPr>
          <w:lang w:val="hr-HR"/>
        </w:rPr>
        <w:t xml:space="preserve">do </w:t>
      </w:r>
      <w:r w:rsidR="00024E33">
        <w:rPr>
          <w:lang w:val="hr-HR"/>
        </w:rPr>
        <w:t>podizanja svijesti o nedopuštenosti takvoga ponašanja te se pospješuje preventivna djelovanje kaznenoga prava.</w:t>
      </w:r>
      <w:r w:rsidR="00F460C2">
        <w:rPr>
          <w:lang w:val="hr-HR"/>
        </w:rPr>
        <w:t xml:space="preserve"> </w:t>
      </w:r>
      <w:r w:rsidR="00325818">
        <w:rPr>
          <w:lang w:val="hr-HR"/>
        </w:rPr>
        <w:t>U ovom</w:t>
      </w:r>
      <w:r w:rsidR="00110528">
        <w:rPr>
          <w:lang w:val="hr-HR"/>
        </w:rPr>
        <w:t xml:space="preserve"> pogledu</w:t>
      </w:r>
      <w:r w:rsidR="00325818">
        <w:rPr>
          <w:lang w:val="hr-HR"/>
        </w:rPr>
        <w:t>, p</w:t>
      </w:r>
      <w:r>
        <w:rPr>
          <w:lang w:val="hr-HR"/>
        </w:rPr>
        <w:t xml:space="preserve">osebno ističemo </w:t>
      </w:r>
      <w:r w:rsidR="00325818">
        <w:rPr>
          <w:lang w:val="hr-HR"/>
        </w:rPr>
        <w:t>odredb</w:t>
      </w:r>
      <w:r w:rsidR="00DD1503">
        <w:rPr>
          <w:lang w:val="hr-HR"/>
        </w:rPr>
        <w:t>u čl. 22. st. 1.</w:t>
      </w:r>
      <w:r w:rsidR="00325818">
        <w:rPr>
          <w:lang w:val="hr-HR"/>
        </w:rPr>
        <w:t xml:space="preserve"> </w:t>
      </w:r>
      <w:r>
        <w:rPr>
          <w:lang w:val="hr-HR"/>
        </w:rPr>
        <w:t>Zakon</w:t>
      </w:r>
      <w:r w:rsidR="00325818">
        <w:rPr>
          <w:lang w:val="hr-HR"/>
        </w:rPr>
        <w:t>a</w:t>
      </w:r>
      <w:r>
        <w:rPr>
          <w:lang w:val="hr-HR"/>
        </w:rPr>
        <w:t xml:space="preserve"> o medijima</w:t>
      </w:r>
      <w:r w:rsidR="00325818">
        <w:rPr>
          <w:lang w:val="hr-HR"/>
        </w:rPr>
        <w:t xml:space="preserve"> koj</w:t>
      </w:r>
      <w:r w:rsidR="00DD1503">
        <w:rPr>
          <w:lang w:val="hr-HR"/>
        </w:rPr>
        <w:t>om</w:t>
      </w:r>
      <w:r w:rsidR="00325818">
        <w:rPr>
          <w:lang w:val="hr-HR"/>
        </w:rPr>
        <w:t xml:space="preserve"> je </w:t>
      </w:r>
      <w:r w:rsidR="00DD1503">
        <w:rPr>
          <w:lang w:val="hr-HR"/>
        </w:rPr>
        <w:t>predviđeno pravo na ispriku nakladnika za informaciju objavljenu u medijima</w:t>
      </w:r>
      <w:r w:rsidR="00110528">
        <w:rPr>
          <w:rStyle w:val="FootnoteReference"/>
          <w:lang w:val="hr-HR"/>
        </w:rPr>
        <w:footnoteReference w:id="108"/>
      </w:r>
      <w:r w:rsidR="00DD1503">
        <w:rPr>
          <w:lang w:val="hr-HR"/>
        </w:rPr>
        <w:t>, a kojom je povrijeđeno neko od prava osobnosti.</w:t>
      </w:r>
    </w:p>
    <w:p w:rsidR="00110528" w:rsidRDefault="00B41953" w:rsidP="00325818">
      <w:pPr>
        <w:spacing w:line="360" w:lineRule="auto"/>
        <w:ind w:firstLine="708"/>
        <w:jc w:val="both"/>
        <w:rPr>
          <w:lang w:val="hr-HR"/>
        </w:rPr>
      </w:pPr>
      <w:r>
        <w:rPr>
          <w:lang w:val="hr-HR"/>
        </w:rPr>
        <w:t>Novčana satisfakcija, pak, jest određena svota novca koja se oštećeniku daje kao subjektivno zadovoljenje.</w:t>
      </w:r>
      <w:r>
        <w:rPr>
          <w:rStyle w:val="FootnoteReference"/>
          <w:lang w:val="hr-HR"/>
        </w:rPr>
        <w:footnoteReference w:id="109"/>
      </w:r>
      <w:r w:rsidR="00F32290">
        <w:rPr>
          <w:lang w:val="hr-HR"/>
        </w:rPr>
        <w:t xml:space="preserve"> Jednako kao i moralna satisfakcija, dodjeljuje se u svrhu popravljanja ne</w:t>
      </w:r>
      <w:r w:rsidR="00FD7D2E">
        <w:rPr>
          <w:lang w:val="hr-HR"/>
        </w:rPr>
        <w:t>imovinske</w:t>
      </w:r>
      <w:r w:rsidR="00F32290">
        <w:rPr>
          <w:lang w:val="hr-HR"/>
        </w:rPr>
        <w:t xml:space="preserve"> štete nastale povredom prava osobnosti</w:t>
      </w:r>
      <w:r w:rsidR="00FD7D2E">
        <w:rPr>
          <w:lang w:val="hr-HR"/>
        </w:rPr>
        <w:t>, a uređena je čl. 1100. ZOO-a koji</w:t>
      </w:r>
      <w:r w:rsidR="00AF6692">
        <w:rPr>
          <w:lang w:val="hr-HR"/>
        </w:rPr>
        <w:t xml:space="preserve">m se, kao dodatne pretpostavke za dosudu, zahtijevaju još i </w:t>
      </w:r>
      <w:r w:rsidR="00704918">
        <w:rPr>
          <w:lang w:val="hr-HR"/>
        </w:rPr>
        <w:t>takva</w:t>
      </w:r>
      <w:r w:rsidR="00AF6692">
        <w:rPr>
          <w:lang w:val="hr-HR"/>
        </w:rPr>
        <w:t xml:space="preserve"> težina i okolnosti povrede koje opravdavaju dosudu</w:t>
      </w:r>
      <w:r w:rsidR="00F32290">
        <w:rPr>
          <w:lang w:val="hr-HR"/>
        </w:rPr>
        <w:t>.</w:t>
      </w:r>
      <w:r w:rsidR="006B61F6">
        <w:rPr>
          <w:lang w:val="hr-HR"/>
        </w:rPr>
        <w:t xml:space="preserve"> Zakon o medijima</w:t>
      </w:r>
      <w:r w:rsidR="00AA628F">
        <w:rPr>
          <w:lang w:val="hr-HR"/>
        </w:rPr>
        <w:t xml:space="preserve"> u svom čl. 22.</w:t>
      </w:r>
      <w:r w:rsidR="006B61F6">
        <w:rPr>
          <w:lang w:val="hr-HR"/>
        </w:rPr>
        <w:t xml:space="preserve"> također </w:t>
      </w:r>
      <w:r w:rsidR="005222E3">
        <w:rPr>
          <w:lang w:val="hr-HR"/>
        </w:rPr>
        <w:t>propisuje mogućnost dodjele pravične novčane naknade u slučaju kada je nematerijalna šteta nastala informacijom objavljenom u mediju, s tim da je takva mogućnost primjenjiva tek supsidijarno, u slučajevima kada je oštećenik prethodno zatražio od nakladnika objavu ispravka odnosno, ako ispravak nije moguć, onda ispriku nakladnika.</w:t>
      </w:r>
    </w:p>
    <w:p w:rsidR="00F51DA5" w:rsidRDefault="00FC29C4" w:rsidP="00325818">
      <w:pPr>
        <w:spacing w:line="360" w:lineRule="auto"/>
        <w:ind w:firstLine="708"/>
        <w:jc w:val="both"/>
        <w:rPr>
          <w:lang w:val="hr-HR"/>
        </w:rPr>
      </w:pPr>
      <w:r>
        <w:rPr>
          <w:lang w:val="hr-HR"/>
        </w:rPr>
        <w:t>Imovinskopravni zahtjev kako je gore prikazan bitan je vid priznanja žrtvi govora mržnje svih njenih prava, ne samo onog na dostojanstvo i jednakost koje joj štiti kazneno zakonodavstvo propisivanjem zabrane promicanja mržnje već i njenih osobnih, subjektivnih prava koja joj jamči pravni poredak općenito, a koja joj, kako je već objašnjeno, također mogu biti povrijeđena.</w:t>
      </w:r>
      <w:r w:rsidR="00DC4EB9">
        <w:rPr>
          <w:lang w:val="hr-HR"/>
        </w:rPr>
        <w:t xml:space="preserve"> Stoga, potrebno je u svim slučajevima u kojima je to moguće inzistirati na podnošenju i prihvaćanju takvog zahtjeva već u kaznenom postupku kako bi se žrtvu govora mržnje poštedjelo pokretanja građanske parnice radi ostvarenja gore opisanih, njoj pripadajućih, prava na popravljanje štete počinjene kaznenim djelom govora mržnje.</w:t>
      </w:r>
    </w:p>
    <w:p w:rsidR="007E2C58" w:rsidRPr="00325818" w:rsidRDefault="007E2C58" w:rsidP="00325818">
      <w:pPr>
        <w:spacing w:line="360" w:lineRule="auto"/>
        <w:ind w:firstLine="708"/>
        <w:jc w:val="both"/>
        <w:rPr>
          <w:lang w:val="hr-HR"/>
        </w:rPr>
      </w:pPr>
    </w:p>
    <w:p w:rsidR="009A08DB" w:rsidRPr="00A50577" w:rsidRDefault="00C22566" w:rsidP="009430BF">
      <w:pPr>
        <w:pStyle w:val="Heading1"/>
        <w:rPr>
          <w:rFonts w:cs="Arial"/>
        </w:rPr>
      </w:pPr>
      <w:bookmarkStart w:id="225" w:name="_Toc386285809"/>
      <w:bookmarkStart w:id="226" w:name="_Toc386498345"/>
      <w:bookmarkStart w:id="227" w:name="_Toc386563089"/>
      <w:bookmarkStart w:id="228" w:name="_Toc386567251"/>
      <w:bookmarkStart w:id="229" w:name="_Toc386619644"/>
      <w:r w:rsidRPr="00A50577">
        <w:rPr>
          <w:rFonts w:cs="Arial"/>
        </w:rPr>
        <w:t>O</w:t>
      </w:r>
      <w:r w:rsidR="009A08DB" w:rsidRPr="00A50577">
        <w:rPr>
          <w:rFonts w:cs="Arial"/>
        </w:rPr>
        <w:t>dgovornost prema Zakonu o suzbijanju diskriminacije</w:t>
      </w:r>
      <w:bookmarkEnd w:id="225"/>
      <w:bookmarkEnd w:id="226"/>
      <w:bookmarkEnd w:id="227"/>
      <w:bookmarkEnd w:id="228"/>
      <w:bookmarkEnd w:id="229"/>
    </w:p>
    <w:p w:rsidR="007E2C58" w:rsidRPr="00B830BB" w:rsidRDefault="007E2C58" w:rsidP="007E2C58">
      <w:pPr>
        <w:pStyle w:val="Heading2"/>
        <w:numPr>
          <w:ilvl w:val="0"/>
          <w:numId w:val="0"/>
        </w:numPr>
        <w:ind w:left="576"/>
      </w:pPr>
    </w:p>
    <w:p w:rsidR="00BB5C6F" w:rsidRDefault="00DC1D81" w:rsidP="00512EE7">
      <w:pPr>
        <w:spacing w:line="360" w:lineRule="auto"/>
        <w:ind w:firstLine="708"/>
        <w:jc w:val="both"/>
        <w:rPr>
          <w:lang w:val="hr-HR"/>
        </w:rPr>
      </w:pPr>
      <w:r>
        <w:rPr>
          <w:lang w:val="hr-HR"/>
        </w:rPr>
        <w:t xml:space="preserve">Ovaj </w:t>
      </w:r>
      <w:r w:rsidR="009C282E">
        <w:rPr>
          <w:lang w:val="hr-HR"/>
        </w:rPr>
        <w:t>zakon</w:t>
      </w:r>
      <w:r>
        <w:rPr>
          <w:lang w:val="hr-HR"/>
        </w:rPr>
        <w:t xml:space="preserve"> ovdje posebno obrađujemo iz razloga što su njime također predviđen</w:t>
      </w:r>
      <w:r w:rsidR="009C282E">
        <w:rPr>
          <w:lang w:val="hr-HR"/>
        </w:rPr>
        <w:t>a</w:t>
      </w:r>
      <w:r>
        <w:rPr>
          <w:lang w:val="hr-HR"/>
        </w:rPr>
        <w:t xml:space="preserve"> dv</w:t>
      </w:r>
      <w:r w:rsidR="009C282E">
        <w:rPr>
          <w:lang w:val="hr-HR"/>
        </w:rPr>
        <w:t>a</w:t>
      </w:r>
      <w:r>
        <w:rPr>
          <w:lang w:val="hr-HR"/>
        </w:rPr>
        <w:t xml:space="preserve"> </w:t>
      </w:r>
      <w:r w:rsidR="009C282E">
        <w:rPr>
          <w:lang w:val="hr-HR"/>
        </w:rPr>
        <w:t xml:space="preserve">tipa </w:t>
      </w:r>
      <w:r>
        <w:rPr>
          <w:lang w:val="hr-HR"/>
        </w:rPr>
        <w:t>odgovornosti za diskriminaciju po jednoj od 16 ranije nabrojenih osnova</w:t>
      </w:r>
      <w:r w:rsidR="00512EE7">
        <w:rPr>
          <w:lang w:val="hr-HR"/>
        </w:rPr>
        <w:t xml:space="preserve"> (vidi </w:t>
      </w:r>
      <w:r w:rsidR="00512EE7" w:rsidRPr="00483754">
        <w:rPr>
          <w:i/>
          <w:lang w:val="hr-HR"/>
        </w:rPr>
        <w:t>supra ad.</w:t>
      </w:r>
      <w:r w:rsidR="00512EE7" w:rsidRPr="00483754">
        <w:rPr>
          <w:lang w:val="hr-HR"/>
        </w:rPr>
        <w:t xml:space="preserve"> 4.3)</w:t>
      </w:r>
      <w:r w:rsidRPr="00483754">
        <w:rPr>
          <w:lang w:val="hr-HR"/>
        </w:rPr>
        <w:t>.</w:t>
      </w:r>
      <w:r w:rsidR="00BB5C6F">
        <w:rPr>
          <w:lang w:val="hr-HR"/>
        </w:rPr>
        <w:t xml:space="preserve"> U pogledu govora mržnje to je važno stoga što se u praksi može dogoditi i (kako ćemo pokazati na stvarnom slučaju) događa se da se izražavanja koja bi se mogla okarakterizirati kao kazneno djelo poticanja na mržnju i nasilje ponekad progone po ovom zakonu, a ne po KZ-u te im se time ne pripisuje karakter kaznenih djela iako odgovaraju biću djela iz čl. 325. KZ-a. Kako je prije spomenuto, to bi mogao biti jedan od razloga malog broja pokrenutih postupaka temeljem odredaba iz čl. 325. KZ-a čime se stvara privid nepostojanja </w:t>
      </w:r>
      <w:r w:rsidR="00F42FCC">
        <w:rPr>
          <w:lang w:val="hr-HR"/>
        </w:rPr>
        <w:t xml:space="preserve">govora mržnje u našem </w:t>
      </w:r>
      <w:r w:rsidR="002D0F48">
        <w:rPr>
          <w:lang w:val="hr-HR"/>
        </w:rPr>
        <w:t>društvu</w:t>
      </w:r>
      <w:r w:rsidR="00F42FCC">
        <w:rPr>
          <w:lang w:val="hr-HR"/>
        </w:rPr>
        <w:t xml:space="preserve"> što, kako je evidentno, nije pravilan prikaz stanja stvari.</w:t>
      </w:r>
    </w:p>
    <w:p w:rsidR="00D80E47" w:rsidRDefault="00BB5C6F" w:rsidP="00512EE7">
      <w:pPr>
        <w:spacing w:line="360" w:lineRule="auto"/>
        <w:ind w:firstLine="708"/>
        <w:jc w:val="both"/>
        <w:rPr>
          <w:lang w:val="hr-HR"/>
        </w:rPr>
      </w:pPr>
      <w:r>
        <w:rPr>
          <w:lang w:val="hr-HR"/>
        </w:rPr>
        <w:t xml:space="preserve">Naime, </w:t>
      </w:r>
      <w:r w:rsidR="009C282E">
        <w:rPr>
          <w:lang w:val="hr-HR"/>
        </w:rPr>
        <w:t xml:space="preserve">ZSD </w:t>
      </w:r>
      <w:r>
        <w:rPr>
          <w:lang w:val="hr-HR"/>
        </w:rPr>
        <w:t xml:space="preserve">u svojim odredbama, između ostalog, popisuje mogućnost podizanja </w:t>
      </w:r>
      <w:r w:rsidR="009C282E">
        <w:rPr>
          <w:lang w:val="hr-HR"/>
        </w:rPr>
        <w:t xml:space="preserve">jedne od nekoliko </w:t>
      </w:r>
      <w:r w:rsidR="001B199B">
        <w:rPr>
          <w:lang w:val="hr-HR"/>
        </w:rPr>
        <w:t>vrsta</w:t>
      </w:r>
      <w:r w:rsidR="009C282E">
        <w:rPr>
          <w:lang w:val="hr-HR"/>
        </w:rPr>
        <w:t xml:space="preserve"> privatnih antidiskriminacijskih tužbi</w:t>
      </w:r>
      <w:r w:rsidR="001B199B">
        <w:rPr>
          <w:rStyle w:val="FootnoteReference"/>
          <w:lang w:val="hr-HR"/>
        </w:rPr>
        <w:footnoteReference w:id="110"/>
      </w:r>
      <w:r w:rsidR="009C282E">
        <w:rPr>
          <w:lang w:val="hr-HR"/>
        </w:rPr>
        <w:t xml:space="preserve"> kao i mogućnost podnošenja optužnog prijedloga po jednoj od prekršajnih odredbi.</w:t>
      </w:r>
    </w:p>
    <w:p w:rsidR="00081E98" w:rsidRDefault="009C282E" w:rsidP="008644DB">
      <w:pPr>
        <w:spacing w:line="360" w:lineRule="auto"/>
        <w:ind w:firstLine="708"/>
        <w:jc w:val="both"/>
        <w:rPr>
          <w:lang w:val="hr-HR"/>
        </w:rPr>
      </w:pPr>
      <w:r>
        <w:rPr>
          <w:lang w:val="hr-HR"/>
        </w:rPr>
        <w:t>Vezano uz govor mržnje, od privatnih tužbi valja istaknuti tužbu za zabranu ili otklanjanje diskriminacije propisanu čl. 17. st. 2 kojom o</w:t>
      </w:r>
      <w:r w:rsidRPr="009C282E">
        <w:rPr>
          <w:lang w:val="hr-HR"/>
        </w:rPr>
        <w:t xml:space="preserve">soba koja tvrdi da je žrtva diskriminacije po odredbama </w:t>
      </w:r>
      <w:r>
        <w:rPr>
          <w:lang w:val="hr-HR"/>
        </w:rPr>
        <w:t xml:space="preserve">ZSD-a može </w:t>
      </w:r>
      <w:r w:rsidRPr="009C282E">
        <w:rPr>
          <w:lang w:val="hr-HR"/>
        </w:rPr>
        <w:t>tražiti</w:t>
      </w:r>
      <w:r>
        <w:rPr>
          <w:lang w:val="hr-HR"/>
        </w:rPr>
        <w:t xml:space="preserve"> „</w:t>
      </w:r>
      <w:r w:rsidRPr="009C282E">
        <w:rPr>
          <w:lang w:val="hr-HR"/>
        </w:rPr>
        <w:t xml:space="preserve">da se zabrani poduzimanje radnji kojima se krši ili može prekršiti tužiteljevo pravo na jednako postupanje, odnosno da se izvrše radnje kojima se uklanja diskriminacija ili njezine posljedice (tužba za zabranu </w:t>
      </w:r>
      <w:r>
        <w:rPr>
          <w:lang w:val="hr-HR"/>
        </w:rPr>
        <w:t>ili otklanjanje diskriminacije)“. Ova tužba može biti podnesena individualno ili</w:t>
      </w:r>
      <w:r w:rsidR="00081E98">
        <w:rPr>
          <w:lang w:val="hr-HR"/>
        </w:rPr>
        <w:t xml:space="preserve"> u formi udružne tužbe.</w:t>
      </w:r>
    </w:p>
    <w:p w:rsidR="00984A68" w:rsidRDefault="00984A68" w:rsidP="00984A68">
      <w:pPr>
        <w:spacing w:line="360" w:lineRule="auto"/>
        <w:ind w:firstLine="708"/>
        <w:jc w:val="both"/>
        <w:rPr>
          <w:lang w:val="hr-HR"/>
        </w:rPr>
      </w:pPr>
      <w:r>
        <w:rPr>
          <w:lang w:val="hr-HR"/>
        </w:rPr>
        <w:t xml:space="preserve">Kako je ranije spomenuto, </w:t>
      </w:r>
      <w:r w:rsidR="00C70AE5">
        <w:rPr>
          <w:lang w:val="hr-HR"/>
        </w:rPr>
        <w:t xml:space="preserve">pojavnost govora mržnje </w:t>
      </w:r>
      <w:r w:rsidR="00590023">
        <w:rPr>
          <w:lang w:val="hr-HR"/>
        </w:rPr>
        <w:t xml:space="preserve">(na internetu) </w:t>
      </w:r>
      <w:r w:rsidR="00C70AE5">
        <w:rPr>
          <w:lang w:val="hr-HR"/>
        </w:rPr>
        <w:t>i u praksi se ponekad tretira putem privatnih tužbi utemeljenih na ZSD-u, iako bi jednako tako mogle biti prim</w:t>
      </w:r>
      <w:r w:rsidR="00426B16">
        <w:rPr>
          <w:lang w:val="hr-HR"/>
        </w:rPr>
        <w:t>i</w:t>
      </w:r>
      <w:r w:rsidR="00C70AE5">
        <w:rPr>
          <w:lang w:val="hr-HR"/>
        </w:rPr>
        <w:t>jenjene odredbe čl. 325. KZ-a.</w:t>
      </w:r>
      <w:r w:rsidR="00590023">
        <w:rPr>
          <w:lang w:val="hr-HR"/>
        </w:rPr>
        <w:t xml:space="preserve"> Jedan od takvih slučajeva jest</w:t>
      </w:r>
      <w:r w:rsidR="00D625CA">
        <w:rPr>
          <w:lang w:val="hr-HR"/>
        </w:rPr>
        <w:t xml:space="preserve"> i predmet</w:t>
      </w:r>
      <w:r w:rsidR="00F02D11">
        <w:rPr>
          <w:lang w:val="hr-HR"/>
        </w:rPr>
        <w:t xml:space="preserve"> </w:t>
      </w:r>
      <w:r w:rsidR="003B0A5B">
        <w:rPr>
          <w:lang w:val="hr-HR"/>
        </w:rPr>
        <w:t xml:space="preserve">pokrenut privatnom tužbom </w:t>
      </w:r>
      <w:r w:rsidR="00F02D11">
        <w:rPr>
          <w:lang w:val="hr-HR"/>
        </w:rPr>
        <w:t xml:space="preserve">baziranom na odredbama ZSD-a, </w:t>
      </w:r>
      <w:r w:rsidR="00590023">
        <w:rPr>
          <w:lang w:val="hr-HR"/>
        </w:rPr>
        <w:t>koji se pojavio pred Vrhovnim Sudom RH</w:t>
      </w:r>
      <w:r w:rsidR="00F02D11">
        <w:rPr>
          <w:lang w:val="hr-HR"/>
        </w:rPr>
        <w:t xml:space="preserve"> 2012. godine</w:t>
      </w:r>
      <w:r w:rsidR="003B0A5B">
        <w:rPr>
          <w:lang w:val="hr-HR"/>
        </w:rPr>
        <w:t>.</w:t>
      </w:r>
      <w:r w:rsidR="00D625CA">
        <w:rPr>
          <w:rStyle w:val="FootnoteReference"/>
          <w:lang w:val="hr-HR"/>
        </w:rPr>
        <w:footnoteReference w:id="111"/>
      </w:r>
      <w:r w:rsidR="003B0A5B">
        <w:rPr>
          <w:lang w:val="hr-HR"/>
        </w:rPr>
        <w:t xml:space="preserve"> Prema presudi Vrhovnog S</w:t>
      </w:r>
      <w:r w:rsidR="00590023">
        <w:rPr>
          <w:lang w:val="hr-HR"/>
        </w:rPr>
        <w:t>uda</w:t>
      </w:r>
      <w:r w:rsidR="003B0A5B">
        <w:rPr>
          <w:lang w:val="hr-HR"/>
        </w:rPr>
        <w:t>,</w:t>
      </w:r>
      <w:r w:rsidR="00590023">
        <w:rPr>
          <w:lang w:val="hr-HR"/>
        </w:rPr>
        <w:t xml:space="preserve"> tuženik </w:t>
      </w:r>
      <w:r w:rsidR="003B0A5B">
        <w:rPr>
          <w:lang w:val="hr-HR"/>
        </w:rPr>
        <w:t xml:space="preserve">u tom predmetu </w:t>
      </w:r>
      <w:r w:rsidR="00590023">
        <w:rPr>
          <w:lang w:val="hr-HR"/>
        </w:rPr>
        <w:t xml:space="preserve">u izjavama objavljenim na svom blogu pozivao </w:t>
      </w:r>
      <w:r w:rsidR="003B0A5B">
        <w:rPr>
          <w:lang w:val="hr-HR"/>
        </w:rPr>
        <w:t xml:space="preserve">je </w:t>
      </w:r>
      <w:r w:rsidR="00590023">
        <w:rPr>
          <w:lang w:val="hr-HR"/>
        </w:rPr>
        <w:t>građane na „</w:t>
      </w:r>
      <w:r w:rsidR="00590023" w:rsidRPr="00590023">
        <w:rPr>
          <w:lang w:val="hr-HR"/>
        </w:rPr>
        <w:t>nasilno postupanje, omalovažavanje, mržnju i nepriznavanje prava osobama iste spolne orijentacije</w:t>
      </w:r>
      <w:r w:rsidR="00590023">
        <w:rPr>
          <w:lang w:val="hr-HR"/>
        </w:rPr>
        <w:t>“. Sam sud zaključio je kako se tuženik „</w:t>
      </w:r>
      <w:r w:rsidR="00590023" w:rsidRPr="00590023">
        <w:rPr>
          <w:lang w:val="hr-HR"/>
        </w:rPr>
        <w:t xml:space="preserve">umjesto da štiti slobodu i dostojanstvo svake osobe koju treba shvatiti na realističan </w:t>
      </w:r>
      <w:r w:rsidR="00590023" w:rsidRPr="00590023">
        <w:rPr>
          <w:lang w:val="hr-HR"/>
        </w:rPr>
        <w:lastRenderedPageBreak/>
        <w:t>i autentičan način uz osuđivanje svih nasilničkih čina protiv homoseksualnih osoba, jer oni zapravo pokazuju nedostatak poštovanja drugoga, svojim izjavama u inkriminiranim člancima upustio se ne samo u govor mržnje i opravdavanje fizičkog obračuna i napada na povorku osoba istospolne orijentacije, već je izravno poticao na mržnju i nasilje prema takvim osobama</w:t>
      </w:r>
      <w:r w:rsidR="003B0A5B">
        <w:rPr>
          <w:lang w:val="hr-HR"/>
        </w:rPr>
        <w:t>“. Ovakvom formulacijom svojih zaključaka i sam Vrhovni Sud prepoznao je da počinjeno djelo odgovora biću djela iz čl. 325. KZ-a, zbog čega smatramo da daljnja obrazloženja nisu ni potrebna.</w:t>
      </w:r>
    </w:p>
    <w:p w:rsidR="00E43A39" w:rsidRDefault="009C282E" w:rsidP="00984A68">
      <w:pPr>
        <w:spacing w:line="360" w:lineRule="auto"/>
        <w:ind w:firstLine="708"/>
        <w:jc w:val="both"/>
        <w:rPr>
          <w:lang w:val="hr-HR"/>
        </w:rPr>
      </w:pPr>
      <w:r>
        <w:rPr>
          <w:lang w:val="hr-HR"/>
        </w:rPr>
        <w:t>Nadalje, glede prek</w:t>
      </w:r>
      <w:r w:rsidR="00426B16">
        <w:rPr>
          <w:lang w:val="hr-HR"/>
        </w:rPr>
        <w:t>r</w:t>
      </w:r>
      <w:r>
        <w:rPr>
          <w:lang w:val="hr-HR"/>
        </w:rPr>
        <w:t>šajnih odredbi za govor mržnje važna je ona iz čl. 25. st.</w:t>
      </w:r>
      <w:r w:rsidR="00E736AD">
        <w:rPr>
          <w:lang w:val="hr-HR"/>
        </w:rPr>
        <w:t xml:space="preserve"> 1.</w:t>
      </w:r>
      <w:r>
        <w:rPr>
          <w:lang w:val="hr-HR"/>
        </w:rPr>
        <w:t xml:space="preserve"> koja glasi: „</w:t>
      </w:r>
      <w:r w:rsidRPr="009C282E">
        <w:rPr>
          <w:lang w:val="hr-HR"/>
        </w:rPr>
        <w:t>Tko s ciljem prouzročenja straha drugome ili stvaranja neprijateljskog, ponižavajućeg ili uvredljivog okruženja na temelju razlike u rasi, etničkoj pripadnosti, boji kože, spolu, jeziku, vjeri, političkom ili drugom uvjerenju, nacionalnom ili socijalnom podrijetlu, imovnom stanju, članstvu u sindikatu, društvenom položaju, bračnom ili obiteljskom statusu, dobi, zdravstvenom stanju, invaliditetu, genetskom naslijeđu, rodnom identitetu ili izražavanju i spolnoj orijentaciji povrijedi njegovo dostojanstvo, kaznit će se za prekršaj novčanom kaznom od 5.000,00 do 30.000,00 kuna.</w:t>
      </w:r>
      <w:r>
        <w:rPr>
          <w:lang w:val="hr-HR"/>
        </w:rPr>
        <w:t>“</w:t>
      </w:r>
      <w:r w:rsidR="004A458E">
        <w:rPr>
          <w:lang w:val="hr-HR"/>
        </w:rPr>
        <w:t xml:space="preserve"> Optuž</w:t>
      </w:r>
      <w:r w:rsidR="004406BB">
        <w:rPr>
          <w:lang w:val="hr-HR"/>
        </w:rPr>
        <w:t>ni prijedlog temeljem ove odredb</w:t>
      </w:r>
      <w:r w:rsidR="004A458E">
        <w:rPr>
          <w:lang w:val="hr-HR"/>
        </w:rPr>
        <w:t>e mogu podnijeti državni odvjetnik, tijelo državne uprave, pravna osoba s javnim ovlastima, oštećenik, pučki pravobranitelj te posebni pravobranitelj.</w:t>
      </w:r>
    </w:p>
    <w:p w:rsidR="0086397B" w:rsidRPr="00B830BB" w:rsidRDefault="004A458E" w:rsidP="00512EE7">
      <w:pPr>
        <w:spacing w:line="360" w:lineRule="auto"/>
        <w:ind w:firstLine="432"/>
        <w:jc w:val="both"/>
        <w:rPr>
          <w:rFonts w:cs="Arial"/>
          <w:lang w:val="hr-HR"/>
        </w:rPr>
      </w:pPr>
      <w:r>
        <w:rPr>
          <w:lang w:val="hr-HR"/>
        </w:rPr>
        <w:t>Također, bitno je primijetiti kako za ovaj prekršaj nije propisana kazna zatvora već samo novčana kazna čime zapravo može doći do znatno blažeg kažnjavanja počinitelja, ukoliko do pokretanja postupka dođe po osnovi odredaba ZSD-a umjesto KZ-a.</w:t>
      </w:r>
      <w:r w:rsidR="00FB4554">
        <w:rPr>
          <w:lang w:val="hr-HR"/>
        </w:rPr>
        <w:t xml:space="preserve"> Štoviše, problem paralelne regulacije postaje tim ozbiljniji kad se uzme u obzir da bi kao posljedica nje povodom istog govora moglo doći do dvostrukog progona – prekršajnog i kaznenog, a suprotno jednom od temeljih principa kaznenog zakonodavstva, </w:t>
      </w:r>
      <w:r w:rsidR="00FB4554" w:rsidRPr="00FB4554">
        <w:rPr>
          <w:i/>
          <w:lang w:val="hr-HR"/>
        </w:rPr>
        <w:t>načelu ne bis in idem</w:t>
      </w:r>
      <w:r w:rsidR="00FB4554">
        <w:rPr>
          <w:lang w:val="hr-HR"/>
        </w:rPr>
        <w:t>.</w:t>
      </w:r>
      <w:r w:rsidR="00F86F25">
        <w:rPr>
          <w:lang w:val="hr-HR"/>
        </w:rPr>
        <w:t xml:space="preserve"> Naime, </w:t>
      </w:r>
      <w:r w:rsidR="002C2068">
        <w:rPr>
          <w:lang w:val="hr-HR"/>
        </w:rPr>
        <w:t>zbog bliskosti djela moguće je da se istom radnjom ostvare obilježja kaznenog djela i prekršaja, a spomenuto načelo zabranjuje da se temeljem istog činjeničnog stanja vode dva postupka</w:t>
      </w:r>
      <w:r w:rsidR="005A0A6D">
        <w:rPr>
          <w:lang w:val="hr-HR"/>
        </w:rPr>
        <w:t xml:space="preserve"> i time dvostruko kažnjava počinitelj</w:t>
      </w:r>
      <w:r w:rsidR="002C2068">
        <w:rPr>
          <w:lang w:val="hr-HR"/>
        </w:rPr>
        <w:t>.</w:t>
      </w:r>
    </w:p>
    <w:p w:rsidR="00F02D11" w:rsidRDefault="00F02D11" w:rsidP="00E736AD">
      <w:pPr>
        <w:spacing w:line="360" w:lineRule="auto"/>
        <w:ind w:firstLine="432"/>
        <w:jc w:val="both"/>
        <w:rPr>
          <w:lang w:val="hr-HR"/>
        </w:rPr>
      </w:pPr>
      <w:r>
        <w:rPr>
          <w:lang w:val="hr-HR"/>
        </w:rPr>
        <w:t xml:space="preserve">Kao ilustrativan primjer točnosti ovih tvrdnji navodimo gore analizirani predmet </w:t>
      </w:r>
      <w:r w:rsidRPr="00F02D11">
        <w:rPr>
          <w:lang w:val="hr-HR"/>
        </w:rPr>
        <w:t>Gž 38/2011-2</w:t>
      </w:r>
      <w:r>
        <w:rPr>
          <w:lang w:val="hr-HR"/>
        </w:rPr>
        <w:t xml:space="preserve"> </w:t>
      </w:r>
      <w:r w:rsidR="00B46BCC">
        <w:rPr>
          <w:lang w:val="hr-HR"/>
        </w:rPr>
        <w:t xml:space="preserve">na čije činjenice je mogla jednako biti primijenjena citirana prekršajna odredba čl. 25. st. 1. ZSD-a. </w:t>
      </w:r>
    </w:p>
    <w:p w:rsidR="0010106A" w:rsidRPr="00B830BB" w:rsidRDefault="00E43A39" w:rsidP="00E736AD">
      <w:pPr>
        <w:spacing w:line="360" w:lineRule="auto"/>
        <w:ind w:firstLine="432"/>
        <w:jc w:val="both"/>
        <w:rPr>
          <w:rFonts w:cs="Arial"/>
          <w:szCs w:val="22"/>
          <w:lang w:val="hr-HR"/>
        </w:rPr>
      </w:pPr>
      <w:r>
        <w:rPr>
          <w:lang w:val="hr-HR"/>
        </w:rPr>
        <w:t>Naposljetku</w:t>
      </w:r>
      <w:r w:rsidR="00E736AD">
        <w:rPr>
          <w:lang w:val="hr-HR"/>
        </w:rPr>
        <w:t xml:space="preserve">, valja spomenuti da </w:t>
      </w:r>
      <w:r w:rsidR="00266BAF">
        <w:rPr>
          <w:lang w:val="hr-HR"/>
        </w:rPr>
        <w:t>istovjetna</w:t>
      </w:r>
      <w:r w:rsidR="00E736AD">
        <w:rPr>
          <w:lang w:val="hr-HR"/>
        </w:rPr>
        <w:t xml:space="preserve"> situacija postoji i u vezi s čl. 31. st.1. Zakona o ravnopravnosti spolova kojim je jednako tako propisana prekršajna odgovornost za onoga „</w:t>
      </w:r>
      <w:r w:rsidR="00E736AD" w:rsidRPr="00E736AD">
        <w:rPr>
          <w:lang w:val="hr-HR"/>
        </w:rPr>
        <w:t>Tko s ciljem prouzročenja straha drugoga ili stvaranja neprijateljskog, ponižavajućeg ili uvredljivog okruženja na temelju razlike u spolu, bračnom ili obiteljskom statusu, ili spolnoj orijentaciji povrijedi njegovo dostojanstvo</w:t>
      </w:r>
      <w:r w:rsidR="00E736AD">
        <w:rPr>
          <w:lang w:val="hr-HR"/>
        </w:rPr>
        <w:t>.“ Takva osoba k</w:t>
      </w:r>
      <w:r w:rsidR="00E736AD" w:rsidRPr="00E736AD">
        <w:rPr>
          <w:lang w:val="hr-HR"/>
        </w:rPr>
        <w:t xml:space="preserve">aznit će se za prekršaj novčanom kaznom </w:t>
      </w:r>
      <w:r w:rsidR="00E736AD">
        <w:rPr>
          <w:lang w:val="hr-HR"/>
        </w:rPr>
        <w:t xml:space="preserve">u iznosu </w:t>
      </w:r>
      <w:r w:rsidR="00E736AD" w:rsidRPr="00E736AD">
        <w:rPr>
          <w:lang w:val="hr-HR"/>
        </w:rPr>
        <w:t>od 5.000,00 do 30.000,00 kuna.</w:t>
      </w:r>
    </w:p>
    <w:p w:rsidR="00DD422D" w:rsidRPr="00B830BB" w:rsidRDefault="00DD422D" w:rsidP="001F2AC0">
      <w:pPr>
        <w:pStyle w:val="ListParagraph"/>
        <w:spacing w:line="360" w:lineRule="auto"/>
        <w:ind w:left="0" w:right="-329"/>
        <w:jc w:val="both"/>
        <w:rPr>
          <w:rFonts w:cs="Arial"/>
          <w:lang w:val="hr-HR"/>
        </w:rPr>
      </w:pPr>
    </w:p>
    <w:p w:rsidR="00D01BFC" w:rsidRPr="00B830BB" w:rsidRDefault="00D01BFC" w:rsidP="005B4E9F">
      <w:pPr>
        <w:pStyle w:val="Heading1"/>
        <w:rPr>
          <w:rFonts w:cs="Arial"/>
          <w:lang w:val="hr-HR"/>
        </w:rPr>
      </w:pPr>
      <w:bookmarkStart w:id="230" w:name="_Toc386285810"/>
      <w:bookmarkStart w:id="231" w:name="_Toc386498346"/>
      <w:bookmarkStart w:id="232" w:name="_Toc386563090"/>
      <w:bookmarkStart w:id="233" w:name="_Toc386567252"/>
      <w:bookmarkStart w:id="234" w:name="_Toc386619645"/>
      <w:r w:rsidRPr="00B830BB">
        <w:rPr>
          <w:rFonts w:cs="Arial"/>
          <w:lang w:val="hr-HR"/>
        </w:rPr>
        <w:lastRenderedPageBreak/>
        <w:t>Jurisdikcija (</w:t>
      </w:r>
      <w:r w:rsidR="00BC0C77">
        <w:rPr>
          <w:rFonts w:cs="Arial"/>
          <w:lang w:val="hr-HR"/>
        </w:rPr>
        <w:t>odabir vrste</w:t>
      </w:r>
      <w:r w:rsidRPr="00B830BB">
        <w:rPr>
          <w:rFonts w:cs="Arial"/>
          <w:lang w:val="hr-HR"/>
        </w:rPr>
        <w:t xml:space="preserve"> nadležnosti s obzirom na specifičnost interneta)</w:t>
      </w:r>
      <w:bookmarkEnd w:id="230"/>
      <w:bookmarkEnd w:id="231"/>
      <w:bookmarkEnd w:id="232"/>
      <w:bookmarkEnd w:id="233"/>
      <w:bookmarkEnd w:id="234"/>
    </w:p>
    <w:p w:rsidR="00F76DC5" w:rsidRPr="00B830BB" w:rsidRDefault="00F76DC5" w:rsidP="00AD19A6">
      <w:pPr>
        <w:spacing w:line="360" w:lineRule="auto"/>
        <w:jc w:val="both"/>
        <w:rPr>
          <w:rFonts w:cs="Arial"/>
          <w:szCs w:val="22"/>
          <w:lang w:val="hr-HR"/>
        </w:rPr>
      </w:pPr>
    </w:p>
    <w:p w:rsidR="00C51A28" w:rsidRDefault="00C51A28" w:rsidP="00733EFA">
      <w:pPr>
        <w:spacing w:line="360" w:lineRule="auto"/>
        <w:ind w:firstLine="432"/>
        <w:jc w:val="both"/>
        <w:rPr>
          <w:rFonts w:cs="Arial"/>
          <w:szCs w:val="22"/>
          <w:lang w:val="hr-HR"/>
        </w:rPr>
      </w:pPr>
      <w:r w:rsidRPr="00B830BB">
        <w:rPr>
          <w:rFonts w:cs="Arial"/>
          <w:szCs w:val="22"/>
          <w:lang w:val="hr-HR"/>
        </w:rPr>
        <w:t>Kao što je već navedeno (</w:t>
      </w:r>
      <w:r w:rsidRPr="00483754">
        <w:rPr>
          <w:rFonts w:cs="Arial"/>
          <w:szCs w:val="22"/>
          <w:lang w:val="hr-HR"/>
        </w:rPr>
        <w:t xml:space="preserve">vidi </w:t>
      </w:r>
      <w:r w:rsidR="002C691B" w:rsidRPr="00483754">
        <w:rPr>
          <w:rFonts w:cs="Arial"/>
          <w:i/>
          <w:szCs w:val="22"/>
          <w:lang w:val="hr-HR"/>
        </w:rPr>
        <w:t xml:space="preserve">supra ad. </w:t>
      </w:r>
      <w:r w:rsidR="002C691B" w:rsidRPr="00483754">
        <w:rPr>
          <w:rFonts w:cs="Arial"/>
          <w:szCs w:val="22"/>
          <w:lang w:val="hr-HR"/>
        </w:rPr>
        <w:t>5</w:t>
      </w:r>
      <w:r w:rsidRPr="00483754">
        <w:rPr>
          <w:rFonts w:cs="Arial"/>
          <w:szCs w:val="22"/>
          <w:lang w:val="hr-HR"/>
        </w:rPr>
        <w:t>),</w:t>
      </w:r>
      <w:r w:rsidRPr="00B830BB">
        <w:rPr>
          <w:rFonts w:cs="Arial"/>
          <w:szCs w:val="22"/>
          <w:lang w:val="hr-HR"/>
        </w:rPr>
        <w:t xml:space="preserve"> zbog glavnih karakteristika interneta – prekogranični element i disperzitet korisnika, ali i brzom razvitku, </w:t>
      </w:r>
      <w:r w:rsidR="00F24FB2" w:rsidRPr="00B830BB">
        <w:rPr>
          <w:rFonts w:cs="Arial"/>
          <w:szCs w:val="22"/>
          <w:lang w:val="hr-HR"/>
        </w:rPr>
        <w:t xml:space="preserve">za sada </w:t>
      </w:r>
      <w:r w:rsidRPr="00B830BB">
        <w:rPr>
          <w:rFonts w:cs="Arial"/>
          <w:szCs w:val="22"/>
          <w:lang w:val="hr-HR"/>
        </w:rPr>
        <w:t xml:space="preserve">ne postoji univerzalni pristup procesuiranja (ondje gdje je govor mržnje kazneno djelo). Štoviše, ne bismo mogli niti zaključiti da postoji određena najbolja praksa (eng. </w:t>
      </w:r>
      <w:r w:rsidRPr="00B830BB">
        <w:rPr>
          <w:rFonts w:cs="Arial"/>
          <w:i/>
          <w:szCs w:val="22"/>
          <w:lang w:val="hr-HR"/>
        </w:rPr>
        <w:t>best practice)</w:t>
      </w:r>
      <w:r w:rsidR="00733EFA" w:rsidRPr="00B830BB">
        <w:rPr>
          <w:rFonts w:cs="Arial"/>
          <w:i/>
          <w:szCs w:val="22"/>
          <w:lang w:val="hr-HR"/>
        </w:rPr>
        <w:t xml:space="preserve">. </w:t>
      </w:r>
      <w:r w:rsidR="00733EFA" w:rsidRPr="002C115F">
        <w:rPr>
          <w:lang w:val="hr-HR"/>
        </w:rPr>
        <w:t>Postavlja se pitanje</w:t>
      </w:r>
      <w:r w:rsidR="007C5BE1">
        <w:rPr>
          <w:rFonts w:cs="Arial"/>
          <w:szCs w:val="22"/>
          <w:lang w:val="hr-HR"/>
        </w:rPr>
        <w:t xml:space="preserve"> gdje s</w:t>
      </w:r>
      <w:r w:rsidR="00125DCD">
        <w:rPr>
          <w:rFonts w:cs="Arial"/>
          <w:szCs w:val="22"/>
          <w:lang w:val="hr-HR"/>
        </w:rPr>
        <w:t>e nalaze</w:t>
      </w:r>
      <w:r w:rsidR="00733EFA" w:rsidRPr="00B830BB">
        <w:rPr>
          <w:rFonts w:cs="Arial"/>
          <w:szCs w:val="22"/>
          <w:lang w:val="hr-HR"/>
        </w:rPr>
        <w:t xml:space="preserve"> granice </w:t>
      </w:r>
      <w:r w:rsidR="00125DCD">
        <w:rPr>
          <w:rFonts w:cs="Arial"/>
          <w:szCs w:val="22"/>
          <w:lang w:val="hr-HR"/>
        </w:rPr>
        <w:t xml:space="preserve">dometa nacionalnog zakonodavstva za govor mržnje </w:t>
      </w:r>
      <w:r w:rsidR="00733EFA" w:rsidRPr="00B830BB">
        <w:rPr>
          <w:rFonts w:cs="Arial"/>
          <w:szCs w:val="22"/>
          <w:lang w:val="hr-HR"/>
        </w:rPr>
        <w:t xml:space="preserve">na </w:t>
      </w:r>
      <w:r w:rsidR="00125DCD">
        <w:rPr>
          <w:rFonts w:cs="Arial"/>
          <w:szCs w:val="22"/>
          <w:lang w:val="hr-HR"/>
        </w:rPr>
        <w:t xml:space="preserve">internetu. </w:t>
      </w:r>
    </w:p>
    <w:p w:rsidR="00B93DC3" w:rsidRPr="00B830BB" w:rsidRDefault="00B93DC3" w:rsidP="00733EFA">
      <w:pPr>
        <w:spacing w:line="360" w:lineRule="auto"/>
        <w:ind w:firstLine="432"/>
        <w:jc w:val="both"/>
        <w:rPr>
          <w:rFonts w:cs="Arial"/>
          <w:szCs w:val="22"/>
          <w:lang w:val="hr-HR"/>
        </w:rPr>
      </w:pPr>
    </w:p>
    <w:p w:rsidR="00351846" w:rsidRPr="00B830BB" w:rsidRDefault="00351846" w:rsidP="00351846">
      <w:pPr>
        <w:pStyle w:val="Heading2"/>
        <w:rPr>
          <w:rFonts w:cs="Arial"/>
        </w:rPr>
      </w:pPr>
      <w:bookmarkStart w:id="235" w:name="_Toc386285811"/>
      <w:bookmarkStart w:id="236" w:name="_Toc386498347"/>
      <w:bookmarkStart w:id="237" w:name="_Toc386563091"/>
      <w:bookmarkStart w:id="238" w:name="_Toc386567253"/>
      <w:bookmarkStart w:id="239" w:name="_Toc386619646"/>
      <w:r w:rsidRPr="00B830BB">
        <w:rPr>
          <w:rFonts w:cs="Arial"/>
        </w:rPr>
        <w:t>Primjena materijalnog prava</w:t>
      </w:r>
      <w:bookmarkEnd w:id="235"/>
      <w:bookmarkEnd w:id="236"/>
      <w:bookmarkEnd w:id="237"/>
      <w:bookmarkEnd w:id="238"/>
      <w:bookmarkEnd w:id="239"/>
      <w:r w:rsidRPr="00B830BB">
        <w:rPr>
          <w:rFonts w:cs="Arial"/>
        </w:rPr>
        <w:t xml:space="preserve"> </w:t>
      </w:r>
    </w:p>
    <w:p w:rsidR="00351846" w:rsidRPr="00B830BB" w:rsidRDefault="00351846" w:rsidP="00351846">
      <w:pPr>
        <w:pStyle w:val="Heading2"/>
        <w:numPr>
          <w:ilvl w:val="0"/>
          <w:numId w:val="0"/>
        </w:numPr>
        <w:ind w:left="576"/>
        <w:rPr>
          <w:rFonts w:cs="Arial"/>
        </w:rPr>
      </w:pPr>
    </w:p>
    <w:p w:rsidR="00330B10" w:rsidRDefault="00C66F6E" w:rsidP="00F24FB2">
      <w:pPr>
        <w:spacing w:line="360" w:lineRule="auto"/>
        <w:ind w:firstLine="576"/>
        <w:jc w:val="both"/>
        <w:rPr>
          <w:rFonts w:cs="Arial"/>
          <w:szCs w:val="22"/>
          <w:lang w:val="hr-HR"/>
        </w:rPr>
      </w:pPr>
      <w:r w:rsidRPr="00B830BB">
        <w:rPr>
          <w:rFonts w:cs="Arial"/>
          <w:szCs w:val="22"/>
          <w:lang w:val="hr-HR"/>
        </w:rPr>
        <w:t>Prema dosadašnjoj praksi, moguće je prim</w:t>
      </w:r>
      <w:r w:rsidR="00426B16">
        <w:rPr>
          <w:rFonts w:cs="Arial"/>
          <w:szCs w:val="22"/>
          <w:lang w:val="hr-HR"/>
        </w:rPr>
        <w:t>i</w:t>
      </w:r>
      <w:r w:rsidRPr="00B830BB">
        <w:rPr>
          <w:rFonts w:cs="Arial"/>
          <w:szCs w:val="22"/>
          <w:lang w:val="hr-HR"/>
        </w:rPr>
        <w:t>jetiti kako se zapravo težište bazira temeljem teritorijske pripadnosti</w:t>
      </w:r>
      <w:r w:rsidR="00330B10" w:rsidRPr="00B830BB">
        <w:rPr>
          <w:rFonts w:cs="Arial"/>
          <w:szCs w:val="22"/>
          <w:lang w:val="hr-HR"/>
        </w:rPr>
        <w:t>. Tako i naš KZ u članku 10</w:t>
      </w:r>
      <w:r w:rsidR="00F24FB2" w:rsidRPr="00B830BB">
        <w:rPr>
          <w:rFonts w:cs="Arial"/>
          <w:szCs w:val="22"/>
          <w:lang w:val="hr-HR"/>
        </w:rPr>
        <w:t>.</w:t>
      </w:r>
      <w:r w:rsidR="00330B10" w:rsidRPr="00B830BB">
        <w:rPr>
          <w:rFonts w:cs="Arial"/>
          <w:szCs w:val="22"/>
          <w:lang w:val="hr-HR"/>
        </w:rPr>
        <w:t xml:space="preserve"> navodi kako se kazneno zakonodavstvo Republike Hrvatske primjenjuje se na svakoga tko počini kazneno djelo na njezinu području.</w:t>
      </w:r>
      <w:r w:rsidRPr="00B830BB">
        <w:rPr>
          <w:rFonts w:cs="Arial"/>
          <w:szCs w:val="22"/>
          <w:lang w:val="hr-HR"/>
        </w:rPr>
        <w:t xml:space="preserve"> </w:t>
      </w:r>
    </w:p>
    <w:p w:rsidR="0037217E" w:rsidRDefault="0037217E" w:rsidP="00F24FB2">
      <w:pPr>
        <w:spacing w:line="360" w:lineRule="auto"/>
        <w:ind w:firstLine="576"/>
        <w:jc w:val="both"/>
        <w:rPr>
          <w:color w:val="000000"/>
          <w:lang w:val="hr-HR"/>
        </w:rPr>
      </w:pPr>
      <w:r>
        <w:rPr>
          <w:rFonts w:cs="Arial"/>
          <w:szCs w:val="22"/>
          <w:lang w:val="hr-HR"/>
        </w:rPr>
        <w:t xml:space="preserve">Prema teoriji ubikviteta koju je usvojio i naš KZ (članak 9.), mjestom počinjenja će se smatrati </w:t>
      </w:r>
      <w:r>
        <w:rPr>
          <w:color w:val="000000"/>
        </w:rPr>
        <w:t>mjesto</w:t>
      </w:r>
      <w:r w:rsidRPr="0066355E">
        <w:rPr>
          <w:color w:val="000000"/>
          <w:lang w:val="hr-HR"/>
        </w:rPr>
        <w:t xml:space="preserve"> </w:t>
      </w:r>
      <w:r>
        <w:rPr>
          <w:color w:val="000000"/>
        </w:rPr>
        <w:t>gdje</w:t>
      </w:r>
      <w:r w:rsidRPr="0066355E">
        <w:rPr>
          <w:color w:val="000000"/>
          <w:lang w:val="hr-HR"/>
        </w:rPr>
        <w:t xml:space="preserve"> </w:t>
      </w:r>
      <w:r>
        <w:rPr>
          <w:color w:val="000000"/>
        </w:rPr>
        <w:t>je</w:t>
      </w:r>
      <w:r w:rsidRPr="0066355E">
        <w:rPr>
          <w:color w:val="000000"/>
          <w:lang w:val="hr-HR"/>
        </w:rPr>
        <w:t xml:space="preserve"> </w:t>
      </w:r>
      <w:r>
        <w:rPr>
          <w:color w:val="000000"/>
        </w:rPr>
        <w:t>po</w:t>
      </w:r>
      <w:r w:rsidRPr="0066355E">
        <w:rPr>
          <w:color w:val="000000"/>
          <w:lang w:val="hr-HR"/>
        </w:rPr>
        <w:t>č</w:t>
      </w:r>
      <w:r>
        <w:rPr>
          <w:color w:val="000000"/>
        </w:rPr>
        <w:t>initelj</w:t>
      </w:r>
      <w:r w:rsidRPr="0066355E">
        <w:rPr>
          <w:color w:val="000000"/>
          <w:lang w:val="hr-HR"/>
        </w:rPr>
        <w:t xml:space="preserve"> </w:t>
      </w:r>
      <w:r>
        <w:rPr>
          <w:color w:val="000000"/>
        </w:rPr>
        <w:t>radio</w:t>
      </w:r>
      <w:r w:rsidRPr="0066355E">
        <w:rPr>
          <w:color w:val="000000"/>
          <w:lang w:val="hr-HR"/>
        </w:rPr>
        <w:t xml:space="preserve"> </w:t>
      </w:r>
      <w:r>
        <w:rPr>
          <w:color w:val="000000"/>
        </w:rPr>
        <w:t>ili</w:t>
      </w:r>
      <w:r w:rsidRPr="0066355E">
        <w:rPr>
          <w:color w:val="000000"/>
          <w:lang w:val="hr-HR"/>
        </w:rPr>
        <w:t xml:space="preserve"> </w:t>
      </w:r>
      <w:r>
        <w:rPr>
          <w:color w:val="000000"/>
        </w:rPr>
        <w:t>bio</w:t>
      </w:r>
      <w:r w:rsidRPr="0066355E">
        <w:rPr>
          <w:color w:val="000000"/>
          <w:lang w:val="hr-HR"/>
        </w:rPr>
        <w:t xml:space="preserve"> </w:t>
      </w:r>
      <w:r>
        <w:rPr>
          <w:color w:val="000000"/>
        </w:rPr>
        <w:t>du</w:t>
      </w:r>
      <w:r w:rsidRPr="0066355E">
        <w:rPr>
          <w:color w:val="000000"/>
          <w:lang w:val="hr-HR"/>
        </w:rPr>
        <w:t>ž</w:t>
      </w:r>
      <w:r>
        <w:rPr>
          <w:color w:val="000000"/>
        </w:rPr>
        <w:t>an</w:t>
      </w:r>
      <w:r w:rsidRPr="0066355E">
        <w:rPr>
          <w:color w:val="000000"/>
          <w:lang w:val="hr-HR"/>
        </w:rPr>
        <w:t xml:space="preserve"> </w:t>
      </w:r>
      <w:r>
        <w:rPr>
          <w:color w:val="000000"/>
        </w:rPr>
        <w:t>raditi</w:t>
      </w:r>
      <w:r w:rsidRPr="0066355E">
        <w:rPr>
          <w:color w:val="000000"/>
          <w:lang w:val="hr-HR"/>
        </w:rPr>
        <w:t xml:space="preserve"> </w:t>
      </w:r>
      <w:r>
        <w:rPr>
          <w:color w:val="000000"/>
        </w:rPr>
        <w:t>i</w:t>
      </w:r>
      <w:r w:rsidRPr="0066355E">
        <w:rPr>
          <w:color w:val="000000"/>
          <w:lang w:val="hr-HR"/>
        </w:rPr>
        <w:t xml:space="preserve"> </w:t>
      </w:r>
      <w:r>
        <w:rPr>
          <w:color w:val="000000"/>
        </w:rPr>
        <w:t>u</w:t>
      </w:r>
      <w:r w:rsidRPr="0066355E">
        <w:rPr>
          <w:color w:val="000000"/>
          <w:lang w:val="hr-HR"/>
        </w:rPr>
        <w:t xml:space="preserve"> </w:t>
      </w:r>
      <w:r>
        <w:rPr>
          <w:color w:val="000000"/>
        </w:rPr>
        <w:t>mjestu</w:t>
      </w:r>
      <w:r w:rsidRPr="0066355E">
        <w:rPr>
          <w:color w:val="000000"/>
          <w:lang w:val="hr-HR"/>
        </w:rPr>
        <w:t xml:space="preserve"> </w:t>
      </w:r>
      <w:r>
        <w:rPr>
          <w:color w:val="000000"/>
        </w:rPr>
        <w:t>gdje</w:t>
      </w:r>
      <w:r w:rsidRPr="0066355E">
        <w:rPr>
          <w:color w:val="000000"/>
          <w:lang w:val="hr-HR"/>
        </w:rPr>
        <w:t xml:space="preserve"> </w:t>
      </w:r>
      <w:r>
        <w:rPr>
          <w:color w:val="000000"/>
        </w:rPr>
        <w:t>je</w:t>
      </w:r>
      <w:r w:rsidRPr="0066355E">
        <w:rPr>
          <w:color w:val="000000"/>
          <w:lang w:val="hr-HR"/>
        </w:rPr>
        <w:t xml:space="preserve"> </w:t>
      </w:r>
      <w:r>
        <w:rPr>
          <w:color w:val="000000"/>
        </w:rPr>
        <w:t>u</w:t>
      </w:r>
      <w:r w:rsidRPr="0066355E">
        <w:rPr>
          <w:color w:val="000000"/>
          <w:lang w:val="hr-HR"/>
        </w:rPr>
        <w:t xml:space="preserve"> </w:t>
      </w:r>
      <w:r>
        <w:rPr>
          <w:color w:val="000000"/>
        </w:rPr>
        <w:t>cijelosti</w:t>
      </w:r>
      <w:r w:rsidRPr="0066355E">
        <w:rPr>
          <w:color w:val="000000"/>
          <w:lang w:val="hr-HR"/>
        </w:rPr>
        <w:t xml:space="preserve"> </w:t>
      </w:r>
      <w:r>
        <w:rPr>
          <w:color w:val="000000"/>
        </w:rPr>
        <w:t>ili</w:t>
      </w:r>
      <w:r w:rsidRPr="0066355E">
        <w:rPr>
          <w:color w:val="000000"/>
          <w:lang w:val="hr-HR"/>
        </w:rPr>
        <w:t xml:space="preserve"> </w:t>
      </w:r>
      <w:r>
        <w:rPr>
          <w:color w:val="000000"/>
        </w:rPr>
        <w:t>djelomi</w:t>
      </w:r>
      <w:r w:rsidRPr="0066355E">
        <w:rPr>
          <w:color w:val="000000"/>
          <w:lang w:val="hr-HR"/>
        </w:rPr>
        <w:t>č</w:t>
      </w:r>
      <w:r>
        <w:rPr>
          <w:color w:val="000000"/>
        </w:rPr>
        <w:t>no</w:t>
      </w:r>
      <w:r w:rsidRPr="0066355E">
        <w:rPr>
          <w:color w:val="000000"/>
          <w:lang w:val="hr-HR"/>
        </w:rPr>
        <w:t xml:space="preserve"> </w:t>
      </w:r>
      <w:r>
        <w:rPr>
          <w:color w:val="000000"/>
        </w:rPr>
        <w:t>nastupila</w:t>
      </w:r>
      <w:r w:rsidRPr="0066355E">
        <w:rPr>
          <w:color w:val="000000"/>
          <w:lang w:val="hr-HR"/>
        </w:rPr>
        <w:t xml:space="preserve"> </w:t>
      </w:r>
      <w:r>
        <w:rPr>
          <w:color w:val="000000"/>
        </w:rPr>
        <w:t>posljedica</w:t>
      </w:r>
      <w:r w:rsidRPr="0066355E">
        <w:rPr>
          <w:color w:val="000000"/>
          <w:lang w:val="hr-HR"/>
        </w:rPr>
        <w:t xml:space="preserve"> </w:t>
      </w:r>
      <w:r>
        <w:rPr>
          <w:color w:val="000000"/>
        </w:rPr>
        <w:t>iz</w:t>
      </w:r>
      <w:r w:rsidRPr="0066355E">
        <w:rPr>
          <w:color w:val="000000"/>
          <w:lang w:val="hr-HR"/>
        </w:rPr>
        <w:t xml:space="preserve"> </w:t>
      </w:r>
      <w:r>
        <w:rPr>
          <w:color w:val="000000"/>
        </w:rPr>
        <w:t>zakonskog</w:t>
      </w:r>
      <w:r w:rsidRPr="0066355E">
        <w:rPr>
          <w:color w:val="000000"/>
          <w:lang w:val="hr-HR"/>
        </w:rPr>
        <w:t xml:space="preserve"> </w:t>
      </w:r>
      <w:r>
        <w:rPr>
          <w:color w:val="000000"/>
        </w:rPr>
        <w:t>opisa</w:t>
      </w:r>
      <w:r w:rsidRPr="0066355E">
        <w:rPr>
          <w:color w:val="000000"/>
          <w:lang w:val="hr-HR"/>
        </w:rPr>
        <w:t xml:space="preserve"> </w:t>
      </w:r>
      <w:r>
        <w:rPr>
          <w:color w:val="000000"/>
        </w:rPr>
        <w:t>kaznenog</w:t>
      </w:r>
      <w:r w:rsidRPr="0066355E">
        <w:rPr>
          <w:color w:val="000000"/>
          <w:lang w:val="hr-HR"/>
        </w:rPr>
        <w:t xml:space="preserve"> </w:t>
      </w:r>
      <w:r>
        <w:rPr>
          <w:color w:val="000000"/>
        </w:rPr>
        <w:t>djela</w:t>
      </w:r>
      <w:r w:rsidRPr="0066355E">
        <w:rPr>
          <w:color w:val="000000"/>
          <w:lang w:val="hr-HR"/>
        </w:rPr>
        <w:t xml:space="preserve"> </w:t>
      </w:r>
      <w:r>
        <w:rPr>
          <w:color w:val="000000"/>
        </w:rPr>
        <w:t>ili</w:t>
      </w:r>
      <w:r w:rsidRPr="0066355E">
        <w:rPr>
          <w:color w:val="000000"/>
          <w:lang w:val="hr-HR"/>
        </w:rPr>
        <w:t xml:space="preserve"> </w:t>
      </w:r>
      <w:r>
        <w:rPr>
          <w:color w:val="000000"/>
        </w:rPr>
        <w:t>je</w:t>
      </w:r>
      <w:r w:rsidRPr="0066355E">
        <w:rPr>
          <w:color w:val="000000"/>
          <w:lang w:val="hr-HR"/>
        </w:rPr>
        <w:t xml:space="preserve"> </w:t>
      </w:r>
      <w:r>
        <w:rPr>
          <w:color w:val="000000"/>
        </w:rPr>
        <w:t>prema</w:t>
      </w:r>
      <w:r w:rsidRPr="0066355E">
        <w:rPr>
          <w:color w:val="000000"/>
          <w:lang w:val="hr-HR"/>
        </w:rPr>
        <w:t xml:space="preserve"> </w:t>
      </w:r>
      <w:r>
        <w:rPr>
          <w:color w:val="000000"/>
        </w:rPr>
        <w:t>njegovoj</w:t>
      </w:r>
      <w:r w:rsidRPr="0066355E">
        <w:rPr>
          <w:color w:val="000000"/>
          <w:lang w:val="hr-HR"/>
        </w:rPr>
        <w:t xml:space="preserve"> </w:t>
      </w:r>
      <w:r>
        <w:rPr>
          <w:color w:val="000000"/>
        </w:rPr>
        <w:t>zamisli</w:t>
      </w:r>
      <w:r w:rsidRPr="0066355E">
        <w:rPr>
          <w:color w:val="000000"/>
          <w:lang w:val="hr-HR"/>
        </w:rPr>
        <w:t xml:space="preserve"> </w:t>
      </w:r>
      <w:r>
        <w:rPr>
          <w:color w:val="000000"/>
        </w:rPr>
        <w:t>trebala</w:t>
      </w:r>
      <w:r w:rsidRPr="0066355E">
        <w:rPr>
          <w:color w:val="000000"/>
          <w:lang w:val="hr-HR"/>
        </w:rPr>
        <w:t xml:space="preserve"> </w:t>
      </w:r>
      <w:r>
        <w:rPr>
          <w:color w:val="000000"/>
        </w:rPr>
        <w:t>nastupiti</w:t>
      </w:r>
      <w:r w:rsidRPr="0066355E">
        <w:rPr>
          <w:color w:val="000000"/>
          <w:lang w:val="hr-HR"/>
        </w:rPr>
        <w:t>.</w:t>
      </w:r>
    </w:p>
    <w:p w:rsidR="00F70406" w:rsidRPr="00B830BB" w:rsidRDefault="00F70406" w:rsidP="00F24FB2">
      <w:pPr>
        <w:spacing w:line="360" w:lineRule="auto"/>
        <w:ind w:firstLine="576"/>
        <w:jc w:val="both"/>
        <w:rPr>
          <w:rFonts w:cs="Arial"/>
          <w:szCs w:val="22"/>
          <w:lang w:val="hr-HR"/>
        </w:rPr>
      </w:pPr>
    </w:p>
    <w:p w:rsidR="00351846" w:rsidRPr="00B830BB" w:rsidRDefault="00351846" w:rsidP="00351846">
      <w:pPr>
        <w:pStyle w:val="Heading2"/>
        <w:rPr>
          <w:rFonts w:cs="Arial"/>
        </w:rPr>
      </w:pPr>
      <w:bookmarkStart w:id="240" w:name="_Toc386285812"/>
      <w:bookmarkStart w:id="241" w:name="_Toc386498348"/>
      <w:bookmarkStart w:id="242" w:name="_Toc386563092"/>
      <w:bookmarkStart w:id="243" w:name="_Toc386567254"/>
      <w:bookmarkStart w:id="244" w:name="_Toc386619647"/>
      <w:r w:rsidRPr="00B830BB">
        <w:rPr>
          <w:rFonts w:cs="Arial"/>
        </w:rPr>
        <w:t>Primjena procesnog prava</w:t>
      </w:r>
      <w:bookmarkEnd w:id="240"/>
      <w:bookmarkEnd w:id="241"/>
      <w:bookmarkEnd w:id="242"/>
      <w:bookmarkEnd w:id="243"/>
      <w:bookmarkEnd w:id="244"/>
      <w:r w:rsidRPr="00B830BB">
        <w:rPr>
          <w:rFonts w:cs="Arial"/>
        </w:rPr>
        <w:t xml:space="preserve"> </w:t>
      </w:r>
    </w:p>
    <w:p w:rsidR="00F24FB2" w:rsidRPr="00B830BB" w:rsidRDefault="00F24FB2" w:rsidP="00F24FB2">
      <w:pPr>
        <w:pStyle w:val="Heading2"/>
        <w:numPr>
          <w:ilvl w:val="0"/>
          <w:numId w:val="0"/>
        </w:numPr>
        <w:ind w:left="576"/>
        <w:rPr>
          <w:rFonts w:cs="Arial"/>
        </w:rPr>
      </w:pPr>
    </w:p>
    <w:p w:rsidR="005A23AD" w:rsidRPr="00B830BB" w:rsidRDefault="005A23AD" w:rsidP="005A23AD">
      <w:pPr>
        <w:spacing w:line="360" w:lineRule="auto"/>
        <w:ind w:firstLine="708"/>
        <w:jc w:val="both"/>
        <w:rPr>
          <w:rFonts w:cs="Arial"/>
          <w:szCs w:val="22"/>
          <w:lang w:val="hr-HR"/>
        </w:rPr>
      </w:pPr>
      <w:r w:rsidRPr="00B830BB">
        <w:rPr>
          <w:rFonts w:cs="Arial"/>
          <w:szCs w:val="22"/>
          <w:lang w:val="hr-HR"/>
        </w:rPr>
        <w:t>Kazneno djelo javnog poticanja na nasilju ili mržnju pokreće se po službenoj dužnosti. No u</w:t>
      </w:r>
      <w:r w:rsidRPr="00B830BB">
        <w:rPr>
          <w:rFonts w:cs="Arial"/>
          <w:color w:val="000000"/>
          <w:szCs w:val="22"/>
          <w:lang w:val="hr-HR"/>
        </w:rPr>
        <w:t xml:space="preserve">koliko državni odvjetnik nije pokrenuo ili je odustao od kaznenog progona, u tom slučaju oštećenik može poduzeti kazneni progon te stupa na poziciju tužitelja. </w:t>
      </w:r>
    </w:p>
    <w:p w:rsidR="0038792C" w:rsidRPr="00B830BB" w:rsidRDefault="0022059C" w:rsidP="0038792C">
      <w:pPr>
        <w:spacing w:line="360" w:lineRule="auto"/>
        <w:ind w:firstLine="708"/>
        <w:jc w:val="both"/>
        <w:rPr>
          <w:rFonts w:cs="Arial"/>
          <w:szCs w:val="22"/>
          <w:lang w:val="hr-HR"/>
        </w:rPr>
      </w:pPr>
      <w:r w:rsidRPr="00B830BB">
        <w:rPr>
          <w:rFonts w:cs="Arial"/>
          <w:szCs w:val="22"/>
          <w:lang w:val="hr-HR"/>
        </w:rPr>
        <w:t>Prema Z</w:t>
      </w:r>
      <w:r w:rsidR="0038792C" w:rsidRPr="00B830BB">
        <w:rPr>
          <w:rFonts w:cs="Arial"/>
          <w:szCs w:val="22"/>
          <w:lang w:val="hr-HR"/>
        </w:rPr>
        <w:t>akon</w:t>
      </w:r>
      <w:r w:rsidRPr="00B830BB">
        <w:rPr>
          <w:rFonts w:cs="Arial"/>
          <w:szCs w:val="22"/>
          <w:lang w:val="hr-HR"/>
        </w:rPr>
        <w:t>u</w:t>
      </w:r>
      <w:r w:rsidR="0038792C" w:rsidRPr="00B830BB">
        <w:rPr>
          <w:rFonts w:cs="Arial"/>
          <w:szCs w:val="22"/>
          <w:lang w:val="hr-HR"/>
        </w:rPr>
        <w:t xml:space="preserve"> o kaznenom postupku</w:t>
      </w:r>
      <w:r w:rsidRPr="00B830BB">
        <w:rPr>
          <w:rStyle w:val="FootnoteReference"/>
          <w:rFonts w:cs="Arial"/>
          <w:szCs w:val="22"/>
          <w:lang w:val="hr-HR"/>
        </w:rPr>
        <w:footnoteReference w:id="112"/>
      </w:r>
      <w:r w:rsidR="0038792C" w:rsidRPr="00B830BB">
        <w:rPr>
          <w:rFonts w:cs="Arial"/>
          <w:szCs w:val="22"/>
          <w:lang w:val="hr-HR"/>
        </w:rPr>
        <w:t xml:space="preserve"> </w:t>
      </w:r>
      <w:r w:rsidRPr="00B830BB">
        <w:rPr>
          <w:rFonts w:cs="Arial"/>
          <w:szCs w:val="22"/>
          <w:lang w:val="hr-HR"/>
        </w:rPr>
        <w:t>stvarno mjesno nadležni bit će općinski s</w:t>
      </w:r>
      <w:r w:rsidR="00FB1F51" w:rsidRPr="00B830BB">
        <w:rPr>
          <w:rFonts w:cs="Arial"/>
          <w:szCs w:val="22"/>
          <w:lang w:val="hr-HR"/>
        </w:rPr>
        <w:t>udovi (</w:t>
      </w:r>
      <w:r w:rsidR="00FB1F51" w:rsidRPr="007527BB">
        <w:rPr>
          <w:rFonts w:cs="Arial"/>
          <w:i/>
          <w:szCs w:val="22"/>
          <w:lang w:val="hr-HR"/>
        </w:rPr>
        <w:t>ar. ex.</w:t>
      </w:r>
      <w:r w:rsidR="00FB1F51" w:rsidRPr="00B830BB">
        <w:rPr>
          <w:rFonts w:cs="Arial"/>
          <w:szCs w:val="22"/>
          <w:lang w:val="hr-HR"/>
        </w:rPr>
        <w:t xml:space="preserve"> čl. 19.a), a mjesna će se nadležnost utvrditi prema</w:t>
      </w:r>
      <w:r w:rsidR="0038792C" w:rsidRPr="00B830BB">
        <w:rPr>
          <w:rFonts w:cs="Arial"/>
          <w:szCs w:val="22"/>
          <w:lang w:val="hr-HR"/>
        </w:rPr>
        <w:t xml:space="preserve"> članku 21. </w:t>
      </w:r>
      <w:r w:rsidR="00FB1F51" w:rsidRPr="00B830BB">
        <w:rPr>
          <w:rFonts w:cs="Arial"/>
          <w:szCs w:val="22"/>
          <w:lang w:val="hr-HR"/>
        </w:rPr>
        <w:t xml:space="preserve">koji </w:t>
      </w:r>
      <w:r w:rsidR="0038792C" w:rsidRPr="00B830BB">
        <w:rPr>
          <w:rFonts w:cs="Arial"/>
          <w:szCs w:val="22"/>
          <w:lang w:val="hr-HR"/>
        </w:rPr>
        <w:t>predviđa analognu primjenu odredaba u vezi kaznenih djela počinjeni tiskom na kaznena djela počinjena putem elektronskih medija. Tako će mjesno biti nadležan sud biti onaj na čijem je području govor mržnje bio objavljen na internetu, odnosno ukoliko ga nije moguće utvr</w:t>
      </w:r>
      <w:r w:rsidR="006178AB">
        <w:rPr>
          <w:rFonts w:cs="Arial"/>
          <w:szCs w:val="22"/>
          <w:lang w:val="hr-HR"/>
        </w:rPr>
        <w:t>diti ondje gdje je on bio raspa</w:t>
      </w:r>
      <w:r w:rsidR="0038792C" w:rsidRPr="00B830BB">
        <w:rPr>
          <w:rFonts w:cs="Arial"/>
          <w:szCs w:val="22"/>
          <w:lang w:val="hr-HR"/>
        </w:rPr>
        <w:t xml:space="preserve">čavan. </w:t>
      </w:r>
      <w:r w:rsidR="00E340BF" w:rsidRPr="00B830BB">
        <w:rPr>
          <w:rFonts w:cs="Arial"/>
          <w:szCs w:val="22"/>
          <w:lang w:val="hr-HR"/>
        </w:rPr>
        <w:t xml:space="preserve"> </w:t>
      </w:r>
      <w:r w:rsidR="0038792C" w:rsidRPr="00B830BB">
        <w:rPr>
          <w:rFonts w:cs="Arial"/>
          <w:szCs w:val="22"/>
          <w:lang w:val="hr-HR"/>
        </w:rPr>
        <w:t>ZKP, a niti Komentar ZKP-a ne nudi smjernic</w:t>
      </w:r>
      <w:r w:rsidR="006178AB">
        <w:rPr>
          <w:rFonts w:cs="Arial"/>
          <w:szCs w:val="22"/>
          <w:lang w:val="hr-HR"/>
        </w:rPr>
        <w:t>u definiranja riječi „raspa</w:t>
      </w:r>
      <w:r w:rsidR="0038792C" w:rsidRPr="00B830BB">
        <w:rPr>
          <w:rFonts w:cs="Arial"/>
          <w:szCs w:val="22"/>
          <w:lang w:val="hr-HR"/>
        </w:rPr>
        <w:t xml:space="preserve">čavati“ što </w:t>
      </w:r>
      <w:r w:rsidR="00E340BF" w:rsidRPr="00B830BB">
        <w:rPr>
          <w:rFonts w:cs="Arial"/>
          <w:szCs w:val="22"/>
          <w:lang w:val="hr-HR"/>
        </w:rPr>
        <w:t xml:space="preserve">bi </w:t>
      </w:r>
      <w:r w:rsidR="0038792C" w:rsidRPr="00B830BB">
        <w:rPr>
          <w:rFonts w:cs="Arial"/>
          <w:szCs w:val="22"/>
          <w:lang w:val="hr-HR"/>
        </w:rPr>
        <w:t>mo</w:t>
      </w:r>
      <w:r w:rsidR="00E340BF" w:rsidRPr="00B830BB">
        <w:rPr>
          <w:rFonts w:cs="Arial"/>
          <w:szCs w:val="22"/>
          <w:lang w:val="hr-HR"/>
        </w:rPr>
        <w:t xml:space="preserve">glo </w:t>
      </w:r>
      <w:r w:rsidR="0038792C" w:rsidRPr="00B830BB">
        <w:rPr>
          <w:rFonts w:cs="Arial"/>
          <w:szCs w:val="22"/>
          <w:lang w:val="hr-HR"/>
        </w:rPr>
        <w:t>postavljati problem prilikom određivanja</w:t>
      </w:r>
      <w:r w:rsidR="006178AB">
        <w:rPr>
          <w:rFonts w:cs="Arial"/>
          <w:szCs w:val="22"/>
          <w:lang w:val="hr-HR"/>
        </w:rPr>
        <w:t xml:space="preserve"> nadležnosti. Hoće li se „raspa</w:t>
      </w:r>
      <w:r w:rsidR="0038792C" w:rsidRPr="00B830BB">
        <w:rPr>
          <w:rFonts w:cs="Arial"/>
          <w:szCs w:val="22"/>
          <w:lang w:val="hr-HR"/>
        </w:rPr>
        <w:t xml:space="preserve">čavanje“ na internetu smatrati mjesto gdje je postavljen sadržaj na stranicu odakle </w:t>
      </w:r>
      <w:r w:rsidR="0038792C" w:rsidRPr="00B830BB">
        <w:rPr>
          <w:rFonts w:cs="Arial"/>
          <w:szCs w:val="22"/>
          <w:lang w:val="hr-HR"/>
        </w:rPr>
        <w:lastRenderedPageBreak/>
        <w:t xml:space="preserve">korisnici mogu preuzeti sadržaj (eng. </w:t>
      </w:r>
      <w:r w:rsidR="0038792C" w:rsidRPr="00B830BB">
        <w:rPr>
          <w:rFonts w:cs="Arial"/>
          <w:i/>
          <w:szCs w:val="22"/>
          <w:lang w:val="hr-HR"/>
        </w:rPr>
        <w:t>download</w:t>
      </w:r>
      <w:r w:rsidR="0038792C" w:rsidRPr="00B830BB">
        <w:rPr>
          <w:rFonts w:cs="Arial"/>
          <w:szCs w:val="22"/>
          <w:lang w:val="hr-HR"/>
        </w:rPr>
        <w:t xml:space="preserve">), odnosno ukoliko se radi o opciji daljnjeg širenja (eng. </w:t>
      </w:r>
      <w:r w:rsidR="0038792C" w:rsidRPr="00B830BB">
        <w:rPr>
          <w:rFonts w:cs="Arial"/>
          <w:i/>
          <w:szCs w:val="22"/>
          <w:lang w:val="hr-HR"/>
        </w:rPr>
        <w:t>share</w:t>
      </w:r>
      <w:r w:rsidR="0038792C" w:rsidRPr="00B830BB">
        <w:rPr>
          <w:rFonts w:cs="Arial"/>
          <w:szCs w:val="22"/>
          <w:lang w:val="hr-HR"/>
        </w:rPr>
        <w:t xml:space="preserve">). </w:t>
      </w:r>
    </w:p>
    <w:p w:rsidR="0038792C" w:rsidRPr="00B830BB" w:rsidRDefault="0038792C" w:rsidP="0038792C">
      <w:pPr>
        <w:spacing w:line="360" w:lineRule="auto"/>
        <w:ind w:firstLine="708"/>
        <w:jc w:val="both"/>
        <w:rPr>
          <w:rFonts w:cs="Arial"/>
          <w:szCs w:val="22"/>
          <w:lang w:val="hr-HR"/>
        </w:rPr>
      </w:pPr>
      <w:r w:rsidRPr="00B830BB">
        <w:rPr>
          <w:rFonts w:cs="Arial"/>
          <w:szCs w:val="22"/>
          <w:lang w:val="hr-HR"/>
        </w:rPr>
        <w:t xml:space="preserve"> Naš je zakonodavac tu situaciju ipak prevenirano. Naime, </w:t>
      </w:r>
      <w:r w:rsidR="00E340BF" w:rsidRPr="00B830BB">
        <w:rPr>
          <w:rFonts w:cs="Arial"/>
          <w:szCs w:val="22"/>
          <w:lang w:val="hr-HR"/>
        </w:rPr>
        <w:t>onda kada</w:t>
      </w:r>
      <w:r w:rsidRPr="00B830BB">
        <w:rPr>
          <w:rFonts w:cs="Arial"/>
          <w:szCs w:val="22"/>
          <w:lang w:val="hr-HR"/>
        </w:rPr>
        <w:t xml:space="preserve"> se ne</w:t>
      </w:r>
      <w:r w:rsidR="00E340BF" w:rsidRPr="00B830BB">
        <w:rPr>
          <w:rFonts w:cs="Arial"/>
          <w:szCs w:val="22"/>
          <w:lang w:val="hr-HR"/>
        </w:rPr>
        <w:t>će</w:t>
      </w:r>
      <w:r w:rsidRPr="00B830BB">
        <w:rPr>
          <w:rFonts w:cs="Arial"/>
          <w:szCs w:val="22"/>
          <w:lang w:val="hr-HR"/>
        </w:rPr>
        <w:t xml:space="preserve"> mo</w:t>
      </w:r>
      <w:r w:rsidR="00E340BF" w:rsidRPr="00B830BB">
        <w:rPr>
          <w:rFonts w:cs="Arial"/>
          <w:szCs w:val="22"/>
          <w:lang w:val="hr-HR"/>
        </w:rPr>
        <w:t>ći</w:t>
      </w:r>
      <w:r w:rsidRPr="00B830BB">
        <w:rPr>
          <w:rFonts w:cs="Arial"/>
          <w:szCs w:val="22"/>
          <w:lang w:val="hr-HR"/>
        </w:rPr>
        <w:t xml:space="preserve"> ustanoviti gdje je mjesto postavljanja takvog sadržaja na Internet, opće mjesno nadležni će biti svi općinski sudovi u Republici Hrvatskoj jer je pristup Internetu javan i moguć na cijelom državnom teritoriju pa će nadležan biti </w:t>
      </w:r>
      <w:r w:rsidRPr="002C115F">
        <w:rPr>
          <w:i/>
          <w:lang w:val="hr-HR"/>
        </w:rPr>
        <w:t>forum praeventionis</w:t>
      </w:r>
      <w:r w:rsidRPr="00B830BB">
        <w:rPr>
          <w:rFonts w:cs="Arial"/>
          <w:szCs w:val="22"/>
          <w:lang w:val="hr-HR"/>
        </w:rPr>
        <w:t xml:space="preserve"> – sud koji je prvi započeo postupak.</w:t>
      </w:r>
      <w:r w:rsidRPr="00B830BB">
        <w:rPr>
          <w:rFonts w:cs="Arial"/>
          <w:vertAlign w:val="superscript"/>
        </w:rPr>
        <w:footnoteReference w:id="113"/>
      </w:r>
    </w:p>
    <w:p w:rsidR="00D97581" w:rsidRPr="00B830BB" w:rsidRDefault="00DC71CF" w:rsidP="00F24FB2">
      <w:pPr>
        <w:spacing w:line="360" w:lineRule="auto"/>
        <w:ind w:firstLine="708"/>
        <w:jc w:val="both"/>
        <w:rPr>
          <w:rFonts w:cs="Arial"/>
          <w:szCs w:val="22"/>
          <w:lang w:val="hr-HR"/>
        </w:rPr>
      </w:pPr>
      <w:r w:rsidRPr="00B830BB">
        <w:rPr>
          <w:rFonts w:cs="Arial"/>
          <w:szCs w:val="22"/>
          <w:lang w:val="hr-HR"/>
        </w:rPr>
        <w:t xml:space="preserve">Međutim, sama osuda zbog javnog poticanja na nasilje ili mržnju ne znači i </w:t>
      </w:r>
      <w:r w:rsidR="0038792C" w:rsidRPr="00B830BB">
        <w:rPr>
          <w:rFonts w:cs="Arial"/>
          <w:szCs w:val="22"/>
          <w:lang w:val="hr-HR"/>
        </w:rPr>
        <w:t>trenutak</w:t>
      </w:r>
      <w:r w:rsidRPr="00B830BB">
        <w:rPr>
          <w:rFonts w:cs="Arial"/>
          <w:szCs w:val="22"/>
          <w:lang w:val="hr-HR"/>
        </w:rPr>
        <w:t xml:space="preserve"> u kojoj bi cjelokupan postupak protiv osuđenika trebao stati. Budući da je napisani sadržaj presudom oc</w:t>
      </w:r>
      <w:r w:rsidR="00434160">
        <w:rPr>
          <w:rFonts w:cs="Arial"/>
          <w:szCs w:val="22"/>
          <w:lang w:val="hr-HR"/>
        </w:rPr>
        <w:t>i</w:t>
      </w:r>
      <w:r w:rsidRPr="00B830BB">
        <w:rPr>
          <w:rFonts w:cs="Arial"/>
          <w:szCs w:val="22"/>
          <w:lang w:val="hr-HR"/>
        </w:rPr>
        <w:t xml:space="preserve">jenjen kao govor mržnje, potrebno ga je ukloniti s mjesta na kojima on egzistira. To je, jasno, moguće tek nakon što presuda postane pravomoćna. </w:t>
      </w:r>
      <w:r w:rsidR="00DE3D9C" w:rsidRPr="00B830BB">
        <w:rPr>
          <w:rFonts w:cs="Arial"/>
          <w:szCs w:val="22"/>
          <w:lang w:val="hr-HR"/>
        </w:rPr>
        <w:t xml:space="preserve">Korak koji bi bilo potrebno poduzeti jer ukloniti takav sadržaj s interneta, bilo na način da se on obriše sa stranice, odnosno ukoliko se radi o cijeloj stranici, da ju se sruši. </w:t>
      </w:r>
      <w:r w:rsidR="00930013" w:rsidRPr="00B830BB">
        <w:rPr>
          <w:rFonts w:cs="Arial"/>
          <w:szCs w:val="22"/>
          <w:lang w:val="hr-HR"/>
        </w:rPr>
        <w:t xml:space="preserve">U ovršnom bi postupku bilo moguće zatražiti da se da </w:t>
      </w:r>
      <w:r w:rsidR="00C10207" w:rsidRPr="00B830BB">
        <w:rPr>
          <w:rFonts w:cs="Arial"/>
          <w:szCs w:val="22"/>
          <w:lang w:val="hr-HR"/>
        </w:rPr>
        <w:t xml:space="preserve"> nalog za rušenjem ili blokiranjem stranice takvog sadržaja davatelju</w:t>
      </w:r>
      <w:r w:rsidR="00930013" w:rsidRPr="00B830BB">
        <w:rPr>
          <w:rFonts w:cs="Arial"/>
          <w:szCs w:val="22"/>
          <w:lang w:val="hr-HR"/>
        </w:rPr>
        <w:t xml:space="preserve"> (eng. ISP-u)</w:t>
      </w:r>
      <w:r w:rsidR="00DA2307" w:rsidRPr="00B830BB">
        <w:rPr>
          <w:rFonts w:cs="Arial"/>
          <w:szCs w:val="22"/>
          <w:lang w:val="hr-HR"/>
        </w:rPr>
        <w:t xml:space="preserve">, budući da zbog tehnoloških razloga, to nije moguće učiniti na drugi način. </w:t>
      </w:r>
    </w:p>
    <w:p w:rsidR="002C115F" w:rsidRDefault="00D129C6" w:rsidP="00BF2079">
      <w:pPr>
        <w:spacing w:line="360" w:lineRule="auto"/>
        <w:ind w:firstLine="708"/>
        <w:jc w:val="both"/>
        <w:rPr>
          <w:rFonts w:cs="Arial"/>
          <w:szCs w:val="22"/>
          <w:lang w:val="hr-HR"/>
        </w:rPr>
      </w:pPr>
      <w:r w:rsidRPr="00B830BB">
        <w:rPr>
          <w:rFonts w:cs="Arial"/>
          <w:szCs w:val="22"/>
          <w:lang w:val="hr-HR"/>
        </w:rPr>
        <w:t>Međutim, d</w:t>
      </w:r>
      <w:r w:rsidR="00D97581" w:rsidRPr="00B830BB">
        <w:rPr>
          <w:rFonts w:cs="Arial"/>
          <w:szCs w:val="22"/>
          <w:lang w:val="hr-HR"/>
        </w:rPr>
        <w:t>iskutabilno je je li takav pristup koristan iz više razloga. S jedne strane, zahvaljujući tehnološkom napretku stranice na kojima bi takav govor bio postavljen ili dalje diseminiran, su  pohranjene i blokiranjem ili rušenjem, one nisu dostupne, ali i dalje kao takve postoje te ih je moguće prebaciti na nek</w:t>
      </w:r>
      <w:r w:rsidRPr="00B830BB">
        <w:rPr>
          <w:rFonts w:cs="Arial"/>
          <w:szCs w:val="22"/>
          <w:lang w:val="hr-HR"/>
        </w:rPr>
        <w:t xml:space="preserve">u drugu osobu </w:t>
      </w:r>
      <w:r w:rsidR="00D97581" w:rsidRPr="00B830BB">
        <w:rPr>
          <w:rFonts w:cs="Arial"/>
          <w:szCs w:val="22"/>
          <w:lang w:val="hr-HR"/>
        </w:rPr>
        <w:t xml:space="preserve">davatelja. </w:t>
      </w:r>
    </w:p>
    <w:p w:rsidR="005A23AD" w:rsidRDefault="00C75584" w:rsidP="002C115F">
      <w:pPr>
        <w:pStyle w:val="Heading3"/>
      </w:pPr>
      <w:bookmarkStart w:id="245" w:name="_Toc386498349"/>
      <w:bookmarkStart w:id="246" w:name="_Toc386563093"/>
      <w:bookmarkStart w:id="247" w:name="_Toc386567255"/>
      <w:bookmarkStart w:id="248" w:name="_Toc386619648"/>
      <w:r>
        <w:t>Tendencije novom pristupu iz poredbenopravnih izvora</w:t>
      </w:r>
      <w:bookmarkEnd w:id="245"/>
      <w:bookmarkEnd w:id="246"/>
      <w:bookmarkEnd w:id="247"/>
      <w:bookmarkEnd w:id="248"/>
    </w:p>
    <w:p w:rsidR="002C115F" w:rsidRDefault="002C115F" w:rsidP="00312C88">
      <w:pPr>
        <w:pStyle w:val="Heading2"/>
        <w:numPr>
          <w:ilvl w:val="0"/>
          <w:numId w:val="0"/>
        </w:numPr>
      </w:pPr>
    </w:p>
    <w:p w:rsidR="00101F79" w:rsidRDefault="002C115F" w:rsidP="002C115F">
      <w:pPr>
        <w:spacing w:line="360" w:lineRule="auto"/>
        <w:ind w:firstLine="576"/>
        <w:jc w:val="both"/>
        <w:rPr>
          <w:rFonts w:cs="Arial"/>
          <w:szCs w:val="22"/>
          <w:lang w:val="hr-HR"/>
        </w:rPr>
      </w:pPr>
      <w:r w:rsidRPr="002C115F">
        <w:rPr>
          <w:rFonts w:cs="Arial"/>
          <w:szCs w:val="22"/>
          <w:lang w:val="hr-HR"/>
        </w:rPr>
        <w:t>Ne</w:t>
      </w:r>
      <w:r>
        <w:rPr>
          <w:rFonts w:cs="Arial"/>
          <w:szCs w:val="22"/>
          <w:lang w:val="hr-HR"/>
        </w:rPr>
        <w:t>dvojbeno je da su za govor mržnje na internetu odgovorne fizičke osobe, ia</w:t>
      </w:r>
      <w:r w:rsidR="00C97959">
        <w:rPr>
          <w:rFonts w:cs="Arial"/>
          <w:szCs w:val="22"/>
          <w:lang w:val="hr-HR"/>
        </w:rPr>
        <w:t>ko samo počinjenje dijela raspa</w:t>
      </w:r>
      <w:r>
        <w:rPr>
          <w:rFonts w:cs="Arial"/>
          <w:szCs w:val="22"/>
          <w:lang w:val="hr-HR"/>
        </w:rPr>
        <w:t xml:space="preserve">čavanjem može biti operirano putem kompjuterskog programa. </w:t>
      </w:r>
      <w:r w:rsidR="00101F79">
        <w:rPr>
          <w:rFonts w:cs="Arial"/>
          <w:szCs w:val="22"/>
          <w:lang w:val="hr-HR"/>
        </w:rPr>
        <w:t xml:space="preserve">No, razvojem interneta postavljen je izazov – mogu li se pravni, tradicionalni, kako nacionalni tako i međunarodni, koncepti određivanja jurisdikcije analogno primjenjivati i na internetu. O tome se vode brojne rasprave u krugovima pravne znanosti. </w:t>
      </w:r>
    </w:p>
    <w:p w:rsidR="00202201" w:rsidRDefault="00101F79" w:rsidP="002C115F">
      <w:pPr>
        <w:spacing w:line="360" w:lineRule="auto"/>
        <w:ind w:firstLine="576"/>
        <w:jc w:val="both"/>
        <w:rPr>
          <w:rFonts w:cs="Arial"/>
          <w:szCs w:val="22"/>
          <w:lang w:val="hr-HR"/>
        </w:rPr>
      </w:pPr>
      <w:r>
        <w:rPr>
          <w:rFonts w:cs="Arial"/>
          <w:szCs w:val="22"/>
          <w:lang w:val="hr-HR"/>
        </w:rPr>
        <w:t>U</w:t>
      </w:r>
      <w:r w:rsidR="002C115F">
        <w:rPr>
          <w:rFonts w:cs="Arial"/>
          <w:szCs w:val="22"/>
          <w:lang w:val="hr-HR"/>
        </w:rPr>
        <w:t xml:space="preserve"> pravnoj praksi nekih država pojavilo se i interpretiranje određivanja jurisdikcije i prema sjedištu </w:t>
      </w:r>
      <w:r w:rsidR="00BC710C">
        <w:rPr>
          <w:rFonts w:cs="Arial"/>
          <w:szCs w:val="22"/>
          <w:lang w:val="hr-HR"/>
        </w:rPr>
        <w:t>ISP</w:t>
      </w:r>
      <w:r w:rsidR="00091E5F">
        <w:rPr>
          <w:rFonts w:cs="Arial"/>
          <w:szCs w:val="22"/>
          <w:lang w:val="hr-HR"/>
        </w:rPr>
        <w:t>. Naime, u nekoliko je slučajeva odgovornim za određeni nelegalan sadržaj na internetu odgovornim bio smatran upravo taj akter. Recentna, i za sad oskudna, pravna praksa potvrđuje da i ISP treba poštivati nacionalne zakone države u kojoj se nalazi, a kako bi izbjegli pravni rizik.</w:t>
      </w:r>
      <w:r w:rsidR="00091E5F">
        <w:rPr>
          <w:rStyle w:val="FootnoteReference"/>
          <w:rFonts w:cs="Arial"/>
          <w:szCs w:val="22"/>
          <w:lang w:val="hr-HR"/>
        </w:rPr>
        <w:footnoteReference w:id="114"/>
      </w:r>
      <w:r w:rsidR="00091E5F">
        <w:rPr>
          <w:rFonts w:cs="Arial"/>
          <w:szCs w:val="22"/>
          <w:lang w:val="hr-HR"/>
        </w:rPr>
        <w:t xml:space="preserve"> </w:t>
      </w:r>
      <w:r w:rsidR="00202201">
        <w:rPr>
          <w:rFonts w:cs="Arial"/>
          <w:szCs w:val="22"/>
          <w:lang w:val="hr-HR"/>
        </w:rPr>
        <w:t xml:space="preserve">Takav zaključak proizlazi iz slučaja </w:t>
      </w:r>
      <w:r w:rsidR="00202201" w:rsidRPr="00202201">
        <w:rPr>
          <w:rFonts w:cs="Arial"/>
          <w:szCs w:val="22"/>
          <w:lang w:val="hr-HR"/>
        </w:rPr>
        <w:t xml:space="preserve">LICRA </w:t>
      </w:r>
      <w:r w:rsidR="00202201">
        <w:rPr>
          <w:rFonts w:cs="Arial"/>
          <w:szCs w:val="22"/>
          <w:lang w:val="hr-HR"/>
        </w:rPr>
        <w:t>protiv Yahoo! Inc. i</w:t>
      </w:r>
      <w:r w:rsidR="00202201" w:rsidRPr="00202201">
        <w:rPr>
          <w:rFonts w:cs="Arial"/>
          <w:szCs w:val="22"/>
          <w:lang w:val="hr-HR"/>
        </w:rPr>
        <w:t xml:space="preserve"> Yahoo! France</w:t>
      </w:r>
      <w:r w:rsidR="00202201">
        <w:rPr>
          <w:rFonts w:cs="Arial"/>
          <w:szCs w:val="22"/>
          <w:lang w:val="hr-HR"/>
        </w:rPr>
        <w:t>.</w:t>
      </w:r>
    </w:p>
    <w:p w:rsidR="008D1C07" w:rsidRDefault="008D1C07" w:rsidP="008D1C07">
      <w:pPr>
        <w:pStyle w:val="Heading4"/>
        <w:rPr>
          <w:lang w:val="hr-HR"/>
        </w:rPr>
      </w:pPr>
      <w:bookmarkStart w:id="249" w:name="_Toc386285814"/>
      <w:bookmarkStart w:id="250" w:name="_Toc386498350"/>
      <w:bookmarkStart w:id="251" w:name="_Toc386563094"/>
      <w:bookmarkStart w:id="252" w:name="_Toc386567256"/>
      <w:bookmarkStart w:id="253" w:name="_Toc386619649"/>
      <w:r w:rsidRPr="0090280A">
        <w:rPr>
          <w:lang w:val="hr-HR"/>
        </w:rPr>
        <w:lastRenderedPageBreak/>
        <w:t>LICRA protiv Yahoo! Inc. i Yahoo! France</w:t>
      </w:r>
      <w:bookmarkEnd w:id="249"/>
      <w:bookmarkEnd w:id="250"/>
      <w:bookmarkEnd w:id="251"/>
      <w:bookmarkEnd w:id="252"/>
      <w:bookmarkEnd w:id="253"/>
    </w:p>
    <w:p w:rsidR="0090280A" w:rsidRPr="0090280A" w:rsidRDefault="0090280A" w:rsidP="0090280A">
      <w:pPr>
        <w:rPr>
          <w:lang w:val="hr-HR"/>
        </w:rPr>
      </w:pPr>
    </w:p>
    <w:p w:rsidR="008D1C07" w:rsidRDefault="008D1C07" w:rsidP="002C115F">
      <w:pPr>
        <w:spacing w:line="360" w:lineRule="auto"/>
        <w:ind w:firstLine="576"/>
        <w:jc w:val="both"/>
        <w:rPr>
          <w:rFonts w:cs="Arial"/>
          <w:szCs w:val="22"/>
          <w:lang w:val="hr-HR"/>
        </w:rPr>
      </w:pPr>
      <w:r>
        <w:rPr>
          <w:rFonts w:cs="Arial"/>
          <w:szCs w:val="22"/>
          <w:lang w:val="hr-HR"/>
        </w:rPr>
        <w:t xml:space="preserve">U Francuskoj je </w:t>
      </w:r>
      <w:r w:rsidR="00FA5D9E">
        <w:rPr>
          <w:rFonts w:cs="Arial"/>
          <w:szCs w:val="22"/>
          <w:lang w:val="hr-HR"/>
        </w:rPr>
        <w:t>zabranjena prodaja robe s vidljivim obilježjima nacizma.</w:t>
      </w:r>
      <w:r w:rsidR="00C44DAC">
        <w:rPr>
          <w:rFonts w:cs="Arial"/>
          <w:szCs w:val="22"/>
          <w:lang w:val="hr-HR"/>
        </w:rPr>
        <w:t xml:space="preserve"> Štoviše, promocija nacizma poistovjećuje se s govorom mržnje.</w:t>
      </w:r>
      <w:r w:rsidR="00C07CB5">
        <w:rPr>
          <w:rFonts w:cs="Arial"/>
          <w:szCs w:val="22"/>
          <w:lang w:val="hr-HR"/>
        </w:rPr>
        <w:t xml:space="preserve"> Od važnosti je ovdje napomenuti kako u Europi države poput Njemačke, Austrije i Nizozemske imaju takav stav, dok se u SAD-u </w:t>
      </w:r>
      <w:r w:rsidR="00121FE9">
        <w:rPr>
          <w:rFonts w:cs="Arial"/>
          <w:szCs w:val="22"/>
          <w:lang w:val="hr-HR"/>
        </w:rPr>
        <w:t>veći opseg govora potpada pod ustavnu zaštitu temeljem prvog amandmana.</w:t>
      </w:r>
      <w:r w:rsidR="00335EF8">
        <w:rPr>
          <w:rStyle w:val="FootnoteReference"/>
          <w:rFonts w:cs="Arial"/>
          <w:szCs w:val="22"/>
          <w:lang w:val="hr-HR"/>
        </w:rPr>
        <w:footnoteReference w:id="115"/>
      </w:r>
      <w:r w:rsidR="00FA5D9E">
        <w:rPr>
          <w:rFonts w:cs="Arial"/>
          <w:szCs w:val="22"/>
          <w:lang w:val="hr-HR"/>
        </w:rPr>
        <w:t xml:space="preserve"> Direktor Međunarodne lige protiv rasizma i antisemitizma </w:t>
      </w:r>
      <w:r w:rsidR="004C4288">
        <w:rPr>
          <w:rFonts w:cs="Arial"/>
          <w:szCs w:val="22"/>
          <w:lang w:val="hr-HR"/>
        </w:rPr>
        <w:t>otkrio je stranicu na kojoj se prodaju upravo takvi predmeti (fotografije logora, povezi sa svastikama, itd.)</w:t>
      </w:r>
      <w:r w:rsidR="00737A2E">
        <w:rPr>
          <w:rFonts w:cs="Arial"/>
          <w:szCs w:val="22"/>
          <w:lang w:val="hr-HR"/>
        </w:rPr>
        <w:t>, a registrirana je na domeni yahoo.fr</w:t>
      </w:r>
      <w:r w:rsidR="004C4288">
        <w:rPr>
          <w:rFonts w:cs="Arial"/>
          <w:szCs w:val="22"/>
          <w:lang w:val="hr-HR"/>
        </w:rPr>
        <w:t xml:space="preserve">. Zajedno s drugim organizacijama zatražili su od Yahooa koji ima pravo sjedište u SAD-u da ukloniti takav sadržaj, odnosno barem onemogući pristup stranici s francuskog teritorija. </w:t>
      </w:r>
      <w:r w:rsidR="006F534B">
        <w:rPr>
          <w:rFonts w:cs="Arial"/>
          <w:szCs w:val="22"/>
          <w:lang w:val="hr-HR"/>
        </w:rPr>
        <w:t>Budući da Yahoo</w:t>
      </w:r>
      <w:r w:rsidR="002E2C99">
        <w:rPr>
          <w:rFonts w:cs="Arial"/>
          <w:szCs w:val="22"/>
          <w:lang w:val="hr-HR"/>
        </w:rPr>
        <w:t>!</w:t>
      </w:r>
      <w:r w:rsidR="006F534B">
        <w:rPr>
          <w:rFonts w:cs="Arial"/>
          <w:szCs w:val="22"/>
          <w:lang w:val="hr-HR"/>
        </w:rPr>
        <w:t xml:space="preserve"> nije udovoljio zahtjevu,  udruge su pokrenule tužbu ispred francuskog suda. </w:t>
      </w:r>
    </w:p>
    <w:p w:rsidR="00366161" w:rsidRDefault="00366161" w:rsidP="002C115F">
      <w:pPr>
        <w:spacing w:line="360" w:lineRule="auto"/>
        <w:ind w:firstLine="576"/>
        <w:jc w:val="both"/>
        <w:rPr>
          <w:rFonts w:cs="Arial"/>
          <w:szCs w:val="22"/>
          <w:lang w:val="hr-HR"/>
        </w:rPr>
      </w:pPr>
      <w:r>
        <w:rPr>
          <w:rFonts w:cs="Arial"/>
          <w:szCs w:val="22"/>
          <w:lang w:val="hr-HR"/>
        </w:rPr>
        <w:t>Sud je smatrao da iako se server Yahoo</w:t>
      </w:r>
      <w:r w:rsidR="002E2C99">
        <w:rPr>
          <w:rFonts w:cs="Arial"/>
          <w:szCs w:val="22"/>
          <w:lang w:val="hr-HR"/>
        </w:rPr>
        <w:t>!</w:t>
      </w:r>
      <w:r>
        <w:rPr>
          <w:rFonts w:cs="Arial"/>
          <w:szCs w:val="22"/>
          <w:lang w:val="hr-HR"/>
        </w:rPr>
        <w:t>a nalazi u Kaliforniji te je možda i namijenjen američkim korisnicima, šteta je nastala u Francuskoj, a francuski korisnici nisu bili zaštićeni američkim materijalnim pravom</w:t>
      </w:r>
      <w:r w:rsidR="00C44DAC">
        <w:rPr>
          <w:rFonts w:cs="Arial"/>
          <w:szCs w:val="22"/>
          <w:lang w:val="hr-HR"/>
        </w:rPr>
        <w:t>. Također, s obzirom da se radilo o jednom od najvećih povijesnih zločina koji bi se bez rezervacije trebao osuditi, Yahoo</w:t>
      </w:r>
      <w:r w:rsidR="00D14233">
        <w:rPr>
          <w:rFonts w:cs="Arial"/>
          <w:szCs w:val="22"/>
          <w:lang w:val="hr-HR"/>
        </w:rPr>
        <w:t>!</w:t>
      </w:r>
      <w:r w:rsidR="00C44DAC">
        <w:rPr>
          <w:rFonts w:cs="Arial"/>
          <w:szCs w:val="22"/>
          <w:lang w:val="hr-HR"/>
        </w:rPr>
        <w:t xml:space="preserve"> treba ukinuti pristup francuskih korisnika stranicama s takvom robom ili govorom mržnje.  </w:t>
      </w:r>
    </w:p>
    <w:p w:rsidR="00AF37F3" w:rsidRPr="00B830BB" w:rsidRDefault="00155BB3" w:rsidP="00AF37F3">
      <w:pPr>
        <w:spacing w:line="360" w:lineRule="auto"/>
        <w:ind w:firstLine="576"/>
        <w:jc w:val="both"/>
        <w:rPr>
          <w:rFonts w:cs="Arial"/>
          <w:szCs w:val="22"/>
          <w:lang w:val="hr-HR"/>
        </w:rPr>
      </w:pPr>
      <w:r>
        <w:rPr>
          <w:rFonts w:cs="Arial"/>
          <w:szCs w:val="22"/>
          <w:lang w:val="hr-HR"/>
        </w:rPr>
        <w:t>Ovom je presudom Francuska kreirala novi pravni standard određivanja jurisdikcije na internetu.</w:t>
      </w:r>
      <w:r w:rsidR="00AF37F3">
        <w:rPr>
          <w:rStyle w:val="FootnoteReference"/>
          <w:rFonts w:cs="Arial"/>
          <w:szCs w:val="22"/>
          <w:lang w:val="hr-HR"/>
        </w:rPr>
        <w:footnoteReference w:id="116"/>
      </w:r>
      <w:r>
        <w:rPr>
          <w:rFonts w:cs="Arial"/>
          <w:szCs w:val="22"/>
          <w:lang w:val="hr-HR"/>
        </w:rPr>
        <w:t xml:space="preserve"> Iako se i dalje o njemu vode debate, smatramo da bi se ipak, u</w:t>
      </w:r>
      <w:r w:rsidR="005A23AD" w:rsidRPr="00B830BB">
        <w:rPr>
          <w:rFonts w:cs="Arial"/>
          <w:szCs w:val="22"/>
          <w:lang w:val="hr-HR"/>
        </w:rPr>
        <w:t xml:space="preserve">koliko se prihvati takav pristup, </w:t>
      </w:r>
      <w:r>
        <w:rPr>
          <w:rFonts w:cs="Arial"/>
          <w:szCs w:val="22"/>
          <w:lang w:val="hr-HR"/>
        </w:rPr>
        <w:t>moglo eliminirati</w:t>
      </w:r>
      <w:r w:rsidR="005A23AD" w:rsidRPr="00B830BB">
        <w:rPr>
          <w:rFonts w:cs="Arial"/>
          <w:szCs w:val="22"/>
          <w:lang w:val="hr-HR"/>
        </w:rPr>
        <w:t xml:space="preserve"> (zakonitu) mogućnosti izbjegavanja</w:t>
      </w:r>
      <w:r>
        <w:rPr>
          <w:rFonts w:cs="Arial"/>
          <w:szCs w:val="22"/>
          <w:lang w:val="hr-HR"/>
        </w:rPr>
        <w:t xml:space="preserve"> pravne odgovornosti</w:t>
      </w:r>
      <w:r w:rsidR="005A23AD" w:rsidRPr="00B830BB">
        <w:rPr>
          <w:rFonts w:cs="Arial"/>
          <w:szCs w:val="22"/>
          <w:lang w:val="hr-HR"/>
        </w:rPr>
        <w:t>.</w:t>
      </w:r>
      <w:r>
        <w:rPr>
          <w:rFonts w:cs="Arial"/>
          <w:szCs w:val="22"/>
          <w:lang w:val="hr-HR"/>
        </w:rPr>
        <w:t xml:space="preserve"> Naime, trenutno a</w:t>
      </w:r>
      <w:r w:rsidR="005A23AD" w:rsidRPr="00B830BB">
        <w:rPr>
          <w:rFonts w:cs="Arial"/>
          <w:szCs w:val="22"/>
          <w:lang w:val="hr-HR"/>
        </w:rPr>
        <w:t xml:space="preserve">utor ili širitelj govora mržnje može svjesno izabrati onog </w:t>
      </w:r>
      <w:r>
        <w:rPr>
          <w:rFonts w:cs="Arial"/>
          <w:szCs w:val="22"/>
          <w:lang w:val="hr-HR"/>
        </w:rPr>
        <w:t xml:space="preserve">ISP-a </w:t>
      </w:r>
      <w:r w:rsidR="005A23AD" w:rsidRPr="00B830BB">
        <w:rPr>
          <w:rFonts w:cs="Arial"/>
          <w:szCs w:val="22"/>
          <w:lang w:val="hr-HR"/>
        </w:rPr>
        <w:t xml:space="preserve">koji se nalazi u državi koja ili ne kriminalizira govor mržnje ili ima takvo zakonodavstvo koje uopće ne regulira ili sam čin ili način i postupak procesuiranja. </w:t>
      </w:r>
      <w:r w:rsidR="00AF37F3">
        <w:rPr>
          <w:rFonts w:cs="Arial"/>
          <w:szCs w:val="22"/>
          <w:lang w:val="hr-HR"/>
        </w:rPr>
        <w:t xml:space="preserve">Vjerujemo da će se kroz sljedeće desetljeće velika pažnja posvetiti ovom pitanju. </w:t>
      </w:r>
    </w:p>
    <w:p w:rsidR="00D42E6A" w:rsidRPr="00B830BB" w:rsidRDefault="00D42E6A" w:rsidP="00A35986">
      <w:pPr>
        <w:spacing w:line="360" w:lineRule="auto"/>
        <w:ind w:firstLine="708"/>
        <w:jc w:val="both"/>
        <w:rPr>
          <w:rFonts w:cs="Arial"/>
          <w:szCs w:val="22"/>
          <w:lang w:val="hr-HR"/>
        </w:rPr>
      </w:pPr>
    </w:p>
    <w:p w:rsidR="00702C7F" w:rsidRPr="00B830BB" w:rsidRDefault="00702C7F" w:rsidP="00702C7F">
      <w:pPr>
        <w:pStyle w:val="Heading3"/>
      </w:pPr>
      <w:bookmarkStart w:id="254" w:name="_Toc386285815"/>
      <w:bookmarkStart w:id="255" w:name="_Toc386498351"/>
      <w:bookmarkStart w:id="256" w:name="_Toc386563095"/>
      <w:bookmarkStart w:id="257" w:name="_Toc386567257"/>
      <w:bookmarkStart w:id="258" w:name="_Toc386619650"/>
      <w:r w:rsidRPr="00B830BB">
        <w:t>Međunarodna pravna pomoć</w:t>
      </w:r>
      <w:bookmarkEnd w:id="254"/>
      <w:bookmarkEnd w:id="255"/>
      <w:bookmarkEnd w:id="256"/>
      <w:bookmarkEnd w:id="257"/>
      <w:bookmarkEnd w:id="258"/>
      <w:r w:rsidRPr="00B830BB">
        <w:t xml:space="preserve"> </w:t>
      </w:r>
    </w:p>
    <w:p w:rsidR="00702C7F" w:rsidRPr="00B830BB" w:rsidRDefault="00702C7F" w:rsidP="00702C7F">
      <w:pPr>
        <w:pStyle w:val="Heading1"/>
        <w:numPr>
          <w:ilvl w:val="0"/>
          <w:numId w:val="0"/>
        </w:numPr>
        <w:rPr>
          <w:rFonts w:cs="Arial"/>
          <w:lang w:val="hr-HR"/>
        </w:rPr>
      </w:pPr>
    </w:p>
    <w:p w:rsidR="00C10207" w:rsidRPr="00B830BB" w:rsidRDefault="00702C7F" w:rsidP="00702C7F">
      <w:pPr>
        <w:spacing w:line="360" w:lineRule="auto"/>
        <w:ind w:firstLine="432"/>
        <w:jc w:val="both"/>
        <w:rPr>
          <w:rFonts w:cs="Arial"/>
          <w:szCs w:val="22"/>
          <w:lang w:val="hr-HR"/>
        </w:rPr>
      </w:pPr>
      <w:r w:rsidRPr="00B830BB">
        <w:rPr>
          <w:rFonts w:cs="Arial"/>
          <w:szCs w:val="22"/>
          <w:lang w:val="hr-HR"/>
        </w:rPr>
        <w:t>Kada se govor mržnje širi putem društvenih mreža kao što su Facebook i Twit</w:t>
      </w:r>
      <w:r w:rsidR="00C97959">
        <w:rPr>
          <w:rFonts w:cs="Arial"/>
          <w:szCs w:val="22"/>
          <w:lang w:val="hr-HR"/>
        </w:rPr>
        <w:t>t</w:t>
      </w:r>
      <w:r w:rsidRPr="00B830BB">
        <w:rPr>
          <w:rFonts w:cs="Arial"/>
          <w:szCs w:val="22"/>
          <w:lang w:val="hr-HR"/>
        </w:rPr>
        <w:t>er koji su pravna osoba sa sjedištem u Sjedinjenim Američkim Državama, odnosno ako je poslužitelj fizička osoba s prebivalištem u inozemstvu, trenutno (sporo) rješenje za taj problem međunarodnog elementa jest međunarodna pravna pomoć.</w:t>
      </w:r>
    </w:p>
    <w:p w:rsidR="00695001" w:rsidRPr="00B830BB" w:rsidRDefault="00F3693E" w:rsidP="00702C7F">
      <w:pPr>
        <w:spacing w:line="360" w:lineRule="auto"/>
        <w:ind w:firstLine="432"/>
        <w:jc w:val="both"/>
        <w:rPr>
          <w:rFonts w:cs="Arial"/>
          <w:szCs w:val="22"/>
          <w:lang w:val="hr-HR"/>
        </w:rPr>
      </w:pPr>
      <w:r w:rsidRPr="00B830BB">
        <w:rPr>
          <w:rFonts w:cs="Arial"/>
          <w:szCs w:val="22"/>
          <w:lang w:val="hr-HR"/>
        </w:rPr>
        <w:lastRenderedPageBreak/>
        <w:t>Zakon koji regulira ovo pitanje jest Zakon o međunarodn</w:t>
      </w:r>
      <w:r w:rsidR="00C6079B" w:rsidRPr="00B830BB">
        <w:rPr>
          <w:rFonts w:cs="Arial"/>
          <w:szCs w:val="22"/>
          <w:lang w:val="hr-HR"/>
        </w:rPr>
        <w:t>oj</w:t>
      </w:r>
      <w:r w:rsidRPr="00B830BB">
        <w:rPr>
          <w:rFonts w:cs="Arial"/>
          <w:szCs w:val="22"/>
          <w:lang w:val="hr-HR"/>
        </w:rPr>
        <w:t xml:space="preserve"> pravn</w:t>
      </w:r>
      <w:r w:rsidR="00C6079B" w:rsidRPr="00B830BB">
        <w:rPr>
          <w:rFonts w:cs="Arial"/>
          <w:szCs w:val="22"/>
          <w:lang w:val="hr-HR"/>
        </w:rPr>
        <w:t>oj</w:t>
      </w:r>
      <w:r w:rsidRPr="00B830BB">
        <w:rPr>
          <w:rFonts w:cs="Arial"/>
          <w:szCs w:val="22"/>
          <w:lang w:val="hr-HR"/>
        </w:rPr>
        <w:t xml:space="preserve"> pomoći u kaznenim stvarima</w:t>
      </w:r>
      <w:r w:rsidR="00C75584">
        <w:rPr>
          <w:rFonts w:cs="Arial"/>
          <w:szCs w:val="22"/>
          <w:lang w:val="hr-HR"/>
        </w:rPr>
        <w:t>,</w:t>
      </w:r>
      <w:r w:rsidRPr="00B830BB">
        <w:rPr>
          <w:rStyle w:val="FootnoteReference"/>
          <w:rFonts w:cs="Arial"/>
          <w:szCs w:val="22"/>
          <w:lang w:val="hr-HR"/>
        </w:rPr>
        <w:footnoteReference w:id="117"/>
      </w:r>
      <w:r w:rsidR="00C75584">
        <w:rPr>
          <w:rFonts w:cs="Arial"/>
          <w:szCs w:val="22"/>
          <w:lang w:val="hr-HR"/>
        </w:rPr>
        <w:t xml:space="preserve"> a od </w:t>
      </w:r>
      <w:r w:rsidR="007A6882">
        <w:rPr>
          <w:rFonts w:cs="Arial"/>
          <w:szCs w:val="22"/>
          <w:lang w:val="hr-HR"/>
        </w:rPr>
        <w:t>ulaska RH u EU u odnosima prema drugim državama čl</w:t>
      </w:r>
      <w:r w:rsidR="00C97959">
        <w:rPr>
          <w:rFonts w:cs="Arial"/>
          <w:szCs w:val="22"/>
          <w:lang w:val="hr-HR"/>
        </w:rPr>
        <w:t>anicama vrijedi  i Zakon o prav</w:t>
      </w:r>
      <w:r w:rsidR="007A6882">
        <w:rPr>
          <w:rFonts w:cs="Arial"/>
          <w:szCs w:val="22"/>
          <w:lang w:val="hr-HR"/>
        </w:rPr>
        <w:t>osudnoj suradnji u kaznenim stvarima s državama članicama Europske unije.</w:t>
      </w:r>
      <w:r w:rsidR="007A6882">
        <w:rPr>
          <w:rStyle w:val="FootnoteReference"/>
          <w:rFonts w:cs="Arial"/>
          <w:szCs w:val="22"/>
          <w:lang w:val="hr-HR"/>
        </w:rPr>
        <w:footnoteReference w:id="118"/>
      </w:r>
      <w:r w:rsidR="00D614A4">
        <w:rPr>
          <w:rFonts w:cs="Arial"/>
          <w:szCs w:val="22"/>
          <w:lang w:val="hr-HR"/>
        </w:rPr>
        <w:t xml:space="preserve"> </w:t>
      </w:r>
      <w:r w:rsidR="00413EC1" w:rsidRPr="00B830BB">
        <w:rPr>
          <w:rFonts w:cs="Arial"/>
          <w:szCs w:val="22"/>
          <w:lang w:val="hr-HR"/>
        </w:rPr>
        <w:t>Prema odredbama</w:t>
      </w:r>
      <w:r w:rsidR="00C75584">
        <w:rPr>
          <w:rFonts w:cs="Arial"/>
          <w:szCs w:val="22"/>
          <w:lang w:val="hr-HR"/>
        </w:rPr>
        <w:t xml:space="preserve"> ZOMPO-a</w:t>
      </w:r>
      <w:r w:rsidR="00413EC1" w:rsidRPr="00B830BB">
        <w:rPr>
          <w:rFonts w:cs="Arial"/>
          <w:szCs w:val="22"/>
          <w:lang w:val="hr-HR"/>
        </w:rPr>
        <w:t>, domaća pravosudna tijela zamolbu o međunarodnoj pravnoj pomoći upućuju preko Ministarstva pravosuđa</w:t>
      </w:r>
      <w:r w:rsidR="005B46A9" w:rsidRPr="00B830BB">
        <w:rPr>
          <w:rFonts w:cs="Arial"/>
          <w:szCs w:val="22"/>
          <w:lang w:val="hr-HR"/>
        </w:rPr>
        <w:t>, a ono onda diplomatski putem dostavlja zamolnicu</w:t>
      </w:r>
      <w:r w:rsidR="00413EC1" w:rsidRPr="00B830BB">
        <w:rPr>
          <w:rFonts w:cs="Arial"/>
          <w:szCs w:val="22"/>
          <w:lang w:val="hr-HR"/>
        </w:rPr>
        <w:t xml:space="preserve">. </w:t>
      </w:r>
      <w:r w:rsidR="00EE402D" w:rsidRPr="00B830BB">
        <w:rPr>
          <w:rFonts w:cs="Arial"/>
          <w:szCs w:val="22"/>
          <w:lang w:val="hr-HR"/>
        </w:rPr>
        <w:t>Izravno upućivanje dopušteno je samo onda kada je to predviđeno zakonom uz postojanje uvjeta uzajamnosti, odnosno međunarodnim ugovorom</w:t>
      </w:r>
      <w:r w:rsidR="004C242A" w:rsidRPr="00B830BB">
        <w:rPr>
          <w:rFonts w:cs="Arial"/>
          <w:szCs w:val="22"/>
          <w:lang w:val="hr-HR"/>
        </w:rPr>
        <w:t xml:space="preserve"> (članak 6</w:t>
      </w:r>
      <w:r w:rsidR="00EE402D" w:rsidRPr="00B830BB">
        <w:rPr>
          <w:rFonts w:cs="Arial"/>
          <w:szCs w:val="22"/>
          <w:lang w:val="hr-HR"/>
        </w:rPr>
        <w:t>.</w:t>
      </w:r>
      <w:r w:rsidR="004C242A" w:rsidRPr="00B830BB">
        <w:rPr>
          <w:rFonts w:cs="Arial"/>
          <w:szCs w:val="22"/>
          <w:lang w:val="hr-HR"/>
        </w:rPr>
        <w:t>).</w:t>
      </w:r>
      <w:r w:rsidR="00695001" w:rsidRPr="00B830BB">
        <w:rPr>
          <w:rFonts w:cs="Arial"/>
          <w:szCs w:val="22"/>
          <w:lang w:val="hr-HR"/>
        </w:rPr>
        <w:t xml:space="preserve"> Problemi se javljaju ukoliko se radi o državama s kojima Republika Hrvatska nema sklopljen međunarodni ugovor, odnosno između te države nije ispunjen uvjet uzajamnosti. </w:t>
      </w:r>
      <w:r w:rsidR="00EE402D" w:rsidRPr="00B830BB">
        <w:rPr>
          <w:rFonts w:cs="Arial"/>
          <w:szCs w:val="22"/>
          <w:lang w:val="hr-HR"/>
        </w:rPr>
        <w:t xml:space="preserve"> </w:t>
      </w:r>
    </w:p>
    <w:p w:rsidR="009F5E28" w:rsidRPr="00B830BB" w:rsidRDefault="00695001" w:rsidP="00F95B66">
      <w:pPr>
        <w:spacing w:line="360" w:lineRule="auto"/>
        <w:ind w:firstLine="432"/>
        <w:jc w:val="both"/>
        <w:rPr>
          <w:rFonts w:cs="Arial"/>
          <w:szCs w:val="22"/>
          <w:lang w:val="hr-HR"/>
        </w:rPr>
      </w:pPr>
      <w:r w:rsidRPr="00B830BB">
        <w:rPr>
          <w:rFonts w:cs="Arial"/>
          <w:szCs w:val="22"/>
          <w:lang w:val="hr-HR"/>
        </w:rPr>
        <w:t xml:space="preserve">Slanje zamolnice ne znači i da će ona biti odobrena. Naime, tijela nadležna za njihovo zaprimanje u drugim državama, moraju prvo odlučiti hoće li ju odobriti, a tek onda će biti proslijeđena adresiranom državnom tijelu. </w:t>
      </w:r>
      <w:r w:rsidR="00C23799" w:rsidRPr="00B830BB">
        <w:rPr>
          <w:rFonts w:cs="Arial"/>
          <w:szCs w:val="22"/>
          <w:lang w:val="hr-HR"/>
        </w:rPr>
        <w:t>Nadalje, koliko bi se radilo o izručivanju, mora biti ispunjeno načelo obostrane kažnjivosti (identiteta norme) te djelo biti pravno okvalificirano kao kazneno</w:t>
      </w:r>
      <w:r w:rsidR="00C23799" w:rsidRPr="00B830BB">
        <w:rPr>
          <w:rStyle w:val="FootnoteReference"/>
          <w:rFonts w:cs="Arial"/>
          <w:szCs w:val="22"/>
          <w:lang w:val="hr-HR"/>
        </w:rPr>
        <w:footnoteReference w:id="119"/>
      </w:r>
      <w:r w:rsidR="00C23799" w:rsidRPr="00B830BB">
        <w:rPr>
          <w:rFonts w:cs="Arial"/>
          <w:szCs w:val="22"/>
          <w:lang w:val="hr-HR"/>
        </w:rPr>
        <w:t xml:space="preserve">. </w:t>
      </w:r>
      <w:r w:rsidRPr="00B830BB">
        <w:rPr>
          <w:rFonts w:cs="Arial"/>
          <w:szCs w:val="22"/>
          <w:lang w:val="hr-HR"/>
        </w:rPr>
        <w:t>Budući da mnogo aktera sudjeluje u ovom postupku</w:t>
      </w:r>
      <w:r w:rsidR="000A58C2" w:rsidRPr="00B830BB">
        <w:rPr>
          <w:rFonts w:cs="Arial"/>
          <w:szCs w:val="22"/>
          <w:lang w:val="hr-HR"/>
        </w:rPr>
        <w:t>,</w:t>
      </w:r>
      <w:r w:rsidRPr="00B830BB">
        <w:rPr>
          <w:rFonts w:cs="Arial"/>
          <w:szCs w:val="22"/>
          <w:lang w:val="hr-HR"/>
        </w:rPr>
        <w:t xml:space="preserve"> on je u pravilu </w:t>
      </w:r>
      <w:r w:rsidR="00C23799" w:rsidRPr="00B830BB">
        <w:rPr>
          <w:rFonts w:cs="Arial"/>
          <w:szCs w:val="22"/>
          <w:lang w:val="hr-HR"/>
        </w:rPr>
        <w:t xml:space="preserve">veoma dug, ali i kompliciran. </w:t>
      </w:r>
    </w:p>
    <w:p w:rsidR="004419AC" w:rsidRDefault="00C10207" w:rsidP="00F95B66">
      <w:pPr>
        <w:spacing w:line="360" w:lineRule="auto"/>
        <w:ind w:firstLine="432"/>
        <w:jc w:val="both"/>
        <w:rPr>
          <w:rFonts w:cs="Arial"/>
          <w:szCs w:val="22"/>
          <w:lang w:val="hr-HR"/>
        </w:rPr>
      </w:pPr>
      <w:r w:rsidRPr="00B830BB">
        <w:rPr>
          <w:rFonts w:cs="Arial"/>
          <w:szCs w:val="22"/>
          <w:lang w:val="hr-HR"/>
        </w:rPr>
        <w:t>Slijedom navedenog, zaključujemo kako bi uspješ</w:t>
      </w:r>
      <w:r w:rsidR="00BC69A2" w:rsidRPr="00B830BB">
        <w:rPr>
          <w:rFonts w:cs="Arial"/>
          <w:szCs w:val="22"/>
          <w:lang w:val="hr-HR"/>
        </w:rPr>
        <w:t>niji</w:t>
      </w:r>
      <w:r w:rsidRPr="00B830BB">
        <w:rPr>
          <w:rFonts w:cs="Arial"/>
          <w:szCs w:val="22"/>
          <w:lang w:val="hr-HR"/>
        </w:rPr>
        <w:t xml:space="preserve"> način za borbu protiv govora mržnje na internetu </w:t>
      </w:r>
      <w:r w:rsidR="00870891">
        <w:rPr>
          <w:rFonts w:cs="Arial"/>
          <w:szCs w:val="22"/>
          <w:lang w:val="hr-HR"/>
        </w:rPr>
        <w:t xml:space="preserve">(ipak) </w:t>
      </w:r>
      <w:r w:rsidRPr="00B830BB">
        <w:rPr>
          <w:rFonts w:cs="Arial"/>
          <w:szCs w:val="22"/>
          <w:lang w:val="hr-HR"/>
        </w:rPr>
        <w:t xml:space="preserve">podrazumijevao </w:t>
      </w:r>
      <w:r w:rsidR="00BC69A2" w:rsidRPr="00B830BB">
        <w:rPr>
          <w:rFonts w:cs="Arial"/>
          <w:szCs w:val="22"/>
          <w:lang w:val="hr-HR"/>
        </w:rPr>
        <w:t xml:space="preserve">jak međunarodni mehanizam te snažniji međunarodnu pravnu pomoć između država. </w:t>
      </w:r>
      <w:r w:rsidR="00733EFA" w:rsidRPr="00B830BB">
        <w:rPr>
          <w:rFonts w:cs="Arial"/>
          <w:szCs w:val="22"/>
          <w:lang w:val="hr-HR"/>
        </w:rPr>
        <w:t>Budući da je internet globalni fenomen, potrebno je uistinu razmisliti o međunarodnim mogućnostima s jačom svijesti o dose</w:t>
      </w:r>
      <w:r w:rsidR="00D962B2">
        <w:rPr>
          <w:rFonts w:cs="Arial"/>
          <w:szCs w:val="22"/>
          <w:lang w:val="hr-HR"/>
        </w:rPr>
        <w:t>g</w:t>
      </w:r>
      <w:r w:rsidR="00733EFA" w:rsidRPr="00B830BB">
        <w:rPr>
          <w:rFonts w:cs="Arial"/>
          <w:szCs w:val="22"/>
          <w:lang w:val="hr-HR"/>
        </w:rPr>
        <w:t>u nacionalnom suverenitetu i nacionalnim zakonima u vezi interneta</w:t>
      </w:r>
      <w:r w:rsidR="00CF303A" w:rsidRPr="00B830BB">
        <w:rPr>
          <w:rFonts w:cs="Arial"/>
          <w:szCs w:val="22"/>
          <w:lang w:val="hr-HR"/>
        </w:rPr>
        <w:t>.</w:t>
      </w:r>
      <w:r w:rsidR="00733EFA" w:rsidRPr="00B830BB">
        <w:rPr>
          <w:rStyle w:val="FootnoteReference"/>
          <w:rFonts w:cs="Arial"/>
          <w:szCs w:val="22"/>
          <w:lang w:val="hr-HR"/>
        </w:rPr>
        <w:footnoteReference w:id="120"/>
      </w:r>
      <w:r w:rsidR="00CF303A" w:rsidRPr="00B830BB">
        <w:rPr>
          <w:rFonts w:cs="Arial"/>
          <w:szCs w:val="22"/>
          <w:lang w:val="hr-HR"/>
        </w:rPr>
        <w:t xml:space="preserve"> Budući da upotreba interneta, kao i kršenja pravnih normi na njemu, uvelike utječe, čak i na slične načine, na države, razumno je za pretpostaviti kako bi međunarodni mehanizam bio koristan. No, ovdje je potrebno uputiti i na činjenicu kako iako se države suočavaju s istim preprekama, one i na različiti način pristupaju njihovom rješavanju. </w:t>
      </w:r>
      <w:r w:rsidR="004419AC">
        <w:rPr>
          <w:rFonts w:cs="Arial"/>
          <w:szCs w:val="22"/>
          <w:lang w:val="hr-HR"/>
        </w:rPr>
        <w:t>Proučavajući način kojim se pristupa rješavanje tog problema, moguće je detektirati bitne epistemološke razlike u pristupu (razlike između Europskog suda</w:t>
      </w:r>
      <w:r w:rsidR="00A44C32">
        <w:rPr>
          <w:rFonts w:cs="Arial"/>
          <w:szCs w:val="22"/>
          <w:lang w:val="hr-HR"/>
        </w:rPr>
        <w:t xml:space="preserve"> za ljudska prava</w:t>
      </w:r>
      <w:r w:rsidR="004419AC">
        <w:rPr>
          <w:rFonts w:cs="Arial"/>
          <w:szCs w:val="22"/>
          <w:lang w:val="hr-HR"/>
        </w:rPr>
        <w:t xml:space="preserve"> i Vrhovnog suda SAD</w:t>
      </w:r>
      <w:r w:rsidR="004419AC" w:rsidRPr="008F0D23">
        <w:rPr>
          <w:rFonts w:cs="Arial"/>
          <w:szCs w:val="22"/>
          <w:lang w:val="hr-HR"/>
        </w:rPr>
        <w:t>-a</w:t>
      </w:r>
      <w:r w:rsidR="00C07CB5" w:rsidRPr="008F0D23">
        <w:rPr>
          <w:rFonts w:cs="Arial"/>
          <w:szCs w:val="22"/>
          <w:lang w:val="hr-HR"/>
        </w:rPr>
        <w:t xml:space="preserve"> u </w:t>
      </w:r>
      <w:r w:rsidR="00C07CB5" w:rsidRPr="008F0D23">
        <w:rPr>
          <w:rFonts w:cs="Arial"/>
          <w:i/>
          <w:szCs w:val="22"/>
          <w:lang w:val="hr-HR"/>
        </w:rPr>
        <w:t>supra</w:t>
      </w:r>
      <w:r w:rsidR="00C07CB5" w:rsidRPr="008F0D23">
        <w:rPr>
          <w:rFonts w:cs="Arial"/>
          <w:szCs w:val="22"/>
          <w:lang w:val="hr-HR"/>
        </w:rPr>
        <w:t xml:space="preserve"> </w:t>
      </w:r>
      <w:r w:rsidR="00A44C32" w:rsidRPr="008F0D23">
        <w:rPr>
          <w:rFonts w:cs="Arial"/>
          <w:i/>
          <w:szCs w:val="22"/>
          <w:lang w:val="hr-HR"/>
        </w:rPr>
        <w:t>ad.</w:t>
      </w:r>
      <w:r w:rsidR="00A44C32" w:rsidRPr="008F0D23">
        <w:rPr>
          <w:rFonts w:cs="Arial"/>
          <w:szCs w:val="22"/>
          <w:lang w:val="hr-HR"/>
        </w:rPr>
        <w:t xml:space="preserve"> </w:t>
      </w:r>
      <w:r w:rsidR="008F0D23" w:rsidRPr="008F0D23">
        <w:rPr>
          <w:rFonts w:cs="Arial"/>
          <w:szCs w:val="22"/>
          <w:lang w:val="hr-HR"/>
        </w:rPr>
        <w:t>6</w:t>
      </w:r>
      <w:r w:rsidR="00C07CB5" w:rsidRPr="008F0D23">
        <w:rPr>
          <w:rFonts w:cs="Arial"/>
          <w:szCs w:val="22"/>
          <w:lang w:val="hr-HR"/>
        </w:rPr>
        <w:t>.1</w:t>
      </w:r>
      <w:r w:rsidR="004419AC" w:rsidRPr="008F0D23">
        <w:rPr>
          <w:rFonts w:cs="Arial"/>
          <w:szCs w:val="22"/>
          <w:lang w:val="hr-HR"/>
        </w:rPr>
        <w:t>).</w:t>
      </w:r>
      <w:r w:rsidR="004419AC" w:rsidRPr="008F0D23">
        <w:rPr>
          <w:rStyle w:val="FootnoteReference"/>
          <w:rFonts w:cs="Arial"/>
          <w:szCs w:val="22"/>
          <w:lang w:val="hr-HR"/>
        </w:rPr>
        <w:footnoteReference w:id="121"/>
      </w:r>
      <w:r w:rsidR="004419AC">
        <w:rPr>
          <w:rFonts w:cs="Arial"/>
          <w:szCs w:val="22"/>
          <w:lang w:val="hr-HR"/>
        </w:rPr>
        <w:t xml:space="preserve"> </w:t>
      </w:r>
    </w:p>
    <w:p w:rsidR="00C10207" w:rsidRDefault="00CF303A" w:rsidP="00F95B66">
      <w:pPr>
        <w:spacing w:line="360" w:lineRule="auto"/>
        <w:ind w:firstLine="432"/>
        <w:jc w:val="both"/>
        <w:rPr>
          <w:rFonts w:cs="Arial"/>
          <w:szCs w:val="22"/>
          <w:lang w:val="hr-HR"/>
        </w:rPr>
      </w:pPr>
      <w:r w:rsidRPr="00B830BB">
        <w:rPr>
          <w:rFonts w:cs="Arial"/>
          <w:szCs w:val="22"/>
          <w:lang w:val="hr-HR"/>
        </w:rPr>
        <w:lastRenderedPageBreak/>
        <w:t>Neke su države donijele strože zakone koji se odnose na reguliranje prava na izražavanje na internetu, a neke su prepustile praksi d</w:t>
      </w:r>
      <w:r w:rsidR="007D41AF">
        <w:rPr>
          <w:rFonts w:cs="Arial"/>
          <w:szCs w:val="22"/>
          <w:lang w:val="hr-HR"/>
        </w:rPr>
        <w:t>a analognim tumačenjem (ne)prim</w:t>
      </w:r>
      <w:r w:rsidRPr="00B830BB">
        <w:rPr>
          <w:rFonts w:cs="Arial"/>
          <w:szCs w:val="22"/>
          <w:lang w:val="hr-HR"/>
        </w:rPr>
        <w:t>jenjuje  postojeće ili, pak, razvile zakonodavstvo koje potiče građane na korištenje interneta za javnu raspravu.</w:t>
      </w:r>
      <w:r w:rsidRPr="00B830BB">
        <w:rPr>
          <w:rStyle w:val="FootnoteReference"/>
          <w:rFonts w:cs="Arial"/>
          <w:szCs w:val="22"/>
          <w:lang w:val="hr-HR"/>
        </w:rPr>
        <w:footnoteReference w:id="122"/>
      </w:r>
      <w:r w:rsidRPr="00B830BB">
        <w:rPr>
          <w:rFonts w:cs="Arial"/>
          <w:szCs w:val="22"/>
          <w:lang w:val="hr-HR"/>
        </w:rPr>
        <w:t xml:space="preserve"> </w:t>
      </w:r>
    </w:p>
    <w:p w:rsidR="007527BB" w:rsidRPr="00B830BB" w:rsidRDefault="007527BB" w:rsidP="00F95B66">
      <w:pPr>
        <w:spacing w:line="360" w:lineRule="auto"/>
        <w:ind w:firstLine="432"/>
        <w:jc w:val="both"/>
        <w:rPr>
          <w:rFonts w:cs="Arial"/>
          <w:szCs w:val="22"/>
          <w:lang w:val="hr-HR"/>
        </w:rPr>
      </w:pPr>
    </w:p>
    <w:p w:rsidR="00C51A28" w:rsidRPr="00B830BB" w:rsidRDefault="00702C7F" w:rsidP="00702C7F">
      <w:pPr>
        <w:ind w:firstLine="432"/>
        <w:rPr>
          <w:rFonts w:cs="Arial"/>
          <w:szCs w:val="22"/>
          <w:lang w:val="hr-HR"/>
        </w:rPr>
      </w:pPr>
      <w:r w:rsidRPr="00B830BB">
        <w:rPr>
          <w:rFonts w:cs="Arial"/>
          <w:szCs w:val="22"/>
          <w:lang w:val="hr-HR"/>
        </w:rPr>
        <w:tab/>
      </w:r>
    </w:p>
    <w:p w:rsidR="00C51A28" w:rsidRPr="00B830BB" w:rsidRDefault="00487273" w:rsidP="005B4E9F">
      <w:pPr>
        <w:pStyle w:val="Heading1"/>
        <w:rPr>
          <w:rFonts w:cs="Arial"/>
          <w:lang w:val="hr-HR"/>
        </w:rPr>
      </w:pPr>
      <w:bookmarkStart w:id="259" w:name="_Toc386285816"/>
      <w:bookmarkStart w:id="260" w:name="_Toc386498352"/>
      <w:bookmarkStart w:id="261" w:name="_Toc386563096"/>
      <w:bookmarkStart w:id="262" w:name="_Toc386567258"/>
      <w:bookmarkStart w:id="263" w:name="_Toc386619651"/>
      <w:r w:rsidRPr="00B830BB">
        <w:rPr>
          <w:rFonts w:cs="Arial"/>
          <w:lang w:val="hr-HR"/>
        </w:rPr>
        <w:t>Procjena stanja</w:t>
      </w:r>
      <w:r w:rsidR="008A5BE6">
        <w:rPr>
          <w:rFonts w:cs="Arial"/>
          <w:lang w:val="hr-HR"/>
        </w:rPr>
        <w:t>, uočeni nedostaci</w:t>
      </w:r>
      <w:r w:rsidRPr="00B830BB">
        <w:rPr>
          <w:rFonts w:cs="Arial"/>
          <w:lang w:val="hr-HR"/>
        </w:rPr>
        <w:t xml:space="preserve"> i </w:t>
      </w:r>
      <w:r w:rsidR="008A5BE6">
        <w:rPr>
          <w:rFonts w:cs="Arial"/>
          <w:lang w:val="hr-HR"/>
        </w:rPr>
        <w:t>prijedlozi</w:t>
      </w:r>
      <w:r w:rsidR="00C51A28" w:rsidRPr="00B830BB">
        <w:rPr>
          <w:rFonts w:cs="Arial"/>
          <w:lang w:val="hr-HR"/>
        </w:rPr>
        <w:t xml:space="preserve"> rješenja</w:t>
      </w:r>
      <w:bookmarkEnd w:id="259"/>
      <w:bookmarkEnd w:id="260"/>
      <w:bookmarkEnd w:id="261"/>
      <w:bookmarkEnd w:id="262"/>
      <w:bookmarkEnd w:id="263"/>
    </w:p>
    <w:p w:rsidR="0011253C" w:rsidRPr="00B830BB" w:rsidRDefault="0011253C" w:rsidP="0011253C">
      <w:pPr>
        <w:pStyle w:val="Heading1"/>
        <w:numPr>
          <w:ilvl w:val="0"/>
          <w:numId w:val="0"/>
        </w:numPr>
        <w:ind w:left="432"/>
        <w:rPr>
          <w:rFonts w:cs="Arial"/>
          <w:lang w:val="hr-HR"/>
        </w:rPr>
      </w:pPr>
    </w:p>
    <w:p w:rsidR="00C51A28" w:rsidRPr="00B830BB" w:rsidRDefault="00C51A28" w:rsidP="00C51A28">
      <w:pPr>
        <w:rPr>
          <w:rFonts w:cs="Arial"/>
          <w:lang w:val="hr-HR"/>
        </w:rPr>
      </w:pPr>
    </w:p>
    <w:p w:rsidR="00487273" w:rsidRPr="00B830BB" w:rsidRDefault="004D3F16" w:rsidP="00F24FB2">
      <w:pPr>
        <w:spacing w:line="360" w:lineRule="auto"/>
        <w:ind w:firstLine="432"/>
        <w:jc w:val="both"/>
        <w:rPr>
          <w:rFonts w:cs="Arial"/>
          <w:szCs w:val="22"/>
          <w:lang w:val="hr-HR"/>
        </w:rPr>
      </w:pPr>
      <w:r w:rsidRPr="00B830BB">
        <w:rPr>
          <w:rFonts w:cs="Arial"/>
          <w:szCs w:val="22"/>
          <w:lang w:val="hr-HR"/>
        </w:rPr>
        <w:t xml:space="preserve">Govor mržnje oduvijek </w:t>
      </w:r>
      <w:r w:rsidR="00FB7A5D">
        <w:rPr>
          <w:rFonts w:cs="Arial"/>
          <w:szCs w:val="22"/>
          <w:lang w:val="hr-HR"/>
        </w:rPr>
        <w:t xml:space="preserve">je </w:t>
      </w:r>
      <w:r w:rsidRPr="00B830BB">
        <w:rPr>
          <w:rFonts w:cs="Arial"/>
          <w:szCs w:val="22"/>
          <w:lang w:val="hr-HR"/>
        </w:rPr>
        <w:t>postojao</w:t>
      </w:r>
      <w:r w:rsidR="00FB7A5D">
        <w:rPr>
          <w:rFonts w:cs="Arial"/>
          <w:szCs w:val="22"/>
          <w:lang w:val="hr-HR"/>
        </w:rPr>
        <w:t>, no p</w:t>
      </w:r>
      <w:r w:rsidRPr="00B830BB">
        <w:rPr>
          <w:rFonts w:cs="Arial"/>
          <w:szCs w:val="22"/>
          <w:lang w:val="hr-HR"/>
        </w:rPr>
        <w:t>ojavo</w:t>
      </w:r>
      <w:r w:rsidR="00FB7A5D">
        <w:rPr>
          <w:rFonts w:cs="Arial"/>
          <w:szCs w:val="22"/>
          <w:lang w:val="hr-HR"/>
        </w:rPr>
        <w:t>m</w:t>
      </w:r>
      <w:r w:rsidRPr="00B830BB">
        <w:rPr>
          <w:rFonts w:cs="Arial"/>
          <w:szCs w:val="22"/>
          <w:lang w:val="hr-HR"/>
        </w:rPr>
        <w:t xml:space="preserve"> interneta njegovo širenje znatno </w:t>
      </w:r>
      <w:r w:rsidR="00FB7A5D">
        <w:rPr>
          <w:rFonts w:cs="Arial"/>
          <w:szCs w:val="22"/>
          <w:lang w:val="hr-HR"/>
        </w:rPr>
        <w:t xml:space="preserve">je </w:t>
      </w:r>
      <w:r w:rsidRPr="00B830BB">
        <w:rPr>
          <w:rFonts w:cs="Arial"/>
          <w:szCs w:val="22"/>
          <w:lang w:val="hr-HR"/>
        </w:rPr>
        <w:t xml:space="preserve">olakšano. Ne možemo sa sigurnošću konstatirati je li on pojavom interneta </w:t>
      </w:r>
      <w:r w:rsidR="00D37700">
        <w:rPr>
          <w:rFonts w:cs="Arial"/>
          <w:szCs w:val="22"/>
          <w:lang w:val="hr-HR"/>
        </w:rPr>
        <w:t>ekspon</w:t>
      </w:r>
      <w:r w:rsidRPr="00B830BB">
        <w:rPr>
          <w:rFonts w:cs="Arial"/>
          <w:szCs w:val="22"/>
          <w:lang w:val="hr-HR"/>
        </w:rPr>
        <w:t xml:space="preserve">encijalno postao pojavniji ili je jednostavno riječ o većoj vidljivosti zbog same dostupnosti. </w:t>
      </w:r>
      <w:r w:rsidR="00A96845">
        <w:rPr>
          <w:rFonts w:cs="Arial"/>
          <w:szCs w:val="22"/>
          <w:lang w:val="hr-HR"/>
        </w:rPr>
        <w:t>Ipak, usprkos takvom očiglednom rastu pojave govora mržnje u javnosti, p</w:t>
      </w:r>
      <w:r w:rsidR="00487273" w:rsidRPr="00B830BB">
        <w:rPr>
          <w:rFonts w:cs="Arial"/>
          <w:szCs w:val="22"/>
          <w:lang w:val="hr-HR"/>
        </w:rPr>
        <w:t xml:space="preserve">rilikom istraživanja teme ovog rada, uočili smo izrazito oskudnu sudsku praksu. </w:t>
      </w:r>
    </w:p>
    <w:p w:rsidR="00487273" w:rsidRPr="00B830BB" w:rsidRDefault="008841A3" w:rsidP="008841A3">
      <w:pPr>
        <w:tabs>
          <w:tab w:val="left" w:pos="6000"/>
        </w:tabs>
        <w:spacing w:line="360" w:lineRule="auto"/>
        <w:ind w:firstLine="432"/>
        <w:jc w:val="both"/>
        <w:rPr>
          <w:rFonts w:cs="Arial"/>
          <w:szCs w:val="22"/>
          <w:lang w:val="hr-HR"/>
        </w:rPr>
      </w:pPr>
      <w:r>
        <w:rPr>
          <w:rFonts w:cs="Arial"/>
          <w:szCs w:val="22"/>
          <w:lang w:val="hr-HR"/>
        </w:rPr>
        <w:tab/>
      </w:r>
    </w:p>
    <w:p w:rsidR="00487273" w:rsidRPr="00B830BB" w:rsidRDefault="00487273" w:rsidP="00487273">
      <w:pPr>
        <w:pStyle w:val="Heading2"/>
        <w:rPr>
          <w:rFonts w:cs="Arial"/>
        </w:rPr>
      </w:pPr>
      <w:bookmarkStart w:id="264" w:name="_Toc386285818"/>
      <w:bookmarkStart w:id="265" w:name="_Toc386498354"/>
      <w:bookmarkStart w:id="266" w:name="_Toc386563098"/>
      <w:bookmarkStart w:id="267" w:name="_Toc386567260"/>
      <w:bookmarkStart w:id="268" w:name="_Toc386619652"/>
      <w:r w:rsidRPr="00B830BB">
        <w:rPr>
          <w:rFonts w:cs="Arial"/>
        </w:rPr>
        <w:t>Prijedlozi rješenja</w:t>
      </w:r>
      <w:bookmarkEnd w:id="264"/>
      <w:bookmarkEnd w:id="265"/>
      <w:bookmarkEnd w:id="266"/>
      <w:bookmarkEnd w:id="267"/>
      <w:bookmarkEnd w:id="268"/>
    </w:p>
    <w:p w:rsidR="00487273" w:rsidRPr="00B830BB" w:rsidRDefault="00487273" w:rsidP="00F24FB2">
      <w:pPr>
        <w:spacing w:line="360" w:lineRule="auto"/>
        <w:ind w:firstLine="432"/>
        <w:jc w:val="both"/>
        <w:rPr>
          <w:rFonts w:cs="Arial"/>
          <w:szCs w:val="22"/>
          <w:lang w:val="hr-HR"/>
        </w:rPr>
      </w:pPr>
    </w:p>
    <w:p w:rsidR="002E4EFF" w:rsidRPr="00B830BB" w:rsidRDefault="00667DDA" w:rsidP="007527BB">
      <w:pPr>
        <w:spacing w:line="360" w:lineRule="auto"/>
        <w:ind w:firstLine="576"/>
        <w:jc w:val="both"/>
        <w:rPr>
          <w:rFonts w:cs="Arial"/>
          <w:szCs w:val="22"/>
          <w:lang w:val="hr-HR"/>
        </w:rPr>
      </w:pPr>
      <w:r w:rsidRPr="00B830BB">
        <w:rPr>
          <w:rFonts w:cs="Arial"/>
          <w:szCs w:val="22"/>
          <w:lang w:val="hr-HR"/>
        </w:rPr>
        <w:t>Da bi društvo uspješno zaštitilo interese koj</w:t>
      </w:r>
      <w:r w:rsidR="002E4EFF" w:rsidRPr="00B830BB">
        <w:rPr>
          <w:rFonts w:cs="Arial"/>
          <w:szCs w:val="22"/>
          <w:lang w:val="hr-HR"/>
        </w:rPr>
        <w:t>ima teži</w:t>
      </w:r>
      <w:r w:rsidRPr="00B830BB">
        <w:rPr>
          <w:rFonts w:cs="Arial"/>
          <w:szCs w:val="22"/>
          <w:lang w:val="hr-HR"/>
        </w:rPr>
        <w:t>, potencijalni instrumenti regulacije i prevencije kojima se služi neminovno moraju biti upućeni jedni na druge. Odgovornost prvenstveno leži na Vladi i njenim tijelima da kroz svoje odluke kroz interakciju s nevladinim organizacijama (tzv. treći sektor) provoditi akt</w:t>
      </w:r>
      <w:r w:rsidR="00995E76">
        <w:rPr>
          <w:rFonts w:cs="Arial"/>
          <w:szCs w:val="22"/>
          <w:lang w:val="hr-HR"/>
        </w:rPr>
        <w:t>ivnosti u cilju postizanja zada</w:t>
      </w:r>
      <w:r w:rsidRPr="00B830BB">
        <w:rPr>
          <w:rFonts w:cs="Arial"/>
          <w:szCs w:val="22"/>
          <w:lang w:val="hr-HR"/>
        </w:rPr>
        <w:t xml:space="preserve">nog cilja. </w:t>
      </w:r>
      <w:r w:rsidR="002E4EFF" w:rsidRPr="00B830BB">
        <w:rPr>
          <w:rFonts w:cs="Arial"/>
          <w:szCs w:val="22"/>
          <w:lang w:val="hr-HR"/>
        </w:rPr>
        <w:t>Kako bismo utjecali na smanjenje govora mržnje na internetu potrebna je sveobuhvatna, interdisciplinarna i interaktivna nacionalna strategija.</w:t>
      </w:r>
    </w:p>
    <w:p w:rsidR="00667DDA" w:rsidRPr="00B830BB" w:rsidRDefault="00667DDA" w:rsidP="00F24FB2">
      <w:pPr>
        <w:spacing w:line="360" w:lineRule="auto"/>
        <w:ind w:firstLine="576"/>
        <w:jc w:val="both"/>
        <w:rPr>
          <w:rFonts w:cs="Arial"/>
          <w:szCs w:val="22"/>
          <w:lang w:val="hr-HR"/>
        </w:rPr>
      </w:pPr>
      <w:r w:rsidRPr="00B830BB">
        <w:rPr>
          <w:rFonts w:cs="Arial"/>
          <w:szCs w:val="22"/>
          <w:lang w:val="hr-HR"/>
        </w:rPr>
        <w:t xml:space="preserve">Izbor metoda za borbu protiv govora mržnje na internetu višestruk je, a svi postojeći mehanizmi nužno su isprepleteni u svom djelovanju budući da nijedan ne može sam za sebe proizvesti onu razinu efektivnosti koja je cilj ovih sredstava. Ponajprije, što se legislativnih rješenja tiče, važno je naglasiti da ona trebaju biti predviđena na dvije razine – kako na nacionalnoj tako i na međunarodnoj. Obje razine, dakako, moraju biti usklađene te bi neizostavno trebale predviđati neka od rješenja koja će u nastavku biti predložena. Ipak, naposljetku treba imati na umu da pravni sustav nije jedini način djelovanja društva u smjeru suzbijanja govora mržnje. </w:t>
      </w:r>
      <w:r w:rsidR="002E4EFF" w:rsidRPr="00B830BB">
        <w:rPr>
          <w:rFonts w:cs="Arial"/>
          <w:szCs w:val="22"/>
          <w:lang w:val="hr-HR"/>
        </w:rPr>
        <w:t>N</w:t>
      </w:r>
      <w:r w:rsidRPr="00B830BB">
        <w:rPr>
          <w:rFonts w:cs="Arial"/>
          <w:szCs w:val="22"/>
          <w:lang w:val="hr-HR"/>
        </w:rPr>
        <w:t xml:space="preserve">aprotiv, edukacija igra barem jednako važnu ulogu kao i pravna regulacija. Shodno tome, razvijanje tolerancije na različitost i podizanje svijesti o negativnostima diskriminacije mogu imati iznimne učinke, o čemu će također biti govora dalje </w:t>
      </w:r>
      <w:r w:rsidRPr="00B830BB">
        <w:rPr>
          <w:rFonts w:cs="Arial"/>
          <w:szCs w:val="22"/>
          <w:lang w:val="hr-HR"/>
        </w:rPr>
        <w:lastRenderedPageBreak/>
        <w:t>u tekstu. Nije moguće navesti sve opcije, stoga ćemo izdvojiti nekoliko za koje mislimo da su najbitnije.</w:t>
      </w:r>
    </w:p>
    <w:p w:rsidR="00D20440" w:rsidRPr="00B830BB" w:rsidRDefault="00D20440" w:rsidP="002C1F24">
      <w:pPr>
        <w:pStyle w:val="Heading3"/>
      </w:pPr>
      <w:bookmarkStart w:id="269" w:name="_Toc386563099"/>
      <w:bookmarkStart w:id="270" w:name="_Toc386285819"/>
      <w:bookmarkStart w:id="271" w:name="_Toc386498355"/>
      <w:bookmarkStart w:id="272" w:name="_Toc386567261"/>
      <w:bookmarkStart w:id="273" w:name="_Toc386619653"/>
      <w:r w:rsidRPr="00B830BB">
        <w:t>Propisi</w:t>
      </w:r>
      <w:bookmarkEnd w:id="269"/>
      <w:bookmarkEnd w:id="270"/>
      <w:bookmarkEnd w:id="271"/>
      <w:bookmarkEnd w:id="272"/>
      <w:bookmarkEnd w:id="273"/>
    </w:p>
    <w:p w:rsidR="00F24FB2" w:rsidRPr="00B830BB" w:rsidRDefault="00F24FB2" w:rsidP="00F24FB2">
      <w:pPr>
        <w:pStyle w:val="Heading2"/>
        <w:numPr>
          <w:ilvl w:val="0"/>
          <w:numId w:val="0"/>
        </w:numPr>
        <w:ind w:left="576"/>
        <w:rPr>
          <w:rFonts w:cs="Arial"/>
        </w:rPr>
      </w:pPr>
    </w:p>
    <w:p w:rsidR="00A931D6" w:rsidRDefault="00D20440" w:rsidP="007751D9">
      <w:pPr>
        <w:spacing w:line="360" w:lineRule="auto"/>
        <w:ind w:firstLine="576"/>
        <w:jc w:val="both"/>
        <w:rPr>
          <w:rFonts w:cs="Arial"/>
          <w:szCs w:val="22"/>
          <w:lang w:val="hr-HR"/>
        </w:rPr>
      </w:pPr>
      <w:r w:rsidRPr="00B830BB">
        <w:rPr>
          <w:rFonts w:cs="Arial"/>
          <w:szCs w:val="22"/>
          <w:lang w:val="hr-HR"/>
        </w:rPr>
        <w:t xml:space="preserve">Premda je o tome već bilo govora ranije, nije suvišno još jednom istaknuti važnost konzistentnosti, razrađenosti i obuhvatnosti propisa kojima se uređuje pravo virtualnih pravnih odnosa općenito, a posebice područje zaštite ljudskih prava u internetskom okruženju. </w:t>
      </w:r>
      <w:r w:rsidR="007751D9">
        <w:rPr>
          <w:rFonts w:cs="Arial"/>
          <w:szCs w:val="22"/>
          <w:lang w:val="hr-HR"/>
        </w:rPr>
        <w:t xml:space="preserve">Kao što je vidljivo iz svega dosad izloženog, u Hrvatskoj imamo svojevrsni regulatorni paradoks. Naime, dok s jedne strane imamo mnoštvo propisa kojima se </w:t>
      </w:r>
      <w:r w:rsidR="002B610B">
        <w:rPr>
          <w:rFonts w:cs="Arial"/>
          <w:szCs w:val="22"/>
          <w:lang w:val="hr-HR"/>
        </w:rPr>
        <w:t xml:space="preserve">pokušava </w:t>
      </w:r>
      <w:r w:rsidR="007751D9">
        <w:rPr>
          <w:rFonts w:cs="Arial"/>
          <w:szCs w:val="22"/>
          <w:lang w:val="hr-HR"/>
        </w:rPr>
        <w:t>regulira</w:t>
      </w:r>
      <w:r w:rsidR="002B610B">
        <w:rPr>
          <w:rFonts w:cs="Arial"/>
          <w:szCs w:val="22"/>
          <w:lang w:val="hr-HR"/>
        </w:rPr>
        <w:t>ti</w:t>
      </w:r>
      <w:r w:rsidR="007751D9">
        <w:rPr>
          <w:rFonts w:cs="Arial"/>
          <w:szCs w:val="22"/>
          <w:lang w:val="hr-HR"/>
        </w:rPr>
        <w:t xml:space="preserve"> praktično ista materija (zabrana diskriminacije, a time podredno i govora mržnje kao jednog tipa diskriminacije), dotle s druge strane vidimo potpuno zakazivanje tih inst</w:t>
      </w:r>
      <w:r w:rsidR="00995E76">
        <w:rPr>
          <w:rFonts w:cs="Arial"/>
          <w:szCs w:val="22"/>
          <w:lang w:val="hr-HR"/>
        </w:rPr>
        <w:t>r</w:t>
      </w:r>
      <w:r w:rsidR="007751D9">
        <w:rPr>
          <w:rFonts w:cs="Arial"/>
          <w:szCs w:val="22"/>
          <w:lang w:val="hr-HR"/>
        </w:rPr>
        <w:t>umenata u njihovoj primjeni.</w:t>
      </w:r>
      <w:r w:rsidR="002B610B">
        <w:rPr>
          <w:rFonts w:cs="Arial"/>
          <w:szCs w:val="22"/>
          <w:lang w:val="hr-HR"/>
        </w:rPr>
        <w:t xml:space="preserve"> Uzrok tome trebalo bi tražiti upravo u </w:t>
      </w:r>
      <w:r w:rsidR="00A931D6">
        <w:rPr>
          <w:rFonts w:cs="Arial"/>
          <w:szCs w:val="22"/>
          <w:lang w:val="hr-HR"/>
        </w:rPr>
        <w:t>spomenutom</w:t>
      </w:r>
      <w:r w:rsidR="002B610B">
        <w:rPr>
          <w:rFonts w:cs="Arial"/>
          <w:szCs w:val="22"/>
          <w:lang w:val="hr-HR"/>
        </w:rPr>
        <w:t xml:space="preserve"> postojanju prevelikog broja propisa kojima se stvara neka vrsta paralelnog, konkurirajućeg zakonodavstva</w:t>
      </w:r>
      <w:r w:rsidR="00830657">
        <w:rPr>
          <w:rFonts w:cs="Arial"/>
          <w:szCs w:val="22"/>
          <w:lang w:val="hr-HR"/>
        </w:rPr>
        <w:t>, a koje onda dovodi do dezorijentacije ne samo laika nego i samih pravnika kojima je također nemoguće poznavati toliko mnoštvo akata.</w:t>
      </w:r>
      <w:r w:rsidR="00A931D6">
        <w:rPr>
          <w:rFonts w:cs="Arial"/>
          <w:szCs w:val="22"/>
          <w:lang w:val="hr-HR"/>
        </w:rPr>
        <w:t xml:space="preserve"> Kao posljedica takvog stanja, postavljaju se pitanja</w:t>
      </w:r>
      <w:r w:rsidR="00991553">
        <w:rPr>
          <w:rFonts w:cs="Arial"/>
          <w:szCs w:val="22"/>
          <w:lang w:val="hr-HR"/>
        </w:rPr>
        <w:t xml:space="preserve"> na koji propis se pozivati</w:t>
      </w:r>
      <w:r w:rsidR="00A931D6">
        <w:rPr>
          <w:rFonts w:cs="Arial"/>
          <w:szCs w:val="22"/>
          <w:lang w:val="hr-HR"/>
        </w:rPr>
        <w:t>, kako razlikovati zabranjeni govor od onog dopušteno</w:t>
      </w:r>
      <w:r w:rsidR="00991553">
        <w:rPr>
          <w:rFonts w:cs="Arial"/>
          <w:szCs w:val="22"/>
          <w:lang w:val="hr-HR"/>
        </w:rPr>
        <w:t>g,</w:t>
      </w:r>
      <w:r w:rsidR="00A931D6">
        <w:rPr>
          <w:rFonts w:cs="Arial"/>
          <w:szCs w:val="22"/>
          <w:lang w:val="hr-HR"/>
        </w:rPr>
        <w:t xml:space="preserve"> kako razlikovati onaj koji zaslužuje prekršajni od onog koji zahtijeva kaznenopravni tretman.</w:t>
      </w:r>
      <w:r w:rsidR="00991553">
        <w:rPr>
          <w:rFonts w:cs="Arial"/>
          <w:szCs w:val="22"/>
          <w:lang w:val="hr-HR"/>
        </w:rPr>
        <w:t xml:space="preserve"> S tim u vezi, javlja se i dilema o tome treba li kaznenopravna regulacija biti </w:t>
      </w:r>
      <w:r w:rsidR="00991553" w:rsidRPr="00991553">
        <w:rPr>
          <w:rFonts w:cs="Arial"/>
          <w:i/>
          <w:szCs w:val="22"/>
          <w:lang w:val="hr-HR"/>
        </w:rPr>
        <w:t>ultima ratio</w:t>
      </w:r>
      <w:r w:rsidR="00991553">
        <w:rPr>
          <w:rFonts w:cs="Arial"/>
          <w:szCs w:val="22"/>
          <w:lang w:val="hr-HR"/>
        </w:rPr>
        <w:t xml:space="preserve"> pri postupanju prema govoru mržnje ili pak treba načelno zauzeti stav o kaznenopravnom progonu takvih tipova govora.</w:t>
      </w:r>
    </w:p>
    <w:p w:rsidR="007751D9" w:rsidRDefault="00B049AA" w:rsidP="007751D9">
      <w:pPr>
        <w:spacing w:line="360" w:lineRule="auto"/>
        <w:ind w:firstLine="576"/>
        <w:jc w:val="both"/>
        <w:rPr>
          <w:rFonts w:cs="Arial"/>
          <w:szCs w:val="22"/>
          <w:lang w:val="hr-HR"/>
        </w:rPr>
      </w:pPr>
      <w:r>
        <w:rPr>
          <w:rFonts w:cs="Arial"/>
          <w:szCs w:val="22"/>
          <w:lang w:val="hr-HR"/>
        </w:rPr>
        <w:t xml:space="preserve">Zbog ovakvih nedoumica i </w:t>
      </w:r>
      <w:r w:rsidR="00A931D6">
        <w:rPr>
          <w:rFonts w:cs="Arial"/>
          <w:szCs w:val="22"/>
          <w:lang w:val="hr-HR"/>
        </w:rPr>
        <w:t xml:space="preserve"> </w:t>
      </w:r>
      <w:r>
        <w:rPr>
          <w:rFonts w:cs="Arial"/>
          <w:szCs w:val="22"/>
          <w:lang w:val="hr-HR"/>
        </w:rPr>
        <w:t xml:space="preserve">problema izazvanih postojećom situacijom u hrvatskom zakonodavstvu i praksi, potrebno je </w:t>
      </w:r>
      <w:r w:rsidR="00FE72A3">
        <w:rPr>
          <w:rFonts w:cs="Arial"/>
          <w:szCs w:val="22"/>
          <w:lang w:val="hr-HR"/>
        </w:rPr>
        <w:t>jednom krovnom odredbom</w:t>
      </w:r>
      <w:r w:rsidR="00D06FDD">
        <w:rPr>
          <w:rFonts w:cs="Arial"/>
          <w:szCs w:val="22"/>
          <w:lang w:val="hr-HR"/>
        </w:rPr>
        <w:t>, bilo kaznenopravnom bilo prekršajnopravnom,</w:t>
      </w:r>
      <w:r w:rsidR="00FE72A3">
        <w:rPr>
          <w:rFonts w:cs="Arial"/>
          <w:szCs w:val="22"/>
          <w:lang w:val="hr-HR"/>
        </w:rPr>
        <w:t xml:space="preserve"> urediti samo govor mržnje (neovisno o mediju)</w:t>
      </w:r>
      <w:r w:rsidR="002C7F36">
        <w:rPr>
          <w:rFonts w:cs="Arial"/>
          <w:szCs w:val="22"/>
          <w:lang w:val="hr-HR"/>
        </w:rPr>
        <w:t xml:space="preserve"> u svim njegovim pojavnim oblicima i prema svim poznatim diskriminatornim osnovama</w:t>
      </w:r>
      <w:r w:rsidR="00FE72A3">
        <w:rPr>
          <w:rFonts w:cs="Arial"/>
          <w:szCs w:val="22"/>
          <w:lang w:val="hr-HR"/>
        </w:rPr>
        <w:t xml:space="preserve">, izdvojeno od općenitih formulacija o diskriminaciji te eksplicitno propisati da se ta norma primjenjuje u svim slučajevima u kojima </w:t>
      </w:r>
      <w:r w:rsidR="00AD146A">
        <w:rPr>
          <w:rFonts w:cs="Arial"/>
          <w:szCs w:val="22"/>
          <w:lang w:val="hr-HR"/>
        </w:rPr>
        <w:t>ni</w:t>
      </w:r>
      <w:r w:rsidR="00D06FDD">
        <w:rPr>
          <w:rFonts w:cs="Arial"/>
          <w:szCs w:val="22"/>
          <w:lang w:val="hr-HR"/>
        </w:rPr>
        <w:t>je</w:t>
      </w:r>
      <w:r w:rsidR="00FE72A3">
        <w:rPr>
          <w:rFonts w:cs="Arial"/>
          <w:szCs w:val="22"/>
          <w:lang w:val="hr-HR"/>
        </w:rPr>
        <w:t xml:space="preserve"> drugim zakonom izričito predviđena </w:t>
      </w:r>
      <w:r w:rsidR="00D06FDD">
        <w:rPr>
          <w:rFonts w:cs="Arial"/>
          <w:szCs w:val="22"/>
          <w:lang w:val="hr-HR"/>
        </w:rPr>
        <w:t>prednost</w:t>
      </w:r>
      <w:r w:rsidR="00FE72A3">
        <w:rPr>
          <w:rFonts w:cs="Arial"/>
          <w:szCs w:val="22"/>
          <w:lang w:val="hr-HR"/>
        </w:rPr>
        <w:t xml:space="preserve"> odredaba toga zakona</w:t>
      </w:r>
      <w:r w:rsidR="00D06FDD">
        <w:rPr>
          <w:rFonts w:cs="Arial"/>
          <w:szCs w:val="22"/>
          <w:lang w:val="hr-HR"/>
        </w:rPr>
        <w:t xml:space="preserve"> nad „krovnom“ odredbom</w:t>
      </w:r>
      <w:r w:rsidR="00FE72A3">
        <w:rPr>
          <w:rFonts w:cs="Arial"/>
          <w:szCs w:val="22"/>
          <w:lang w:val="hr-HR"/>
        </w:rPr>
        <w:t>.</w:t>
      </w:r>
      <w:r w:rsidR="00116A57">
        <w:rPr>
          <w:rFonts w:cs="Arial"/>
          <w:szCs w:val="22"/>
          <w:lang w:val="hr-HR"/>
        </w:rPr>
        <w:t xml:space="preserve"> Time bi se izbjegl</w:t>
      </w:r>
      <w:r w:rsidR="00AD146A">
        <w:rPr>
          <w:rFonts w:cs="Arial"/>
          <w:szCs w:val="22"/>
          <w:lang w:val="hr-HR"/>
        </w:rPr>
        <w:t>i</w:t>
      </w:r>
      <w:r w:rsidR="00116A57">
        <w:rPr>
          <w:rFonts w:cs="Arial"/>
          <w:szCs w:val="22"/>
          <w:lang w:val="hr-HR"/>
        </w:rPr>
        <w:t xml:space="preserve"> problemi preklapanja jednako važećih zakona kao i potencijalne pojave dvostrukog progona</w:t>
      </w:r>
      <w:r w:rsidR="00362FC9">
        <w:rPr>
          <w:rFonts w:cs="Arial"/>
          <w:szCs w:val="22"/>
          <w:lang w:val="hr-HR"/>
        </w:rPr>
        <w:t>,</w:t>
      </w:r>
      <w:r w:rsidR="00116A57">
        <w:rPr>
          <w:rFonts w:cs="Arial"/>
          <w:szCs w:val="22"/>
          <w:lang w:val="hr-HR"/>
        </w:rPr>
        <w:t xml:space="preserve"> zabranjene gore diskutiranim načelom </w:t>
      </w:r>
      <w:r w:rsidR="00116A57" w:rsidRPr="00116A57">
        <w:rPr>
          <w:rFonts w:cs="Arial"/>
          <w:i/>
          <w:szCs w:val="22"/>
          <w:lang w:val="hr-HR"/>
        </w:rPr>
        <w:t>ne bis in idem</w:t>
      </w:r>
      <w:r w:rsidR="00D45632">
        <w:rPr>
          <w:rFonts w:cs="Arial"/>
          <w:szCs w:val="22"/>
          <w:lang w:val="hr-HR"/>
        </w:rPr>
        <w:t xml:space="preserve"> (vidi </w:t>
      </w:r>
      <w:r w:rsidR="00D45632" w:rsidRPr="00D45632">
        <w:rPr>
          <w:rFonts w:cs="Arial"/>
          <w:i/>
          <w:szCs w:val="22"/>
          <w:lang w:val="hr-HR"/>
        </w:rPr>
        <w:t>supra ad.</w:t>
      </w:r>
      <w:r w:rsidR="00D45632">
        <w:rPr>
          <w:rFonts w:cs="Arial"/>
          <w:szCs w:val="22"/>
          <w:lang w:val="hr-HR"/>
        </w:rPr>
        <w:t xml:space="preserve"> 9)</w:t>
      </w:r>
      <w:r w:rsidR="00116A57">
        <w:rPr>
          <w:rFonts w:cs="Arial"/>
          <w:szCs w:val="22"/>
          <w:lang w:val="hr-HR"/>
        </w:rPr>
        <w:t>.</w:t>
      </w:r>
    </w:p>
    <w:p w:rsidR="00D20440" w:rsidRPr="00B830BB" w:rsidRDefault="0027663C" w:rsidP="00F24FB2">
      <w:pPr>
        <w:spacing w:line="360" w:lineRule="auto"/>
        <w:ind w:firstLine="576"/>
        <w:jc w:val="both"/>
        <w:rPr>
          <w:rFonts w:cs="Arial"/>
          <w:szCs w:val="22"/>
          <w:lang w:val="hr-HR"/>
        </w:rPr>
      </w:pPr>
      <w:r>
        <w:rPr>
          <w:rFonts w:cs="Arial"/>
          <w:szCs w:val="22"/>
          <w:lang w:val="hr-HR"/>
        </w:rPr>
        <w:t>O</w:t>
      </w:r>
      <w:r w:rsidR="00D20440" w:rsidRPr="00B830BB">
        <w:rPr>
          <w:rFonts w:cs="Arial"/>
          <w:szCs w:val="22"/>
          <w:lang w:val="hr-HR"/>
        </w:rPr>
        <w:t>sim navedenog, za stvaranje uspješnih regulativnih rješenja i njihovu učinkovitu implementaciju od ključnog su značaja koordinacija u međunarodnoj sferi i usklađenost domaćih propisa s dokumentima donesenim na međunarodnoj razini.</w:t>
      </w:r>
      <w:r w:rsidR="007935C1">
        <w:rPr>
          <w:rFonts w:cs="Arial"/>
          <w:szCs w:val="22"/>
          <w:lang w:val="hr-HR"/>
        </w:rPr>
        <w:t xml:space="preserve"> U tom pogledu, </w:t>
      </w:r>
      <w:r w:rsidR="007935C1" w:rsidRPr="00B830BB">
        <w:rPr>
          <w:rFonts w:cs="Arial"/>
          <w:szCs w:val="22"/>
          <w:lang w:val="hr-HR"/>
        </w:rPr>
        <w:t xml:space="preserve">potrebno je </w:t>
      </w:r>
      <w:r w:rsidR="007935C1">
        <w:rPr>
          <w:rFonts w:cs="Arial"/>
          <w:szCs w:val="22"/>
          <w:lang w:val="hr-HR"/>
        </w:rPr>
        <w:t xml:space="preserve">na međunarodnoj razini </w:t>
      </w:r>
      <w:r w:rsidR="007935C1" w:rsidRPr="00B830BB">
        <w:rPr>
          <w:rFonts w:cs="Arial"/>
          <w:szCs w:val="22"/>
          <w:lang w:val="hr-HR"/>
        </w:rPr>
        <w:t>dati zajedničku</w:t>
      </w:r>
      <w:r w:rsidR="007935C1">
        <w:rPr>
          <w:rFonts w:cs="Arial"/>
          <w:szCs w:val="22"/>
          <w:lang w:val="hr-HR"/>
        </w:rPr>
        <w:t>, obuhvatnu</w:t>
      </w:r>
      <w:r w:rsidR="00D20440" w:rsidRPr="00B830BB">
        <w:rPr>
          <w:rFonts w:cs="Arial"/>
          <w:szCs w:val="22"/>
          <w:lang w:val="hr-HR"/>
        </w:rPr>
        <w:t xml:space="preserve"> definiciju govora mržnje, uvesti jedinstven okvir uređenja odgovornosti kojim bi se uredilo pitanje usmjerenja odgovornosti za sve vrste diskriminatornih, lažnih i degradirajućih sadržaja objavljenih putem interneta te, naposljetku, dati stajalište o tome koje se vrste sankcija smatraju prihvatljivima </w:t>
      </w:r>
      <w:r w:rsidR="00D20440" w:rsidRPr="00B830BB">
        <w:rPr>
          <w:rFonts w:cs="Arial"/>
          <w:szCs w:val="22"/>
          <w:lang w:val="hr-HR"/>
        </w:rPr>
        <w:lastRenderedPageBreak/>
        <w:t>za svako od pojedinih inkriminiranih djela.</w:t>
      </w:r>
      <w:r w:rsidR="007935C1">
        <w:rPr>
          <w:rFonts w:cs="Arial"/>
          <w:szCs w:val="22"/>
          <w:lang w:val="hr-HR"/>
        </w:rPr>
        <w:t xml:space="preserve"> U tom smjeru trebala bi onda ići i spomenuta „krovna“ odredba ili čak čitav novi opći </w:t>
      </w:r>
      <w:r w:rsidR="00FC3248">
        <w:rPr>
          <w:rFonts w:cs="Arial"/>
          <w:szCs w:val="22"/>
          <w:lang w:val="hr-HR"/>
        </w:rPr>
        <w:t xml:space="preserve">zakonodavni </w:t>
      </w:r>
      <w:r w:rsidR="007935C1">
        <w:rPr>
          <w:rFonts w:cs="Arial"/>
          <w:szCs w:val="22"/>
          <w:lang w:val="hr-HR"/>
        </w:rPr>
        <w:t>akt</w:t>
      </w:r>
      <w:r w:rsidR="00FC3248">
        <w:rPr>
          <w:rFonts w:cs="Arial"/>
          <w:szCs w:val="22"/>
          <w:lang w:val="hr-HR"/>
        </w:rPr>
        <w:t>.</w:t>
      </w:r>
    </w:p>
    <w:p w:rsidR="00A931D6" w:rsidRDefault="00D20440" w:rsidP="007751D9">
      <w:pPr>
        <w:spacing w:line="360" w:lineRule="auto"/>
        <w:ind w:firstLine="576"/>
        <w:jc w:val="both"/>
        <w:rPr>
          <w:rFonts w:cs="Arial"/>
          <w:szCs w:val="22"/>
          <w:lang w:val="hr-HR"/>
        </w:rPr>
      </w:pPr>
      <w:r w:rsidRPr="00B830BB">
        <w:rPr>
          <w:rFonts w:cs="Arial"/>
          <w:szCs w:val="22"/>
          <w:lang w:val="hr-HR"/>
        </w:rPr>
        <w:t xml:space="preserve">Zbog svoje prirode medija bez granica, internet nameće državama potrebu međusobne suradnje u svim aspektima kako bi se izbjegli slučajevi prelaska internetskih servisa na servere registrirane u državama s povoljnijom regulacijom potencijalno protuzakonitih djela, a samim time i s manjom vjerojatnošću progona njihovih počinitelja. </w:t>
      </w:r>
      <w:r w:rsidR="007935C1">
        <w:rPr>
          <w:rFonts w:cs="Arial"/>
          <w:szCs w:val="22"/>
          <w:lang w:val="hr-HR"/>
        </w:rPr>
        <w:t xml:space="preserve">U tu </w:t>
      </w:r>
      <w:r w:rsidR="00EC3C4C">
        <w:rPr>
          <w:rFonts w:cs="Arial"/>
          <w:szCs w:val="22"/>
          <w:lang w:val="hr-HR"/>
        </w:rPr>
        <w:t>svrhu, nužno je poticati razvija</w:t>
      </w:r>
      <w:r w:rsidR="007935C1">
        <w:rPr>
          <w:rFonts w:cs="Arial"/>
          <w:szCs w:val="22"/>
          <w:lang w:val="hr-HR"/>
        </w:rPr>
        <w:t>nje i primjenu ranije spomenutih mogućnosti međunarodne pravne pomoći</w:t>
      </w:r>
      <w:r w:rsidR="0083596E">
        <w:rPr>
          <w:rFonts w:cs="Arial"/>
          <w:szCs w:val="22"/>
          <w:lang w:val="hr-HR"/>
        </w:rPr>
        <w:t xml:space="preserve"> (</w:t>
      </w:r>
      <w:r w:rsidR="0083596E" w:rsidRPr="0083596E">
        <w:rPr>
          <w:rFonts w:cs="Arial"/>
          <w:i/>
          <w:szCs w:val="22"/>
          <w:lang w:val="hr-HR"/>
        </w:rPr>
        <w:t>supra ad.</w:t>
      </w:r>
      <w:r w:rsidR="0083596E">
        <w:rPr>
          <w:rFonts w:cs="Arial"/>
          <w:szCs w:val="22"/>
          <w:lang w:val="hr-HR"/>
        </w:rPr>
        <w:t xml:space="preserve"> 10.2.2)</w:t>
      </w:r>
      <w:r w:rsidR="007935C1">
        <w:rPr>
          <w:rFonts w:cs="Arial"/>
          <w:szCs w:val="22"/>
          <w:lang w:val="hr-HR"/>
        </w:rPr>
        <w:t>.</w:t>
      </w:r>
    </w:p>
    <w:p w:rsidR="00756DF7" w:rsidRDefault="00756DF7" w:rsidP="007751D9">
      <w:pPr>
        <w:spacing w:line="360" w:lineRule="auto"/>
        <w:ind w:firstLine="576"/>
        <w:jc w:val="both"/>
        <w:rPr>
          <w:rFonts w:cs="Arial"/>
          <w:szCs w:val="22"/>
          <w:lang w:val="hr-HR"/>
        </w:rPr>
      </w:pPr>
      <w:r>
        <w:rPr>
          <w:rFonts w:cs="Arial"/>
          <w:szCs w:val="22"/>
          <w:lang w:val="hr-HR"/>
        </w:rPr>
        <w:t>Prema tome, evidentno je da je potrebno daljnje usavršavanje regulacije ovoga područja, kako na međunarodnom tako i na nacionalnom planu no, osim toga, za uspješno funkcioniranje sustava nužno je dobro poznavanje materije od strane osoba u pravosudnom aparatu, posebice u sudstvu jer ni najbolja norma neće biti djelotvorna ukoliko ne bude pravilno tumačena te ukoliko na osnovu nje ne bude razvijena praksa poštivanja ljudskih prava i tolerancije različitosti.</w:t>
      </w:r>
    </w:p>
    <w:p w:rsidR="005B4E9F" w:rsidRPr="0051196D" w:rsidRDefault="002E4EFF" w:rsidP="0051196D">
      <w:pPr>
        <w:pStyle w:val="Heading3"/>
      </w:pPr>
      <w:bookmarkStart w:id="274" w:name="_Toc386285820"/>
      <w:bookmarkStart w:id="275" w:name="_Toc386498356"/>
      <w:bookmarkStart w:id="276" w:name="_Toc386563100"/>
      <w:bookmarkStart w:id="277" w:name="_Toc386567262"/>
      <w:bookmarkStart w:id="278" w:name="_Toc386619654"/>
      <w:r w:rsidRPr="00B830BB">
        <w:t>Edukacija</w:t>
      </w:r>
      <w:bookmarkEnd w:id="274"/>
      <w:bookmarkEnd w:id="275"/>
      <w:bookmarkEnd w:id="276"/>
      <w:bookmarkEnd w:id="277"/>
      <w:bookmarkEnd w:id="278"/>
    </w:p>
    <w:p w:rsidR="00F24FB2" w:rsidRPr="00B830BB" w:rsidRDefault="00F24FB2" w:rsidP="00F24FB2">
      <w:pPr>
        <w:pStyle w:val="Heading2"/>
        <w:numPr>
          <w:ilvl w:val="0"/>
          <w:numId w:val="0"/>
        </w:numPr>
        <w:ind w:left="576"/>
        <w:rPr>
          <w:rStyle w:val="Heading2Char"/>
          <w:rFonts w:cs="Arial"/>
        </w:rPr>
      </w:pPr>
    </w:p>
    <w:p w:rsidR="005B0609" w:rsidRDefault="004D3F16" w:rsidP="00F24FB2">
      <w:pPr>
        <w:spacing w:line="360" w:lineRule="auto"/>
        <w:ind w:firstLine="576"/>
        <w:jc w:val="both"/>
        <w:rPr>
          <w:rFonts w:cs="Arial"/>
          <w:szCs w:val="22"/>
          <w:lang w:val="hr-HR"/>
        </w:rPr>
      </w:pPr>
      <w:r w:rsidRPr="00B830BB">
        <w:rPr>
          <w:rFonts w:cs="Arial"/>
          <w:szCs w:val="22"/>
          <w:lang w:val="hr-HR"/>
        </w:rPr>
        <w:t>Uvjereni smo kako bi radi njegovog smanjenja trebalo početi s preventivnim mjerama,  a prva od njih jest edukacija</w:t>
      </w:r>
      <w:r w:rsidR="005B0609">
        <w:rPr>
          <w:rFonts w:cs="Arial"/>
          <w:szCs w:val="22"/>
          <w:lang w:val="hr-HR"/>
        </w:rPr>
        <w:t xml:space="preserve"> svih društvenih skupina, a posebice mladih</w:t>
      </w:r>
      <w:r w:rsidRPr="00B830BB">
        <w:rPr>
          <w:rFonts w:cs="Arial"/>
          <w:szCs w:val="22"/>
          <w:lang w:val="hr-HR"/>
        </w:rPr>
        <w:t>.</w:t>
      </w:r>
      <w:r w:rsidR="005B0609">
        <w:rPr>
          <w:rStyle w:val="FootnoteReference"/>
          <w:rFonts w:cs="Arial"/>
          <w:szCs w:val="22"/>
          <w:lang w:val="hr-HR"/>
        </w:rPr>
        <w:footnoteReference w:id="123"/>
      </w:r>
    </w:p>
    <w:p w:rsidR="00C57605" w:rsidRDefault="004D3F16" w:rsidP="00F24FB2">
      <w:pPr>
        <w:spacing w:line="360" w:lineRule="auto"/>
        <w:ind w:firstLine="576"/>
        <w:jc w:val="both"/>
        <w:rPr>
          <w:rFonts w:cs="Arial"/>
          <w:szCs w:val="22"/>
          <w:lang w:val="hr-HR"/>
        </w:rPr>
      </w:pPr>
      <w:r w:rsidRPr="00B830BB">
        <w:rPr>
          <w:rFonts w:cs="Arial"/>
          <w:szCs w:val="22"/>
          <w:lang w:val="hr-HR"/>
        </w:rPr>
        <w:t xml:space="preserve">U Republici Hrvatskoj ne postoji sustavna edukacija u kurikulumima osnovnih i (različitih vrsta) srednjih škola. </w:t>
      </w:r>
      <w:r w:rsidR="00CA51CA" w:rsidRPr="00B830BB">
        <w:rPr>
          <w:rFonts w:cs="Arial"/>
          <w:szCs w:val="22"/>
          <w:lang w:val="hr-HR"/>
        </w:rPr>
        <w:t xml:space="preserve">Mogućnost </w:t>
      </w:r>
      <w:r w:rsidR="00873692" w:rsidRPr="00B830BB">
        <w:rPr>
          <w:rFonts w:cs="Arial"/>
          <w:szCs w:val="22"/>
          <w:lang w:val="hr-HR"/>
        </w:rPr>
        <w:t xml:space="preserve">se ipak otvara uvođenjem Građanskog odgoja u kurikulum obrazovanja od početka akademske godine 2014./2015.  Budući da je sastavna cjelina i „Ljudska prava“, pod pravom na izražavanjem bilo bi moguće dotaknuti se i problematike interneta te ciljano govora mržnje. </w:t>
      </w:r>
    </w:p>
    <w:p w:rsidR="0009608C" w:rsidRPr="00B830BB" w:rsidRDefault="00B941C9" w:rsidP="00F24FB2">
      <w:pPr>
        <w:spacing w:line="360" w:lineRule="auto"/>
        <w:ind w:firstLine="576"/>
        <w:jc w:val="both"/>
        <w:rPr>
          <w:rFonts w:cs="Arial"/>
          <w:szCs w:val="22"/>
          <w:lang w:val="hr-HR"/>
        </w:rPr>
      </w:pPr>
      <w:r w:rsidRPr="00B830BB">
        <w:rPr>
          <w:rFonts w:cs="Arial"/>
          <w:szCs w:val="22"/>
          <w:lang w:val="hr-HR"/>
        </w:rPr>
        <w:t>Bitno je napomenuti kako Republika Hrvatska ima i moralnu obvezu</w:t>
      </w:r>
      <w:r w:rsidR="00F902BB" w:rsidRPr="00B830BB">
        <w:rPr>
          <w:rFonts w:cs="Arial"/>
          <w:szCs w:val="22"/>
          <w:lang w:val="hr-HR"/>
        </w:rPr>
        <w:t xml:space="preserve">. Naime, Ministarstvo socijalne politike i mladih se uključilo u kampanju Vijeća Europe „Ne govoru mržnje“, hrvatskom inačicom „Dislajkam mržnju“. Glavna ciljna skupina te kampanje jesu upravo učenici. </w:t>
      </w:r>
    </w:p>
    <w:p w:rsidR="00696308" w:rsidRPr="00B830BB" w:rsidRDefault="00742045" w:rsidP="00F24FB2">
      <w:pPr>
        <w:spacing w:line="360" w:lineRule="auto"/>
        <w:ind w:firstLine="576"/>
        <w:jc w:val="both"/>
        <w:rPr>
          <w:rFonts w:cs="Arial"/>
          <w:szCs w:val="22"/>
          <w:lang w:val="hr-HR"/>
        </w:rPr>
      </w:pPr>
      <w:r w:rsidRPr="00B830BB">
        <w:rPr>
          <w:rFonts w:cs="Arial"/>
          <w:szCs w:val="22"/>
          <w:lang w:val="hr-HR"/>
        </w:rPr>
        <w:t xml:space="preserve">Nadalje, </w:t>
      </w:r>
      <w:r w:rsidR="00F24FB2" w:rsidRPr="00B830BB">
        <w:rPr>
          <w:rFonts w:cs="Arial"/>
          <w:szCs w:val="22"/>
          <w:lang w:val="hr-HR"/>
        </w:rPr>
        <w:t xml:space="preserve">edukaciju trebamo ekstenzivno tumačiti te pod taj pojam podvesti i edukaciju novinara i drugih osoba pri obnašanju različitih funkcija susreću s govorom mržnje na internetu (moderatori), ali i  suci, sudski vještaci za telekomunikacije te naposljetku žrtve. </w:t>
      </w:r>
    </w:p>
    <w:p w:rsidR="002E4EFF" w:rsidRPr="00B830BB" w:rsidRDefault="002E4EFF" w:rsidP="002E4EFF">
      <w:pPr>
        <w:spacing w:line="360" w:lineRule="auto"/>
        <w:jc w:val="both"/>
        <w:rPr>
          <w:rFonts w:cs="Arial"/>
          <w:szCs w:val="22"/>
          <w:lang w:val="hr-HR"/>
        </w:rPr>
      </w:pPr>
      <w:r w:rsidRPr="00B830BB">
        <w:rPr>
          <w:rFonts w:cs="Arial"/>
          <w:szCs w:val="22"/>
          <w:lang w:val="hr-HR"/>
        </w:rPr>
        <w:lastRenderedPageBreak/>
        <w:t xml:space="preserve">Neki od načina ulaganja u edukaciju jesu: </w:t>
      </w:r>
    </w:p>
    <w:p w:rsidR="002E4EFF" w:rsidRPr="00B830BB" w:rsidRDefault="002E4EFF" w:rsidP="006A1867">
      <w:pPr>
        <w:pStyle w:val="ListParagraph"/>
        <w:numPr>
          <w:ilvl w:val="0"/>
          <w:numId w:val="8"/>
        </w:numPr>
        <w:spacing w:line="360" w:lineRule="auto"/>
        <w:jc w:val="both"/>
        <w:rPr>
          <w:rFonts w:cs="Arial"/>
          <w:szCs w:val="22"/>
          <w:lang w:val="hr-HR"/>
        </w:rPr>
      </w:pPr>
      <w:r w:rsidRPr="00B830BB">
        <w:rPr>
          <w:rFonts w:cs="Arial"/>
          <w:szCs w:val="22"/>
          <w:lang w:val="hr-HR"/>
        </w:rPr>
        <w:t>posvetiti pozornost govoru mržnje i predrasudama pri sastavljanju školskih programa i pisanju udžbenika</w:t>
      </w:r>
    </w:p>
    <w:p w:rsidR="002E4EFF" w:rsidRPr="00B830BB" w:rsidRDefault="002E4EFF" w:rsidP="006A1867">
      <w:pPr>
        <w:pStyle w:val="ListParagraph"/>
        <w:numPr>
          <w:ilvl w:val="0"/>
          <w:numId w:val="8"/>
        </w:numPr>
        <w:spacing w:line="360" w:lineRule="auto"/>
        <w:jc w:val="both"/>
        <w:rPr>
          <w:rFonts w:cs="Arial"/>
          <w:szCs w:val="22"/>
          <w:lang w:val="hr-HR"/>
        </w:rPr>
      </w:pPr>
      <w:r w:rsidRPr="00B830BB">
        <w:rPr>
          <w:rFonts w:cs="Arial"/>
          <w:szCs w:val="22"/>
          <w:lang w:val="hr-HR"/>
        </w:rPr>
        <w:t>izdvojiti novac za istraživanje štetnosti govora mržnje i  prikazivanje istoga javnosti</w:t>
      </w:r>
    </w:p>
    <w:p w:rsidR="002E4EFF" w:rsidRPr="00B830BB" w:rsidRDefault="002E4EFF" w:rsidP="006A1867">
      <w:pPr>
        <w:pStyle w:val="ListParagraph"/>
        <w:numPr>
          <w:ilvl w:val="0"/>
          <w:numId w:val="8"/>
        </w:numPr>
        <w:spacing w:line="360" w:lineRule="auto"/>
        <w:jc w:val="both"/>
        <w:rPr>
          <w:rFonts w:cs="Arial"/>
          <w:szCs w:val="22"/>
          <w:lang w:val="hr-HR"/>
        </w:rPr>
      </w:pPr>
      <w:r w:rsidRPr="00B830BB">
        <w:rPr>
          <w:rFonts w:cs="Arial"/>
          <w:szCs w:val="22"/>
          <w:lang w:val="hr-HR"/>
        </w:rPr>
        <w:t>ulagati sredstva u organiziranje tribina i sličnih platformi za interakciju različitih društvenih grupa da bi se ohrabrila razmjena mišljenja te rušenje stereotipa i predrasuda</w:t>
      </w:r>
    </w:p>
    <w:p w:rsidR="002E4EFF" w:rsidRPr="00B830BB" w:rsidRDefault="002E4EFF" w:rsidP="006A1867">
      <w:pPr>
        <w:pStyle w:val="ListParagraph"/>
        <w:numPr>
          <w:ilvl w:val="0"/>
          <w:numId w:val="8"/>
        </w:numPr>
        <w:spacing w:line="360" w:lineRule="auto"/>
        <w:jc w:val="both"/>
        <w:rPr>
          <w:rFonts w:cs="Arial"/>
          <w:szCs w:val="22"/>
          <w:lang w:val="hr-HR"/>
        </w:rPr>
      </w:pPr>
      <w:r w:rsidRPr="00B830BB">
        <w:rPr>
          <w:rFonts w:cs="Arial"/>
          <w:szCs w:val="22"/>
          <w:lang w:val="hr-HR"/>
        </w:rPr>
        <w:t xml:space="preserve">uključiti u </w:t>
      </w:r>
      <w:r w:rsidR="00D20440" w:rsidRPr="00B830BB">
        <w:rPr>
          <w:rFonts w:cs="Arial"/>
          <w:szCs w:val="22"/>
          <w:lang w:val="hr-HR"/>
        </w:rPr>
        <w:t xml:space="preserve">Kodeks časti hrvatskih novinara </w:t>
      </w:r>
    </w:p>
    <w:p w:rsidR="002E4EFF" w:rsidRPr="00B830BB" w:rsidRDefault="002E4EFF" w:rsidP="006A1867">
      <w:pPr>
        <w:pStyle w:val="ListParagraph"/>
        <w:numPr>
          <w:ilvl w:val="0"/>
          <w:numId w:val="8"/>
        </w:numPr>
        <w:spacing w:line="360" w:lineRule="auto"/>
        <w:jc w:val="both"/>
        <w:rPr>
          <w:rFonts w:cs="Arial"/>
          <w:szCs w:val="22"/>
          <w:lang w:val="hr-HR"/>
        </w:rPr>
      </w:pPr>
      <w:r w:rsidRPr="00B830BB">
        <w:rPr>
          <w:rFonts w:cs="Arial"/>
          <w:szCs w:val="22"/>
          <w:lang w:val="hr-HR"/>
        </w:rPr>
        <w:t>poticati kampanje za podizanje svijesti</w:t>
      </w:r>
    </w:p>
    <w:p w:rsidR="002E4EFF" w:rsidRPr="00B830BB" w:rsidRDefault="00742045" w:rsidP="006A1867">
      <w:pPr>
        <w:pStyle w:val="ListParagraph"/>
        <w:numPr>
          <w:ilvl w:val="0"/>
          <w:numId w:val="8"/>
        </w:numPr>
        <w:spacing w:line="360" w:lineRule="auto"/>
        <w:jc w:val="both"/>
        <w:rPr>
          <w:rFonts w:cs="Arial"/>
          <w:szCs w:val="22"/>
          <w:lang w:val="hr-HR"/>
        </w:rPr>
      </w:pPr>
      <w:r w:rsidRPr="00B830BB">
        <w:rPr>
          <w:rFonts w:cs="Arial"/>
          <w:szCs w:val="22"/>
          <w:lang w:val="hr-HR"/>
        </w:rPr>
        <w:t xml:space="preserve">podizati svijest </w:t>
      </w:r>
      <w:r w:rsidR="002E4EFF" w:rsidRPr="00B830BB">
        <w:rPr>
          <w:rFonts w:cs="Arial"/>
          <w:szCs w:val="22"/>
          <w:lang w:val="hr-HR"/>
        </w:rPr>
        <w:t>ugrožene skupine o njihovim pravima</w:t>
      </w:r>
    </w:p>
    <w:p w:rsidR="002E4EFF" w:rsidRPr="00B830BB" w:rsidRDefault="002E4EFF" w:rsidP="006A1867">
      <w:pPr>
        <w:pStyle w:val="ListParagraph"/>
        <w:numPr>
          <w:ilvl w:val="0"/>
          <w:numId w:val="8"/>
        </w:numPr>
        <w:spacing w:line="360" w:lineRule="auto"/>
        <w:jc w:val="both"/>
        <w:rPr>
          <w:rFonts w:cs="Arial"/>
          <w:szCs w:val="22"/>
          <w:lang w:val="hr-HR"/>
        </w:rPr>
      </w:pPr>
      <w:r w:rsidRPr="00B830BB">
        <w:rPr>
          <w:rFonts w:cs="Arial"/>
          <w:szCs w:val="22"/>
          <w:lang w:val="hr-HR"/>
        </w:rPr>
        <w:t>ohrabrivati žrtve da prijavljuju djela</w:t>
      </w:r>
    </w:p>
    <w:p w:rsidR="002E4EFF" w:rsidRPr="00B830BB" w:rsidRDefault="002E4EFF" w:rsidP="006A1867">
      <w:pPr>
        <w:pStyle w:val="ListParagraph"/>
        <w:numPr>
          <w:ilvl w:val="0"/>
          <w:numId w:val="8"/>
        </w:numPr>
        <w:spacing w:line="360" w:lineRule="auto"/>
        <w:jc w:val="both"/>
        <w:rPr>
          <w:rFonts w:cs="Arial"/>
          <w:szCs w:val="22"/>
          <w:lang w:val="hr-HR"/>
        </w:rPr>
      </w:pPr>
      <w:r w:rsidRPr="00B830BB">
        <w:rPr>
          <w:rFonts w:cs="Arial"/>
          <w:szCs w:val="22"/>
          <w:lang w:val="hr-HR"/>
        </w:rPr>
        <w:t>koristeći snagu interneta kao medija s najsnažnijim djelovanjem u pozitivne svrhe</w:t>
      </w:r>
    </w:p>
    <w:p w:rsidR="002E4EFF" w:rsidRPr="00B830BB" w:rsidRDefault="002E4EFF" w:rsidP="006A1867">
      <w:pPr>
        <w:pStyle w:val="ListParagraph"/>
        <w:numPr>
          <w:ilvl w:val="0"/>
          <w:numId w:val="8"/>
        </w:numPr>
        <w:spacing w:line="360" w:lineRule="auto"/>
        <w:jc w:val="both"/>
        <w:rPr>
          <w:rFonts w:cs="Arial"/>
          <w:szCs w:val="22"/>
          <w:lang w:val="hr-HR"/>
        </w:rPr>
      </w:pPr>
      <w:r w:rsidRPr="00B830BB">
        <w:rPr>
          <w:rFonts w:cs="Arial"/>
          <w:szCs w:val="22"/>
          <w:lang w:val="hr-HR"/>
        </w:rPr>
        <w:t>obvezatnost multidisciplinarnog pristupa i suradnje svih aktera</w:t>
      </w:r>
    </w:p>
    <w:p w:rsidR="007634DE" w:rsidRPr="00B830BB" w:rsidRDefault="00B941C9" w:rsidP="002C1F24">
      <w:pPr>
        <w:pStyle w:val="Heading3"/>
      </w:pPr>
      <w:bookmarkStart w:id="279" w:name="_Toc386285821"/>
      <w:bookmarkStart w:id="280" w:name="_Toc386498357"/>
      <w:bookmarkStart w:id="281" w:name="_Toc386563101"/>
      <w:bookmarkStart w:id="282" w:name="_Toc386567263"/>
      <w:bookmarkStart w:id="283" w:name="_Toc386619655"/>
      <w:r w:rsidRPr="00B830BB">
        <w:t>Samo</w:t>
      </w:r>
      <w:r w:rsidR="00696308" w:rsidRPr="00B830BB">
        <w:t>regulacija medija</w:t>
      </w:r>
      <w:bookmarkEnd w:id="279"/>
      <w:bookmarkEnd w:id="280"/>
      <w:bookmarkEnd w:id="281"/>
      <w:bookmarkEnd w:id="282"/>
      <w:bookmarkEnd w:id="283"/>
    </w:p>
    <w:p w:rsidR="005C6530" w:rsidRPr="00B830BB" w:rsidRDefault="005C6530" w:rsidP="005C6530">
      <w:pPr>
        <w:pStyle w:val="Heading2"/>
        <w:numPr>
          <w:ilvl w:val="0"/>
          <w:numId w:val="0"/>
        </w:numPr>
        <w:rPr>
          <w:rFonts w:cs="Arial"/>
        </w:rPr>
      </w:pPr>
    </w:p>
    <w:p w:rsidR="008B6D5D" w:rsidRPr="00B830BB" w:rsidRDefault="00E20E90" w:rsidP="005C6530">
      <w:pPr>
        <w:spacing w:line="360" w:lineRule="auto"/>
        <w:ind w:firstLine="708"/>
        <w:jc w:val="both"/>
        <w:rPr>
          <w:rFonts w:cs="Arial"/>
          <w:szCs w:val="22"/>
          <w:lang w:val="hr-HR"/>
        </w:rPr>
      </w:pPr>
      <w:r w:rsidRPr="00B830BB">
        <w:rPr>
          <w:rFonts w:cs="Arial"/>
          <w:szCs w:val="22"/>
          <w:lang w:val="hr-HR"/>
        </w:rPr>
        <w:t>Pojavom interneta vrlo brzo su svi mediji otvorili vlastite stranice na internetu. Brojni izdavači novina su otvorili portale gdje su paralelno s tiskanom objavom, a često i prije tiskanog izdanja, objavljivali članke. Mnogi su otvorili blogove. Svima je zajednič</w:t>
      </w:r>
      <w:r w:rsidR="007D22EC">
        <w:rPr>
          <w:rFonts w:cs="Arial"/>
          <w:szCs w:val="22"/>
          <w:lang w:val="hr-HR"/>
        </w:rPr>
        <w:t>k</w:t>
      </w:r>
      <w:r w:rsidRPr="00B830BB">
        <w:rPr>
          <w:rFonts w:cs="Arial"/>
          <w:szCs w:val="22"/>
          <w:lang w:val="hr-HR"/>
        </w:rPr>
        <w:t xml:space="preserve">a činjenica da su bili omogućeni i komentari na članke. Isprva su svi komentari bili anonimni, a nešto kasnije se ponudila opcija otkrivanja identiteta na način da bi se objavila e-mail adresa ili ime i prezime profila s društvenih mreža. </w:t>
      </w:r>
      <w:r w:rsidR="007634DE" w:rsidRPr="00B830BB">
        <w:rPr>
          <w:rFonts w:cs="Arial"/>
          <w:szCs w:val="22"/>
          <w:lang w:val="hr-HR"/>
        </w:rPr>
        <w:t xml:space="preserve">Ubrzo je postalo razvidno kako većina komentatora ne komentira sadržaj članka nego osobe koje se u člancima spominju, bilo lik i djelo, bilo neke osobine povezivajući ih s društvenim skupinama kojima pripadaju. Tako je nastala potreba za određenim reguliranjem komentara. </w:t>
      </w:r>
    </w:p>
    <w:p w:rsidR="008B6D5D" w:rsidRPr="00B830BB" w:rsidRDefault="008B6D5D" w:rsidP="002C1F24">
      <w:pPr>
        <w:pStyle w:val="Heading4"/>
      </w:pPr>
      <w:bookmarkStart w:id="284" w:name="_Toc386285822"/>
      <w:bookmarkStart w:id="285" w:name="_Toc386498358"/>
      <w:bookmarkStart w:id="286" w:name="_Toc386563102"/>
      <w:bookmarkStart w:id="287" w:name="_Toc386567264"/>
      <w:bookmarkStart w:id="288" w:name="_Toc386619656"/>
      <w:r w:rsidRPr="00B830BB">
        <w:t xml:space="preserve">Aktivno djelovanje </w:t>
      </w:r>
      <w:proofErr w:type="gramStart"/>
      <w:r w:rsidRPr="00B830BB">
        <w:t>na</w:t>
      </w:r>
      <w:proofErr w:type="gramEnd"/>
      <w:r w:rsidRPr="00B830BB">
        <w:t xml:space="preserve"> uklanjanju diskriminatornih sadržaja</w:t>
      </w:r>
      <w:bookmarkEnd w:id="284"/>
      <w:bookmarkEnd w:id="285"/>
      <w:bookmarkEnd w:id="286"/>
      <w:bookmarkEnd w:id="287"/>
      <w:bookmarkEnd w:id="288"/>
    </w:p>
    <w:p w:rsidR="008B6D5D" w:rsidRPr="00B830BB" w:rsidRDefault="008B6D5D" w:rsidP="008B6D5D">
      <w:pPr>
        <w:pStyle w:val="Heading2"/>
        <w:numPr>
          <w:ilvl w:val="0"/>
          <w:numId w:val="0"/>
        </w:numPr>
        <w:ind w:left="576"/>
        <w:rPr>
          <w:rFonts w:cs="Arial"/>
        </w:rPr>
      </w:pPr>
    </w:p>
    <w:p w:rsidR="008B6D5D" w:rsidRPr="00B830BB" w:rsidRDefault="008B6D5D" w:rsidP="005C6530">
      <w:pPr>
        <w:spacing w:line="360" w:lineRule="auto"/>
        <w:ind w:firstLine="708"/>
        <w:jc w:val="both"/>
        <w:rPr>
          <w:rFonts w:cs="Arial"/>
          <w:szCs w:val="22"/>
          <w:lang w:val="hr-HR"/>
        </w:rPr>
      </w:pPr>
      <w:r w:rsidRPr="00B830BB">
        <w:rPr>
          <w:rFonts w:cs="Arial"/>
          <w:szCs w:val="22"/>
          <w:lang w:val="hr-HR"/>
        </w:rPr>
        <w:t>Eventualna alternativa ograničavanju odnosno zabrani anonimnosti jest aktivan rad vlasnika internetskih portala, blogova, foruma i drugih stranica na uklanjanju svih vrsta izražavanja koje u sebi sadrže govor mržnje ili na njega potiču. Postoji više načina da se to učini no najšire mogućnosti zasigurno su nalaze u programskom filtriranju sadržaja, individualnom pregledavanju komentara, uklanjanju spornih objava na zahtjev čitatelja, blokiranju komentatora recidivista te, u nedostatku boljeg rješenja, ukidanju dijela namijenjenog komentiranju.</w:t>
      </w:r>
    </w:p>
    <w:p w:rsidR="00F579EF" w:rsidRPr="00B830BB" w:rsidRDefault="008B6D5D" w:rsidP="005C6530">
      <w:pPr>
        <w:spacing w:line="360" w:lineRule="auto"/>
        <w:ind w:firstLine="708"/>
        <w:jc w:val="both"/>
        <w:rPr>
          <w:rFonts w:cs="Arial"/>
          <w:szCs w:val="22"/>
          <w:lang w:val="hr-HR"/>
        </w:rPr>
      </w:pPr>
      <w:r w:rsidRPr="00B830BB">
        <w:rPr>
          <w:rFonts w:cs="Arial"/>
          <w:szCs w:val="22"/>
          <w:lang w:val="hr-HR"/>
        </w:rPr>
        <w:t xml:space="preserve">Ugradnja automatskih filtera jedna je od najvažnijih metoda u borbi protiv nedopuštenih oblika izražavanja na internetu, a primjenjuje je veliki broj novinskih portala u Hrvatskoj i svijetu. Ipak, važan faktor u procjeni efikasnosti ovoga sredstva jest činjenica da </w:t>
      </w:r>
      <w:r w:rsidRPr="00B830BB">
        <w:rPr>
          <w:rFonts w:cs="Arial"/>
          <w:szCs w:val="22"/>
          <w:lang w:val="hr-HR"/>
        </w:rPr>
        <w:lastRenderedPageBreak/>
        <w:t>ono samostalno nipošto nije dostatno te ga je u svakom slučaju potrebno nadopuniti ručnim moderiranjem. Naime, rad takvih programa temelji se na principu prepoznavanja određenog broja neprimjerenih izraza pohranjenih u programskoj bazi. Sam proces obično se odvija na način da se svi korisnički sadržaji prilikom objavljivanja automatski uspoređuju sa spomenutom bazom te ukoliko se neki dio sadržaja preklapa s riječima sadržanim u bazi on biva izbrisan</w:t>
      </w:r>
      <w:r w:rsidR="005C6530" w:rsidRPr="00B830BB">
        <w:rPr>
          <w:rFonts w:cs="Arial"/>
          <w:szCs w:val="22"/>
          <w:lang w:val="hr-HR"/>
        </w:rPr>
        <w:t>,</w:t>
      </w:r>
      <w:r w:rsidRPr="00B830BB">
        <w:rPr>
          <w:rFonts w:cs="Arial"/>
          <w:szCs w:val="22"/>
          <w:lang w:val="hr-HR"/>
        </w:rPr>
        <w:t xml:space="preserve"> a umjesto njega automatski se postavlja obavijest o uklanjanju. Dakle, ishod ovog postupka u konačnici jest zabrana prikaza svakog sadržaja koji nije u skladu s pravilima postavljenim na internetskoj stranici odnosno koji je suprotan važećim propisima. </w:t>
      </w:r>
    </w:p>
    <w:p w:rsidR="00746E1A" w:rsidRPr="00B830BB" w:rsidRDefault="008B6D5D" w:rsidP="005C6530">
      <w:pPr>
        <w:spacing w:line="360" w:lineRule="auto"/>
        <w:ind w:firstLine="708"/>
        <w:jc w:val="both"/>
        <w:rPr>
          <w:rFonts w:cs="Arial"/>
          <w:szCs w:val="22"/>
          <w:lang w:val="hr-HR"/>
        </w:rPr>
      </w:pPr>
      <w:r w:rsidRPr="00B830BB">
        <w:rPr>
          <w:rFonts w:cs="Arial"/>
          <w:szCs w:val="22"/>
          <w:lang w:val="hr-HR"/>
        </w:rPr>
        <w:t>Nedostatak ovog mehanizma jest u tome što popis zabranjenih izraza nije iscrpan, što dovodi do pomanjkanja fleksibilnosti čitavog sustava koji time postaje neefikasan. Unatoč njihovoj brzini i preciznosti, računalni sustavi još uvijek ne mogu nadmašiti kreativnost ljudskog uma koja dolazi do izražaja upravo u situacijama namjernog zamjenjivanja riječi koje su poznate kao zabranjene onima koje to još nisu, uspijevajući pritom ipak ispuniti nakanu same poruke – dakle, diskriminaciju, govor mržnje i uvrede.</w:t>
      </w:r>
      <w:r w:rsidR="00746E1A" w:rsidRPr="00B830BB">
        <w:rPr>
          <w:rFonts w:cs="Arial"/>
          <w:szCs w:val="22"/>
          <w:lang w:val="hr-HR"/>
        </w:rPr>
        <w:t xml:space="preserve"> S obzirom na još nerazjašnjenu pravni situaciju u slučaju Delfi AS protiv Estonije, nismo ni sigurni koliko je uputno samo usvojiti takvu metodu, no sasvim je sigurno kako je proaktivan pristup na internetu ključan. </w:t>
      </w:r>
    </w:p>
    <w:p w:rsidR="00746E1A" w:rsidRPr="00B830BB" w:rsidRDefault="008B6D5D" w:rsidP="00F579EF">
      <w:pPr>
        <w:spacing w:line="360" w:lineRule="auto"/>
        <w:ind w:firstLine="708"/>
        <w:jc w:val="both"/>
        <w:rPr>
          <w:rFonts w:cs="Arial"/>
          <w:szCs w:val="22"/>
          <w:lang w:val="hr-HR"/>
        </w:rPr>
      </w:pPr>
      <w:r w:rsidRPr="00B830BB">
        <w:rPr>
          <w:rFonts w:cs="Arial"/>
          <w:szCs w:val="22"/>
          <w:lang w:val="hr-HR"/>
        </w:rPr>
        <w:t xml:space="preserve">Sljedeća razina djelovanja jest administriranje korisničkih objava njihovim pregledavanjem i potom brisanjem svih onih koje se ocijene kao neprimjerene. Na taj način rješava se problem prilagodljivosti spomenut kod programskog filtriranja no i ovaj pristup ima određene </w:t>
      </w:r>
      <w:r w:rsidR="000F01E6" w:rsidRPr="00B830BB">
        <w:rPr>
          <w:rFonts w:cs="Arial"/>
          <w:szCs w:val="22"/>
          <w:lang w:val="hr-HR"/>
        </w:rPr>
        <w:t>nedostatke</w:t>
      </w:r>
      <w:r w:rsidRPr="00B830BB">
        <w:rPr>
          <w:rFonts w:cs="Arial"/>
          <w:szCs w:val="22"/>
          <w:lang w:val="hr-HR"/>
        </w:rPr>
        <w:t xml:space="preserve">. Prije svega, kod velikog broja interaktivnih internetskih stranica ova metoda nije primjenjiva zbog nedostatka kadrova koji bi obavljali navedenu funkciju. Primjerice, većinu blogova pišu i uređuju pojedinci kojima je praktično nemoguće samostalno pregledati sve sadržaje koje na njihove stranice postave posjetitelji. Situacija je slična i s dobrim dijelom novinskih i informativnih portala koji jednostavno nemaju dostatne ljudske resurse koji bi uspješno mogli administrirati ogromne količine komentara koje postavljaju njihovi čitatelji. No, čak i tamo gdje postoji potrebna infrastruktura pojavljuje se problem nemogućnosti djelovanja u realnom vremenu. Pravodobna reakcija na sve komentare korisnika još je uvijek iznad ljudskih sposobnosti, a svaka naknadna reakcija ujedno je i zakašnjela te samim time u velikom dijelu slučajeva bespredmetna budući da je izneseni sadržaj do tada već stigao do drugih korisnika i vjerojatno skrenuo fokus rasprave u pogrešnom smjeru. </w:t>
      </w:r>
    </w:p>
    <w:p w:rsidR="008B6D5D" w:rsidRPr="00B830BB" w:rsidRDefault="008B6D5D" w:rsidP="00F579EF">
      <w:pPr>
        <w:spacing w:line="360" w:lineRule="auto"/>
        <w:ind w:firstLine="708"/>
        <w:jc w:val="both"/>
        <w:rPr>
          <w:rFonts w:cs="Arial"/>
          <w:szCs w:val="22"/>
          <w:lang w:val="hr-HR"/>
        </w:rPr>
      </w:pPr>
      <w:r w:rsidRPr="00B830BB">
        <w:rPr>
          <w:rFonts w:cs="Arial"/>
          <w:szCs w:val="22"/>
          <w:lang w:val="hr-HR"/>
        </w:rPr>
        <w:t>Daljnja stavka u razmatranju nedostataka ove metode jest neminovna subjektivnost procjene. Postavlja se pitanje kompetentnosti moderatora da pravilno izdvoje iz velikog broja komentara upravo one koje je potrebno izdvojiti, poštujući pritom do najviše dopuštene razine slobodu govora kao jedno od temeljnih prava čovjeka koje smije biti ograničeno samo onda i u onoj mje</w:t>
      </w:r>
      <w:r w:rsidR="008C3545">
        <w:rPr>
          <w:rFonts w:cs="Arial"/>
          <w:szCs w:val="22"/>
          <w:lang w:val="hr-HR"/>
        </w:rPr>
        <w:t xml:space="preserve">ri u kojoj je to nužno </w:t>
      </w:r>
      <w:r w:rsidRPr="00B830BB">
        <w:rPr>
          <w:rFonts w:cs="Arial"/>
          <w:szCs w:val="22"/>
          <w:lang w:val="hr-HR"/>
        </w:rPr>
        <w:t>da bi se zaštitili drugi prevladavajući interesi društva.</w:t>
      </w:r>
      <w:r w:rsidRPr="00B830BB">
        <w:rPr>
          <w:rFonts w:cs="Arial"/>
          <w:szCs w:val="22"/>
          <w:vertAlign w:val="superscript"/>
          <w:lang w:val="hr-HR"/>
        </w:rPr>
        <w:t xml:space="preserve"> </w:t>
      </w:r>
      <w:r w:rsidRPr="00B830BB">
        <w:rPr>
          <w:rFonts w:cs="Arial"/>
          <w:szCs w:val="22"/>
          <w:lang w:val="hr-HR"/>
        </w:rPr>
        <w:t xml:space="preserve">U </w:t>
      </w:r>
      <w:r w:rsidRPr="00B830BB">
        <w:rPr>
          <w:rFonts w:cs="Arial"/>
          <w:szCs w:val="22"/>
          <w:lang w:val="hr-HR"/>
        </w:rPr>
        <w:lastRenderedPageBreak/>
        <w:t>skladu s time, sasvim je legitimno pitanje stvarne objektivnosti kriterija koje moderatori primjenjuju, kao i pitanje njihovog poznavanja i poštivanja pravnih načela i instituta kojima je to područje regulirano. Naime, prepoznavanje granice na kojoj sloboda govora prerasta u govor mržnje odnosno drugo zabranjeno izražavanje često je otežana i samim pravnicima. Na ove sporne aspekte nužno se nadovezuje i problematika namjernog cenzuriranja zakonom dopuštenih korisničkih objava kojima se kritizira kvaliteta same internetske stranice te kredibilitet iznesenih informacija, što nesumnjivo predstavlja nedozvoljeni zahvat u slobodu izražavanja.</w:t>
      </w:r>
    </w:p>
    <w:p w:rsidR="008B6D5D" w:rsidRPr="00B830BB" w:rsidRDefault="008B6D5D" w:rsidP="00F579EF">
      <w:pPr>
        <w:spacing w:line="360" w:lineRule="auto"/>
        <w:ind w:firstLine="708"/>
        <w:jc w:val="both"/>
        <w:rPr>
          <w:rFonts w:cs="Arial"/>
          <w:szCs w:val="22"/>
          <w:lang w:val="hr-HR"/>
        </w:rPr>
      </w:pPr>
      <w:r w:rsidRPr="00B830BB">
        <w:rPr>
          <w:rFonts w:cs="Arial"/>
          <w:szCs w:val="22"/>
          <w:lang w:val="hr-HR"/>
        </w:rPr>
        <w:t>Još jedno sredstvo utjecanja na strukturu objava jest uklanjanje spornih sadržaja na zahtjev drugih čitatelja. Kombinacijom ovog mehanizma s prethodnim načinom moderacije može se odgovoriti na poteškoće proizašle iz nemogućnosti reagiranja u realnom vremenu no ni ovaj način samostalno nije dovoljno efikasan budući da i njegova objektivnost i stručnost mogu biti dovedeni u pitanje.</w:t>
      </w:r>
    </w:p>
    <w:p w:rsidR="008B6D5D" w:rsidRPr="00B830BB" w:rsidRDefault="008B6D5D" w:rsidP="00F579EF">
      <w:pPr>
        <w:spacing w:line="360" w:lineRule="auto"/>
        <w:ind w:firstLine="708"/>
        <w:jc w:val="both"/>
        <w:rPr>
          <w:rFonts w:cs="Arial"/>
          <w:szCs w:val="22"/>
          <w:lang w:val="hr-HR"/>
        </w:rPr>
      </w:pPr>
      <w:r w:rsidRPr="00B830BB">
        <w:rPr>
          <w:rFonts w:cs="Arial"/>
          <w:szCs w:val="22"/>
          <w:lang w:val="hr-HR"/>
        </w:rPr>
        <w:t>Osim toga, većina internetskih stranica ima uređene uvjete korištenja na koje svaki komentator pristaje u trenutku kada počinje s komentiranjem. U sklopu tih uvjeta definiraju se pravila pristupa, korištenja i ponašanja te sankcije u slučaju kršenja tih odredaba.</w:t>
      </w:r>
      <w:r w:rsidRPr="00B830BB">
        <w:rPr>
          <w:rFonts w:cs="Arial"/>
          <w:szCs w:val="22"/>
          <w:lang w:val="hr-HR"/>
        </w:rPr>
        <w:footnoteReference w:id="124"/>
      </w:r>
      <w:r w:rsidRPr="00B830BB">
        <w:rPr>
          <w:rFonts w:cs="Arial"/>
          <w:szCs w:val="22"/>
          <w:lang w:val="hr-HR"/>
        </w:rPr>
        <w:t xml:space="preserve"> Najstroža sankcija predviđena za nepoštivanje pravila komentiranja, a kojoj može prethoditi određeni broj opomena, jest privremena ili trajna zabrana pristupa registriranog korisnika prostoru namijenjenom za komentiranje čime se prekida participacija tog korisnika u daljnjim raspravama i prekida kontinuitet njegovog štetnog djelovanja. Ipak, kao i sve prije navedene, i ova metoda ima određene mane od kojih je svakako najvažnija ta da se korisnik kojem je zabranjen pristup uglavnom vrlo jednostavno može registrirati pod drugim korisničkim imenom i na taj način nastaviti sa svojim nedopuštenim aktivnostima.  </w:t>
      </w:r>
    </w:p>
    <w:p w:rsidR="00944D30" w:rsidRPr="00B830BB" w:rsidRDefault="0069193B" w:rsidP="00944D30">
      <w:pPr>
        <w:spacing w:line="360" w:lineRule="auto"/>
        <w:ind w:firstLine="708"/>
        <w:jc w:val="both"/>
        <w:rPr>
          <w:rFonts w:cs="Arial"/>
          <w:szCs w:val="22"/>
          <w:lang w:val="hr-HR"/>
        </w:rPr>
      </w:pPr>
      <w:r>
        <w:rPr>
          <w:rFonts w:cs="Arial"/>
          <w:szCs w:val="22"/>
          <w:lang w:val="hr-HR"/>
        </w:rPr>
        <w:t xml:space="preserve">Posljednja </w:t>
      </w:r>
      <w:r w:rsidR="008B6D5D" w:rsidRPr="00B830BB">
        <w:rPr>
          <w:rFonts w:cs="Arial"/>
          <w:szCs w:val="22"/>
          <w:lang w:val="hr-HR"/>
        </w:rPr>
        <w:t>opcija jest potpuno ukidanje prostora za komentare, a što je rješenje kojem u zadnje vrijeme pribjegava sve više internet portala.</w:t>
      </w:r>
      <w:r w:rsidR="008B6D5D" w:rsidRPr="00B830BB">
        <w:rPr>
          <w:rFonts w:cs="Arial"/>
          <w:szCs w:val="22"/>
          <w:vertAlign w:val="superscript"/>
          <w:lang w:val="hr-HR"/>
        </w:rPr>
        <w:footnoteReference w:id="125"/>
      </w:r>
      <w:r w:rsidR="008B6D5D" w:rsidRPr="00B830BB">
        <w:rPr>
          <w:rFonts w:cs="Arial"/>
          <w:szCs w:val="22"/>
          <w:lang w:val="hr-HR"/>
        </w:rPr>
        <w:t xml:space="preserve"> </w:t>
      </w:r>
      <w:r w:rsidR="00944D30">
        <w:rPr>
          <w:rFonts w:cs="Arial"/>
          <w:szCs w:val="22"/>
          <w:lang w:val="hr-HR"/>
        </w:rPr>
        <w:t>Tako, p</w:t>
      </w:r>
      <w:r w:rsidR="00944D30" w:rsidRPr="00B830BB">
        <w:rPr>
          <w:rFonts w:cs="Arial"/>
          <w:szCs w:val="22"/>
          <w:lang w:val="hr-HR"/>
        </w:rPr>
        <w:t>aralelno s presudom</w:t>
      </w:r>
      <w:r w:rsidR="00944D30">
        <w:rPr>
          <w:rFonts w:cs="Arial"/>
          <w:szCs w:val="22"/>
          <w:lang w:val="hr-HR"/>
        </w:rPr>
        <w:t xml:space="preserve"> u predmetu Delfi</w:t>
      </w:r>
      <w:r w:rsidR="00944D30" w:rsidRPr="00B830BB">
        <w:rPr>
          <w:rFonts w:cs="Arial"/>
          <w:szCs w:val="22"/>
          <w:lang w:val="hr-HR"/>
        </w:rPr>
        <w:t>, ali i neposredno prije, neki su portali svjetski poznatih novina odluči</w:t>
      </w:r>
      <w:r w:rsidR="00944D30">
        <w:rPr>
          <w:rFonts w:cs="Arial"/>
          <w:szCs w:val="22"/>
          <w:lang w:val="hr-HR"/>
        </w:rPr>
        <w:t>li su onemogućiti komentiranje.</w:t>
      </w:r>
    </w:p>
    <w:p w:rsidR="008B6D5D" w:rsidRPr="00B830BB" w:rsidRDefault="008B6D5D" w:rsidP="00F579EF">
      <w:pPr>
        <w:spacing w:line="360" w:lineRule="auto"/>
        <w:ind w:firstLine="708"/>
        <w:jc w:val="both"/>
        <w:rPr>
          <w:rFonts w:cs="Arial"/>
          <w:lang w:val="hr-HR"/>
        </w:rPr>
      </w:pPr>
      <w:r w:rsidRPr="00B830BB">
        <w:rPr>
          <w:rFonts w:cs="Arial"/>
          <w:szCs w:val="22"/>
          <w:lang w:val="hr-HR"/>
        </w:rPr>
        <w:t>Mišljenja o ovakvom pristupu su podijeljena no indikativno je da veći dio, kako čitateljske tako i stručne, javnosti smatra da bi to trebalo biti tek posljednje sredstvo obračunavanja s neprimjerenim korisničkim sadržajima. Između ostalog, naglašava se činjenica da se time ukida mogućnost interakcije i diskusije o objavljenim temama kao i da se potkopava demokracija i pravo na s</w:t>
      </w:r>
      <w:r w:rsidR="00F579EF" w:rsidRPr="00B830BB">
        <w:rPr>
          <w:rFonts w:cs="Arial"/>
          <w:szCs w:val="22"/>
          <w:lang w:val="hr-HR"/>
        </w:rPr>
        <w:t xml:space="preserve">lobodu izražavanja. Primjerice, </w:t>
      </w:r>
      <w:r w:rsidRPr="00B830BB">
        <w:rPr>
          <w:rFonts w:cs="Arial"/>
          <w:szCs w:val="22"/>
          <w:lang w:val="hr-HR"/>
        </w:rPr>
        <w:t xml:space="preserve">urednik jednog od </w:t>
      </w:r>
      <w:r w:rsidRPr="00B830BB">
        <w:rPr>
          <w:rFonts w:cs="Arial"/>
          <w:szCs w:val="22"/>
          <w:lang w:val="hr-HR"/>
        </w:rPr>
        <w:lastRenderedPageBreak/>
        <w:t>hrvatskih novinskih portala drži da su komentari, jednako kao i izbori, jedno od lica demokracije te kaže: „Iako nam se rezultati izbora često ne sviđaju, iako je odabir naroda često glup i vulgaran, i dalje nam ne pada na pamet odustati od demokracije.“</w:t>
      </w:r>
      <w:r w:rsidRPr="00B830BB">
        <w:rPr>
          <w:rFonts w:cs="Arial"/>
          <w:szCs w:val="22"/>
          <w:vertAlign w:val="superscript"/>
          <w:lang w:val="hr-HR"/>
        </w:rPr>
        <w:footnoteReference w:id="126"/>
      </w:r>
      <w:r w:rsidRPr="00B830BB">
        <w:rPr>
          <w:rFonts w:cs="Arial"/>
          <w:szCs w:val="22"/>
          <w:lang w:val="hr-HR"/>
        </w:rPr>
        <w:t xml:space="preserve"> Uvažavajući ovo i slična stajališta treba priznati da mogućnost iznošenja korisničkih stavova svakako ima određenu vrijednost koju društvo mora prepoznati, ali i kontrolirati primjenjujući neke od iznesenih metoda. Shodno tome, treba voditi računa da objavljeni komentari imaju oblik kulturnog dijalog kojim se potiče civilizirana razmjena mišljenja te da time doprinose raspravi upravo o temi uz koju je vezan članak na koji se nadovezuju. Štoviše, razvidno je da bi upravo upotrebom predloženih rješenja i pravilnim moderiranjem objavljenih sadržaja zasigurno došlo i do povećane kvalitete i stručnosti rasprava koje se inače vode u prostoru predviđenom za komentiranje, a što je i cilj takve interakcije.</w:t>
      </w:r>
    </w:p>
    <w:p w:rsidR="00D20440" w:rsidRPr="00B830BB" w:rsidRDefault="00D20440" w:rsidP="002C1F24">
      <w:pPr>
        <w:pStyle w:val="Heading4"/>
      </w:pPr>
      <w:bookmarkStart w:id="289" w:name="_Toc386285823"/>
      <w:bookmarkStart w:id="290" w:name="_Toc386498359"/>
      <w:bookmarkStart w:id="291" w:name="_Toc386563103"/>
      <w:bookmarkStart w:id="292" w:name="_Toc386567265"/>
      <w:bookmarkStart w:id="293" w:name="_Toc386619657"/>
      <w:r w:rsidRPr="00B830BB">
        <w:t>Zabrana anonimnosti prilikom postavljanja korisničkih sadržaja</w:t>
      </w:r>
      <w:bookmarkEnd w:id="289"/>
      <w:bookmarkEnd w:id="290"/>
      <w:r w:rsidR="00FE32A9">
        <w:rPr>
          <w:rStyle w:val="FootnoteReference"/>
        </w:rPr>
        <w:footnoteReference w:id="127"/>
      </w:r>
      <w:bookmarkEnd w:id="291"/>
      <w:bookmarkEnd w:id="292"/>
      <w:bookmarkEnd w:id="293"/>
    </w:p>
    <w:p w:rsidR="008B6D5D" w:rsidRPr="00B830BB" w:rsidRDefault="008B6D5D" w:rsidP="008B6D5D">
      <w:pPr>
        <w:pStyle w:val="Heading2"/>
        <w:numPr>
          <w:ilvl w:val="0"/>
          <w:numId w:val="0"/>
        </w:numPr>
        <w:ind w:left="576"/>
        <w:rPr>
          <w:rFonts w:cs="Arial"/>
        </w:rPr>
      </w:pPr>
    </w:p>
    <w:p w:rsidR="00D20440" w:rsidRPr="00B830BB" w:rsidRDefault="00D20440" w:rsidP="00F579EF">
      <w:pPr>
        <w:spacing w:line="360" w:lineRule="auto"/>
        <w:ind w:firstLine="708"/>
        <w:jc w:val="both"/>
        <w:rPr>
          <w:rFonts w:cs="Arial"/>
          <w:szCs w:val="22"/>
          <w:lang w:val="hr-HR"/>
        </w:rPr>
      </w:pPr>
      <w:r w:rsidRPr="00B830BB">
        <w:rPr>
          <w:rFonts w:cs="Arial"/>
          <w:szCs w:val="22"/>
          <w:lang w:val="hr-HR"/>
        </w:rPr>
        <w:t>Po prirodi stvari problem anonimnosti nameće se kao prvi u nizu spornih pitanja na području interneta. Već je ranije spomenuto kako je razvojem interneta pravo na slobodu izražavanja dobilo jednu novu, iznimno važnu dimenziju kojom se pojedincima pruža još šira „sloboda primanja i širenja informacija i ideja“</w:t>
      </w:r>
      <w:r w:rsidR="0090280A">
        <w:rPr>
          <w:rFonts w:cs="Arial"/>
          <w:szCs w:val="22"/>
          <w:lang w:val="hr-HR"/>
        </w:rPr>
        <w:t xml:space="preserve"> (vidi </w:t>
      </w:r>
      <w:r w:rsidR="0090280A" w:rsidRPr="0090280A">
        <w:rPr>
          <w:rFonts w:cs="Arial"/>
          <w:i/>
          <w:szCs w:val="22"/>
          <w:lang w:val="hr-HR"/>
        </w:rPr>
        <w:t>supra ad.</w:t>
      </w:r>
      <w:r w:rsidR="0090280A">
        <w:rPr>
          <w:rFonts w:cs="Arial"/>
          <w:szCs w:val="22"/>
          <w:lang w:val="hr-HR"/>
        </w:rPr>
        <w:t xml:space="preserve"> 3.2.1.2)</w:t>
      </w:r>
      <w:r w:rsidRPr="00B830BB">
        <w:rPr>
          <w:rFonts w:cs="Arial"/>
          <w:szCs w:val="22"/>
          <w:lang w:val="hr-HR"/>
        </w:rPr>
        <w:t>. No, iako se ovakvim pojačanim uključivanjem građana u društvena zbivanja učvršćuju demokratski temelji društva, ipak treba istaknuti da se njime sve više javljaju i učinci suprotni tome – naime, pod okriljem anonimnosti korisnici interneta isti često koriste kao platformu za nesmetano iznošenje govora mržnje, prijetnji te drugih raznovrsnih diskriminatornih stavova.</w:t>
      </w:r>
    </w:p>
    <w:p w:rsidR="00F579EF" w:rsidRPr="00B830BB" w:rsidRDefault="00D20440" w:rsidP="00F579EF">
      <w:pPr>
        <w:spacing w:line="360" w:lineRule="auto"/>
        <w:ind w:firstLine="708"/>
        <w:jc w:val="both"/>
        <w:rPr>
          <w:rFonts w:cs="Arial"/>
          <w:szCs w:val="22"/>
          <w:lang w:val="hr-HR"/>
        </w:rPr>
      </w:pPr>
      <w:r w:rsidRPr="00B830BB">
        <w:rPr>
          <w:rFonts w:cs="Arial"/>
          <w:szCs w:val="22"/>
          <w:lang w:val="hr-HR"/>
        </w:rPr>
        <w:t>Ukidanje mogućnosti anonimnog komentiranja moglo bi proizvesti mnogobrojne povoljne učinke, a izvedivo je na više načina. Jedan od prijedloga svakako jest uvođenje obvezne registracije na internetske stranice u svrhu mogućnosti komentiranja. Dakako, sama registracija nije dovoljna već je potrebno krenuti korak dalje zahtijevajući detaljne osobne podatke kao što to radi određeni broj internet oglasnika s ciljem sprječavanja prijevare i drugih srodnih kaznenih djela.</w:t>
      </w:r>
      <w:r w:rsidRPr="00B830BB">
        <w:rPr>
          <w:rFonts w:cs="Arial"/>
          <w:szCs w:val="22"/>
          <w:vertAlign w:val="superscript"/>
          <w:lang w:val="hr-HR"/>
        </w:rPr>
        <w:footnoteReference w:id="128"/>
      </w:r>
      <w:r w:rsidRPr="00B830BB">
        <w:rPr>
          <w:rFonts w:cs="Arial"/>
          <w:szCs w:val="22"/>
          <w:lang w:val="hr-HR"/>
        </w:rPr>
        <w:t xml:space="preserve"> </w:t>
      </w:r>
    </w:p>
    <w:p w:rsidR="00D20440" w:rsidRPr="00B830BB" w:rsidRDefault="00D20440" w:rsidP="00F579EF">
      <w:pPr>
        <w:spacing w:line="360" w:lineRule="auto"/>
        <w:ind w:firstLine="708"/>
        <w:jc w:val="both"/>
        <w:rPr>
          <w:rFonts w:cs="Arial"/>
          <w:szCs w:val="22"/>
          <w:lang w:val="hr-HR"/>
        </w:rPr>
      </w:pPr>
      <w:r w:rsidRPr="00B830BB">
        <w:rPr>
          <w:rFonts w:cs="Arial"/>
          <w:szCs w:val="22"/>
          <w:lang w:val="hr-HR"/>
        </w:rPr>
        <w:t xml:space="preserve">Ovime se, jasno, postavlja pitanje zaštite privatnosti i osobnih podataka no to ne bi trebalo predstavljati problem budući da je svako prikupljanje osobnih podataka jasno </w:t>
      </w:r>
      <w:r w:rsidRPr="00B830BB">
        <w:rPr>
          <w:rFonts w:cs="Arial"/>
          <w:szCs w:val="22"/>
          <w:lang w:val="hr-HR"/>
        </w:rPr>
        <w:lastRenderedPageBreak/>
        <w:t>definirano i regulirano Zakonom o zaštiti osobnih podataka</w:t>
      </w:r>
      <w:r w:rsidR="00271414">
        <w:rPr>
          <w:rStyle w:val="FootnoteReference"/>
          <w:rFonts w:cs="Arial"/>
          <w:szCs w:val="22"/>
          <w:lang w:val="hr-HR"/>
        </w:rPr>
        <w:footnoteReference w:id="129"/>
      </w:r>
      <w:r w:rsidRPr="00B830BB">
        <w:rPr>
          <w:rFonts w:cs="Arial"/>
          <w:szCs w:val="22"/>
          <w:lang w:val="hr-HR"/>
        </w:rPr>
        <w:t xml:space="preserve"> kojeg bi se u tom slučaju trebali pridržavati vlasnici internetskih stranica. Konkretno, njime se nalaže vođenje zbirke osobnih podataka u skladu i pod uvjetima navedenim u Zakonu čime bi se korisnicima mogla zajamčiti dostatna zaštita njihovih podataka. Nadalje, značajnu ulogu igra i činjenica da je takvo davanje podataka potpuno dobrovoljne prirode te da svaki korisnik pristaje na njega bez ikakve prisile, ukoliko želi pristupiti mogućnosti komentiranja. Štoviše, ovime bi se čak u određenoj mjeri mogla očuvati anonimnost na način da se korisnicima i dalje dozvoli korištenje „nadimaka“ prilikom interakcije s drugim korisnicima dok bi vlasnici internetskih stranica posjedovali informacije o njihovom stvarnom identitetu kojima bi mogli pristupiti u slučaju počinjenja kaznenih djela te bi protiv istih mogli promptno podnijeti kaznenu prijavu.</w:t>
      </w:r>
    </w:p>
    <w:p w:rsidR="004D3F16" w:rsidRPr="00B830BB" w:rsidRDefault="00670C7B" w:rsidP="002C1F24">
      <w:pPr>
        <w:pStyle w:val="Heading3"/>
      </w:pPr>
      <w:bookmarkStart w:id="294" w:name="_Toc386285824"/>
      <w:bookmarkStart w:id="295" w:name="_Toc386498360"/>
      <w:bookmarkStart w:id="296" w:name="_Toc386563104"/>
      <w:bookmarkStart w:id="297" w:name="_Toc386567266"/>
      <w:bookmarkStart w:id="298" w:name="_Toc386619658"/>
      <w:r w:rsidRPr="00B830BB">
        <w:t>Od mladih za mlade</w:t>
      </w:r>
      <w:bookmarkEnd w:id="294"/>
      <w:bookmarkEnd w:id="295"/>
      <w:bookmarkEnd w:id="296"/>
      <w:bookmarkEnd w:id="297"/>
      <w:bookmarkEnd w:id="298"/>
    </w:p>
    <w:p w:rsidR="005333E2" w:rsidRPr="00B830BB" w:rsidRDefault="005333E2" w:rsidP="005333E2">
      <w:pPr>
        <w:pStyle w:val="Heading2"/>
        <w:numPr>
          <w:ilvl w:val="0"/>
          <w:numId w:val="0"/>
        </w:numPr>
        <w:ind w:left="576"/>
        <w:rPr>
          <w:rFonts w:cs="Arial"/>
        </w:rPr>
      </w:pPr>
    </w:p>
    <w:p w:rsidR="005333E2" w:rsidRPr="00B830BB" w:rsidRDefault="00B627FE" w:rsidP="005333E2">
      <w:pPr>
        <w:spacing w:line="360" w:lineRule="auto"/>
        <w:ind w:firstLine="576"/>
        <w:jc w:val="both"/>
        <w:rPr>
          <w:rFonts w:cs="Arial"/>
          <w:szCs w:val="22"/>
          <w:lang w:val="hr-HR"/>
        </w:rPr>
      </w:pPr>
      <w:r w:rsidRPr="00B830BB">
        <w:rPr>
          <w:rFonts w:cs="Arial"/>
          <w:szCs w:val="22"/>
          <w:lang w:val="hr-HR"/>
        </w:rPr>
        <w:t>Posebnu prednost u inform</w:t>
      </w:r>
      <w:r w:rsidR="000C32F0" w:rsidRPr="00B830BB">
        <w:rPr>
          <w:rFonts w:cs="Arial"/>
          <w:szCs w:val="22"/>
          <w:lang w:val="hr-HR"/>
        </w:rPr>
        <w:t>ir</w:t>
      </w:r>
      <w:r w:rsidRPr="00B830BB">
        <w:rPr>
          <w:rFonts w:cs="Arial"/>
          <w:szCs w:val="22"/>
          <w:lang w:val="hr-HR"/>
        </w:rPr>
        <w:t>anju mladih imaju udruge mladih. Često zbog vršnjačke dobi, mladi imaju manji osjećaj srama i neugode te se lakše obraćaju i otvaraju. Jedan od izvrsnih primjera upravo u borbi protiv govora mržnje na internetu jest i onaj od Europske udruge studenata prava – ELSA-e</w:t>
      </w:r>
      <w:r w:rsidR="000C32F0" w:rsidRPr="00B830BB">
        <w:rPr>
          <w:rStyle w:val="FootnoteReference"/>
          <w:rFonts w:cs="Arial"/>
          <w:szCs w:val="22"/>
          <w:lang w:val="hr-HR"/>
        </w:rPr>
        <w:footnoteReference w:id="130"/>
      </w:r>
      <w:r w:rsidRPr="00B830BB">
        <w:rPr>
          <w:rFonts w:cs="Arial"/>
          <w:szCs w:val="22"/>
          <w:lang w:val="hr-HR"/>
        </w:rPr>
        <w:t xml:space="preserve">. Ta udruga djeluje u 43 države te ima preko 39 000 članova. </w:t>
      </w:r>
    </w:p>
    <w:p w:rsidR="005333E2" w:rsidRPr="00B830BB" w:rsidRDefault="003B435F" w:rsidP="005333E2">
      <w:pPr>
        <w:spacing w:line="360" w:lineRule="auto"/>
        <w:ind w:firstLine="576"/>
        <w:jc w:val="both"/>
        <w:rPr>
          <w:rFonts w:cs="Arial"/>
          <w:szCs w:val="22"/>
          <w:lang w:val="hr-HR"/>
        </w:rPr>
      </w:pPr>
      <w:r w:rsidRPr="00B830BB">
        <w:rPr>
          <w:rFonts w:cs="Arial"/>
          <w:szCs w:val="22"/>
          <w:lang w:val="hr-HR"/>
        </w:rPr>
        <w:t xml:space="preserve">U 2013. zajedno s Vijećem Europe organizirali su pravno istraživanje o govoru mržnje na internetu u kojem je sudjelovalo ukupno 18 zemalja. Finalno izvješće </w:t>
      </w:r>
      <w:r w:rsidR="00154C38" w:rsidRPr="00B830BB">
        <w:rPr>
          <w:rFonts w:cs="Arial"/>
          <w:szCs w:val="22"/>
          <w:lang w:val="hr-HR"/>
        </w:rPr>
        <w:t xml:space="preserve">koje sadrži i ono hrvatsko napisano od strane ELSA-ine podružnice, ELSA-e Zagreb, </w:t>
      </w:r>
      <w:r w:rsidRPr="00B830BB">
        <w:rPr>
          <w:rFonts w:cs="Arial"/>
          <w:szCs w:val="22"/>
          <w:lang w:val="hr-HR"/>
        </w:rPr>
        <w:t xml:space="preserve">je bilo predstavljeno u prosincu 2013. na konferenciji u Oslu. Kako bi konferencija imala dublji smisao te pokazala društvenu odgovornost udruge, sudionici su tijekom konferencije imali organizirane radne grupe kroz koje su izrađivali upute namijenjene </w:t>
      </w:r>
      <w:r w:rsidR="00154C38" w:rsidRPr="00B830BB">
        <w:rPr>
          <w:rFonts w:cs="Arial"/>
          <w:szCs w:val="22"/>
          <w:lang w:val="hr-HR"/>
        </w:rPr>
        <w:t>praktičarima koji se tijekom posla susreću s govorom mržnje na internetu. Budući da je cijelo to područje trenutno još u razvoju, mnogi od govornika su tijekom konferencije potvrdili postojanje potreba za sličnim uputama</w:t>
      </w:r>
      <w:r w:rsidR="00746E1A" w:rsidRPr="00B830BB">
        <w:rPr>
          <w:rFonts w:cs="Arial"/>
          <w:szCs w:val="22"/>
          <w:lang w:val="hr-HR"/>
        </w:rPr>
        <w:t xml:space="preserve"> (vidi </w:t>
      </w:r>
      <w:r w:rsidR="00746E1A" w:rsidRPr="00B830BB">
        <w:rPr>
          <w:rFonts w:cs="Arial"/>
          <w:i/>
          <w:szCs w:val="22"/>
          <w:lang w:val="hr-HR"/>
        </w:rPr>
        <w:t>infra ad.</w:t>
      </w:r>
      <w:r w:rsidR="00746E1A" w:rsidRPr="00B830BB">
        <w:rPr>
          <w:rFonts w:cs="Arial"/>
          <w:szCs w:val="22"/>
          <w:lang w:val="hr-HR"/>
        </w:rPr>
        <w:t xml:space="preserve"> 5.3.1.)</w:t>
      </w:r>
      <w:r w:rsidR="00154C38" w:rsidRPr="00B830BB">
        <w:rPr>
          <w:rFonts w:cs="Arial"/>
          <w:szCs w:val="22"/>
          <w:lang w:val="hr-HR"/>
        </w:rPr>
        <w:t xml:space="preserve">. Rad se nastavio i nakon konferencije te su upute konačno objavljene na njihovim internetskim stranicama. Valja spomenuti kako su dostavljene i Vijeću Europe koji je pohvalio sve nastale materijale te odobrilo korištenje kako loga Vijeća Europe tako i kampanje „Ne govoru mržnje“. </w:t>
      </w:r>
    </w:p>
    <w:p w:rsidR="00B627FE" w:rsidRPr="00B830BB" w:rsidRDefault="00154C38" w:rsidP="005333E2">
      <w:pPr>
        <w:spacing w:line="360" w:lineRule="auto"/>
        <w:ind w:firstLine="576"/>
        <w:jc w:val="both"/>
        <w:rPr>
          <w:rFonts w:cs="Arial"/>
          <w:szCs w:val="22"/>
          <w:lang w:val="hr-HR"/>
        </w:rPr>
      </w:pPr>
      <w:r w:rsidRPr="00B830BB">
        <w:rPr>
          <w:rFonts w:cs="Arial"/>
          <w:szCs w:val="22"/>
          <w:lang w:val="hr-HR"/>
        </w:rPr>
        <w:t xml:space="preserve">Upute su dostupne na stranici: </w:t>
      </w:r>
      <w:r w:rsidRPr="007527BB">
        <w:rPr>
          <w:rFonts w:cs="Arial"/>
          <w:szCs w:val="22"/>
          <w:lang w:val="hr-HR"/>
        </w:rPr>
        <w:t>http://files.elsa.org/AA/OHS_Guideline.pdf</w:t>
      </w:r>
      <w:r w:rsidRPr="00B830BB">
        <w:rPr>
          <w:rFonts w:cs="Arial"/>
          <w:szCs w:val="22"/>
          <w:lang w:val="hr-HR"/>
        </w:rPr>
        <w:t xml:space="preserve">, ali i promovirane u svim država u kojima se nalaze podružnice ELSA-e ili kampanja „Ne govoru </w:t>
      </w:r>
      <w:r w:rsidRPr="00B830BB">
        <w:rPr>
          <w:rFonts w:cs="Arial"/>
          <w:szCs w:val="22"/>
          <w:lang w:val="hr-HR"/>
        </w:rPr>
        <w:lastRenderedPageBreak/>
        <w:t>mržnje“. Na taj način ne samo da se promoviraju materijali, nego se daje i mogućnost osmiš</w:t>
      </w:r>
      <w:r w:rsidR="007A4746">
        <w:rPr>
          <w:rFonts w:cs="Arial"/>
          <w:szCs w:val="22"/>
          <w:lang w:val="hr-HR"/>
        </w:rPr>
        <w:t>l</w:t>
      </w:r>
      <w:r w:rsidRPr="00B830BB">
        <w:rPr>
          <w:rFonts w:cs="Arial"/>
          <w:szCs w:val="22"/>
          <w:lang w:val="hr-HR"/>
        </w:rPr>
        <w:t xml:space="preserve">javanja i provođenja novih projekata uz njihovu pomoć. </w:t>
      </w:r>
    </w:p>
    <w:p w:rsidR="00882644" w:rsidRDefault="00882644" w:rsidP="005333E2">
      <w:pPr>
        <w:spacing w:line="360" w:lineRule="auto"/>
        <w:ind w:firstLine="576"/>
        <w:jc w:val="both"/>
        <w:rPr>
          <w:rFonts w:cs="Arial"/>
          <w:szCs w:val="22"/>
          <w:lang w:val="hr-HR"/>
        </w:rPr>
      </w:pPr>
    </w:p>
    <w:p w:rsidR="00BB138D" w:rsidRPr="00B830BB" w:rsidRDefault="00BB138D" w:rsidP="005333E2">
      <w:pPr>
        <w:spacing w:line="360" w:lineRule="auto"/>
        <w:ind w:firstLine="576"/>
        <w:jc w:val="both"/>
        <w:rPr>
          <w:rFonts w:cs="Arial"/>
          <w:szCs w:val="22"/>
          <w:lang w:val="hr-HR"/>
        </w:rPr>
      </w:pPr>
    </w:p>
    <w:p w:rsidR="00ED2880" w:rsidRDefault="00F516F4" w:rsidP="00594B20">
      <w:pPr>
        <w:pStyle w:val="Heading1"/>
        <w:spacing w:after="240"/>
        <w:rPr>
          <w:rFonts w:cs="Arial"/>
          <w:lang w:val="hr-HR"/>
        </w:rPr>
      </w:pPr>
      <w:bookmarkStart w:id="299" w:name="_Toc386285825"/>
      <w:bookmarkStart w:id="300" w:name="_Toc386498361"/>
      <w:bookmarkStart w:id="301" w:name="_Toc386563105"/>
      <w:bookmarkStart w:id="302" w:name="_Toc386567267"/>
      <w:bookmarkStart w:id="303" w:name="_Toc386619659"/>
      <w:r w:rsidRPr="00B830BB">
        <w:rPr>
          <w:rFonts w:cs="Arial"/>
          <w:lang w:val="hr-HR"/>
        </w:rPr>
        <w:t>Zaključak</w:t>
      </w:r>
      <w:bookmarkEnd w:id="299"/>
      <w:bookmarkEnd w:id="300"/>
      <w:bookmarkEnd w:id="301"/>
      <w:bookmarkEnd w:id="302"/>
      <w:bookmarkEnd w:id="303"/>
    </w:p>
    <w:p w:rsidR="009F4E2F" w:rsidRDefault="009F4E2F" w:rsidP="009F4E2F">
      <w:pPr>
        <w:spacing w:line="360" w:lineRule="auto"/>
        <w:ind w:firstLine="576"/>
        <w:jc w:val="both"/>
        <w:rPr>
          <w:rFonts w:cs="Arial"/>
          <w:szCs w:val="22"/>
          <w:lang w:val="hr-HR"/>
        </w:rPr>
      </w:pPr>
      <w:r>
        <w:rPr>
          <w:rFonts w:cs="Arial"/>
          <w:szCs w:val="22"/>
          <w:lang w:val="hr-HR"/>
        </w:rPr>
        <w:t>Pravo na slobodu izražavanja jedna je od najvažnijih tekovina demokratskih društava, temelj građanske participacije u javnim događanjima, sredstvo putem kojeg svaki pojedinac može slobodno ukazati na probleme u društvu, jamstvo razmjene mišljenja i ideja te, povrh svega, utjecaja jednih na druge. Pojavom interneta, njegovo prakticiranje prelazi u online sferu – javno izražavanje postalo je jednostavnije i pristupačnije no ikada. Nažalost, isto vrijedi i za oživotvorenje ideje diskriminacije kroz govor mržnje.</w:t>
      </w:r>
    </w:p>
    <w:p w:rsidR="009F4E2F" w:rsidRDefault="009F4E2F" w:rsidP="009F4E2F">
      <w:pPr>
        <w:spacing w:line="360" w:lineRule="auto"/>
        <w:ind w:firstLine="576"/>
        <w:jc w:val="both"/>
        <w:rPr>
          <w:rFonts w:cs="Arial"/>
          <w:szCs w:val="22"/>
          <w:lang w:val="hr-HR"/>
        </w:rPr>
      </w:pPr>
      <w:r>
        <w:rPr>
          <w:rFonts w:cs="Arial"/>
          <w:szCs w:val="22"/>
          <w:lang w:val="hr-HR"/>
        </w:rPr>
        <w:t>Nesumnjivo je kako je tolerancija različitih stavova važan dio demokratskog društva, no granica između slobode govora i govora mržnje kao važnih pojmova s područja zaštite ljudskih prava, još uvijek nije jasna. Glavna smjernica pri odlučivanju o ograničavanju slobode izražavanja jest postulat koji kaže kako pravo na slobodu izražavanja prestaje, ondje gdje pravo ne biti diskriminiran počinje. Ipak, točno određene formule nema. Svi temeljni dokumenti o zaštiti ljudskih prava i sloboda navode i zaštićuju pravo na izražavanje, ali i proklamiraju zabranu diskriminacije. Izazov pravednog balansiranja između ta dva prava, izuzetno je osjetljiv, ali istovremeno i ključan faktor pomirenja sukobljenih prava, a time i zadovoljenja društvenih interesa utjelovljenih u tim pravima.</w:t>
      </w:r>
    </w:p>
    <w:p w:rsidR="009F4E2F" w:rsidRDefault="009F4E2F" w:rsidP="009F4E2F">
      <w:pPr>
        <w:spacing w:line="360" w:lineRule="auto"/>
        <w:ind w:firstLine="576"/>
        <w:jc w:val="both"/>
        <w:rPr>
          <w:rFonts w:cs="Arial"/>
          <w:szCs w:val="22"/>
          <w:lang w:val="hr-HR"/>
        </w:rPr>
      </w:pPr>
      <w:r>
        <w:rPr>
          <w:rFonts w:cs="Arial"/>
          <w:szCs w:val="22"/>
          <w:lang w:val="hr-HR"/>
        </w:rPr>
        <w:t>Europski sud za ljudska prava kroz recentnu praksu priznaje važnost i snagu interneta kao vrijednog alata. Ipak, jasno je kako taj novi medij koji je spojio svijet za većinu zakonodavstava još uvijek predstavlja svojevrsnu sivu zonu, područje čija regulacija nameće puno više pitanja nego što je spremna odgovoriti.</w:t>
      </w:r>
    </w:p>
    <w:p w:rsidR="009F4E2F" w:rsidRDefault="009F4E2F" w:rsidP="009F4E2F">
      <w:pPr>
        <w:spacing w:line="360" w:lineRule="auto"/>
        <w:ind w:firstLine="576"/>
        <w:jc w:val="both"/>
        <w:rPr>
          <w:rFonts w:cs="Arial"/>
          <w:szCs w:val="22"/>
          <w:lang w:val="hr-HR"/>
        </w:rPr>
      </w:pPr>
      <w:r>
        <w:rPr>
          <w:rFonts w:cs="Arial"/>
          <w:szCs w:val="22"/>
          <w:lang w:val="hr-HR"/>
        </w:rPr>
        <w:t xml:space="preserve">Upravo ta karakteristika interneta plodno je tlo za razvoj ideja netrpeljivosti i nejednakosti. Zaštićeni anonimnošću, korisnici interneta zloupotrebljavaju svoje pravo na slobodu izražavanja kako bi promovirali spomenute ideje, time potkopavajući najveća civilizacijska dostignuća – poštivanje različitosti, ljudske jednakosti i dostojanstva. Imajući u vidu štetnost takvog djelovanja, ovaj rad pokušao je rasvijetliti odgovore na neka od najvažnijih pitanja koja se vežu uz govor mržnje na internetu. Među ostalim, nastojalo se razjasniti pitanje nositelja i vrsta odgovornosti, što je jedan od najinteresantnijih aspekata ove tematike. Drugo specifično pitanje jest jurisdikcija, koja je </w:t>
      </w:r>
      <w:r w:rsidR="00BD3DBB">
        <w:rPr>
          <w:rFonts w:cs="Arial"/>
          <w:szCs w:val="22"/>
          <w:lang w:val="hr-HR"/>
        </w:rPr>
        <w:t>također obrađena u smislu tradi</w:t>
      </w:r>
      <w:r>
        <w:rPr>
          <w:rFonts w:cs="Arial"/>
          <w:szCs w:val="22"/>
          <w:lang w:val="hr-HR"/>
        </w:rPr>
        <w:t>cionalnih</w:t>
      </w:r>
      <w:r w:rsidR="00BD3DBB">
        <w:rPr>
          <w:rFonts w:cs="Arial"/>
          <w:szCs w:val="22"/>
          <w:lang w:val="hr-HR"/>
        </w:rPr>
        <w:t xml:space="preserve"> rješenja, ali i najnovijih ten</w:t>
      </w:r>
      <w:r>
        <w:rPr>
          <w:rFonts w:cs="Arial"/>
          <w:szCs w:val="22"/>
          <w:lang w:val="hr-HR"/>
        </w:rPr>
        <w:t xml:space="preserve">dencija. Općenito, svrha rada bila je sagledati problematične točke iz svih perspektiva, uzimajući u obzir često suprotstavljena stajališta i tražeći kompromisna rješenja, ponuđena također u jednom od poglavlja. Namjera autora bila je dati obuhvatan, iscrpan i relevantan izvor informacija vezanih uz temu kako bi se njime </w:t>
      </w:r>
      <w:r>
        <w:rPr>
          <w:rFonts w:cs="Arial"/>
          <w:szCs w:val="22"/>
          <w:lang w:val="hr-HR"/>
        </w:rPr>
        <w:lastRenderedPageBreak/>
        <w:t>doprinijelo ciljevima razvoja pluralističkog društva. Iz tog razloga, kako svijest o važnosti govora mržnje i interneta, bude rasla čitatelji bi mogli naći ovaj rad vrijednim izvorom za raz</w:t>
      </w:r>
      <w:r w:rsidR="00C56CBF">
        <w:rPr>
          <w:rFonts w:cs="Arial"/>
          <w:szCs w:val="22"/>
          <w:lang w:val="hr-HR"/>
        </w:rPr>
        <w:t>u</w:t>
      </w:r>
      <w:r>
        <w:rPr>
          <w:rFonts w:cs="Arial"/>
          <w:szCs w:val="22"/>
          <w:lang w:val="hr-HR"/>
        </w:rPr>
        <w:t>mijevanje prava, obveza i odgovornosti svih aktera virtualnog svijeta, uključujući države, pravne i fizičke osobe, ali i društvo u cjelini.</w:t>
      </w:r>
    </w:p>
    <w:p w:rsidR="00BB138D" w:rsidRDefault="00BB138D" w:rsidP="009F4E2F">
      <w:pPr>
        <w:spacing w:line="360" w:lineRule="auto"/>
        <w:ind w:firstLine="576"/>
        <w:jc w:val="both"/>
        <w:rPr>
          <w:rFonts w:cs="Arial"/>
          <w:szCs w:val="22"/>
          <w:lang w:val="hr-HR"/>
        </w:rPr>
      </w:pPr>
    </w:p>
    <w:p w:rsidR="00BB138D" w:rsidRDefault="00BB138D" w:rsidP="009F4E2F">
      <w:pPr>
        <w:spacing w:line="360" w:lineRule="auto"/>
        <w:ind w:firstLine="576"/>
        <w:jc w:val="both"/>
        <w:rPr>
          <w:rFonts w:cs="Arial"/>
          <w:szCs w:val="22"/>
          <w:lang w:val="hr-HR"/>
        </w:rPr>
      </w:pPr>
    </w:p>
    <w:p w:rsidR="00BB138D" w:rsidRDefault="00BB138D" w:rsidP="009F4E2F">
      <w:pPr>
        <w:spacing w:line="360" w:lineRule="auto"/>
        <w:ind w:firstLine="576"/>
        <w:jc w:val="both"/>
        <w:rPr>
          <w:rFonts w:cs="Arial"/>
          <w:szCs w:val="22"/>
          <w:lang w:val="hr-HR"/>
        </w:rPr>
      </w:pPr>
    </w:p>
    <w:p w:rsidR="00BB138D" w:rsidRDefault="00BB138D" w:rsidP="009F4E2F">
      <w:pPr>
        <w:spacing w:line="360" w:lineRule="auto"/>
        <w:ind w:firstLine="576"/>
        <w:jc w:val="both"/>
        <w:rPr>
          <w:rFonts w:cs="Arial"/>
          <w:szCs w:val="22"/>
          <w:lang w:val="hr-HR"/>
        </w:rPr>
      </w:pPr>
    </w:p>
    <w:p w:rsidR="00BB138D" w:rsidRDefault="00BB138D" w:rsidP="009F4E2F">
      <w:pPr>
        <w:spacing w:line="360" w:lineRule="auto"/>
        <w:ind w:firstLine="576"/>
        <w:jc w:val="both"/>
        <w:rPr>
          <w:rFonts w:cs="Arial"/>
          <w:szCs w:val="22"/>
          <w:lang w:val="hr-HR"/>
        </w:rPr>
      </w:pPr>
    </w:p>
    <w:p w:rsidR="00BB138D" w:rsidRDefault="00BB138D" w:rsidP="009F4E2F">
      <w:pPr>
        <w:spacing w:line="360" w:lineRule="auto"/>
        <w:ind w:firstLine="576"/>
        <w:jc w:val="both"/>
        <w:rPr>
          <w:rFonts w:cs="Arial"/>
          <w:szCs w:val="22"/>
          <w:lang w:val="hr-HR"/>
        </w:rPr>
      </w:pPr>
    </w:p>
    <w:p w:rsidR="00BB138D" w:rsidRDefault="00BB138D" w:rsidP="009F4E2F">
      <w:pPr>
        <w:spacing w:line="360" w:lineRule="auto"/>
        <w:ind w:firstLine="576"/>
        <w:jc w:val="both"/>
        <w:rPr>
          <w:rFonts w:cs="Arial"/>
          <w:szCs w:val="22"/>
          <w:lang w:val="hr-HR"/>
        </w:rPr>
      </w:pPr>
    </w:p>
    <w:p w:rsidR="00BB138D" w:rsidRDefault="00BB138D" w:rsidP="009F4E2F">
      <w:pPr>
        <w:spacing w:line="360" w:lineRule="auto"/>
        <w:ind w:firstLine="576"/>
        <w:jc w:val="both"/>
        <w:rPr>
          <w:rFonts w:cs="Arial"/>
          <w:szCs w:val="22"/>
          <w:lang w:val="hr-HR"/>
        </w:rPr>
      </w:pPr>
    </w:p>
    <w:p w:rsidR="00BB138D" w:rsidRDefault="00BB138D" w:rsidP="009F4E2F">
      <w:pPr>
        <w:spacing w:line="360" w:lineRule="auto"/>
        <w:ind w:firstLine="576"/>
        <w:jc w:val="both"/>
        <w:rPr>
          <w:rFonts w:cs="Arial"/>
          <w:szCs w:val="22"/>
          <w:lang w:val="hr-HR"/>
        </w:rPr>
      </w:pPr>
    </w:p>
    <w:p w:rsidR="00BB138D" w:rsidRDefault="00BB138D" w:rsidP="009F4E2F">
      <w:pPr>
        <w:spacing w:line="360" w:lineRule="auto"/>
        <w:ind w:firstLine="576"/>
        <w:jc w:val="both"/>
        <w:rPr>
          <w:rFonts w:cs="Arial"/>
          <w:szCs w:val="22"/>
          <w:lang w:val="hr-HR"/>
        </w:rPr>
      </w:pPr>
    </w:p>
    <w:p w:rsidR="00BB138D" w:rsidRDefault="00BB138D" w:rsidP="009F4E2F">
      <w:pPr>
        <w:spacing w:line="360" w:lineRule="auto"/>
        <w:ind w:firstLine="576"/>
        <w:jc w:val="both"/>
        <w:rPr>
          <w:rFonts w:cs="Arial"/>
          <w:szCs w:val="22"/>
          <w:lang w:val="hr-HR"/>
        </w:rPr>
      </w:pPr>
    </w:p>
    <w:p w:rsidR="00BB138D" w:rsidRDefault="00BB138D" w:rsidP="009F4E2F">
      <w:pPr>
        <w:spacing w:line="360" w:lineRule="auto"/>
        <w:ind w:firstLine="576"/>
        <w:jc w:val="both"/>
        <w:rPr>
          <w:rFonts w:cs="Arial"/>
          <w:szCs w:val="22"/>
          <w:lang w:val="hr-HR"/>
        </w:rPr>
      </w:pPr>
    </w:p>
    <w:p w:rsidR="00BB138D" w:rsidRDefault="00BB138D" w:rsidP="009F4E2F">
      <w:pPr>
        <w:spacing w:line="360" w:lineRule="auto"/>
        <w:ind w:firstLine="576"/>
        <w:jc w:val="both"/>
        <w:rPr>
          <w:rFonts w:cs="Arial"/>
          <w:szCs w:val="22"/>
          <w:lang w:val="hr-HR"/>
        </w:rPr>
      </w:pPr>
    </w:p>
    <w:p w:rsidR="00BB138D" w:rsidRDefault="00BB138D" w:rsidP="009F4E2F">
      <w:pPr>
        <w:spacing w:line="360" w:lineRule="auto"/>
        <w:ind w:firstLine="576"/>
        <w:jc w:val="both"/>
        <w:rPr>
          <w:rFonts w:cs="Arial"/>
          <w:szCs w:val="22"/>
          <w:lang w:val="hr-HR"/>
        </w:rPr>
      </w:pPr>
    </w:p>
    <w:p w:rsidR="00BB138D" w:rsidRDefault="00BB138D" w:rsidP="009F4E2F">
      <w:pPr>
        <w:spacing w:line="360" w:lineRule="auto"/>
        <w:ind w:firstLine="576"/>
        <w:jc w:val="both"/>
        <w:rPr>
          <w:rFonts w:cs="Arial"/>
          <w:szCs w:val="22"/>
          <w:lang w:val="hr-HR"/>
        </w:rPr>
      </w:pPr>
    </w:p>
    <w:p w:rsidR="00BB138D" w:rsidRDefault="00BB138D" w:rsidP="009F4E2F">
      <w:pPr>
        <w:spacing w:line="360" w:lineRule="auto"/>
        <w:ind w:firstLine="576"/>
        <w:jc w:val="both"/>
        <w:rPr>
          <w:rFonts w:cs="Arial"/>
          <w:szCs w:val="22"/>
          <w:lang w:val="hr-HR"/>
        </w:rPr>
      </w:pPr>
    </w:p>
    <w:p w:rsidR="00BB138D" w:rsidRDefault="00BB138D" w:rsidP="009F4E2F">
      <w:pPr>
        <w:spacing w:line="360" w:lineRule="auto"/>
        <w:ind w:firstLine="576"/>
        <w:jc w:val="both"/>
        <w:rPr>
          <w:rFonts w:cs="Arial"/>
          <w:szCs w:val="22"/>
          <w:lang w:val="hr-HR"/>
        </w:rPr>
      </w:pPr>
    </w:p>
    <w:p w:rsidR="00BB138D" w:rsidRDefault="00BB138D" w:rsidP="009F4E2F">
      <w:pPr>
        <w:spacing w:line="360" w:lineRule="auto"/>
        <w:ind w:firstLine="576"/>
        <w:jc w:val="both"/>
        <w:rPr>
          <w:rFonts w:cs="Arial"/>
          <w:szCs w:val="22"/>
          <w:lang w:val="hr-HR"/>
        </w:rPr>
      </w:pPr>
    </w:p>
    <w:p w:rsidR="00BB138D" w:rsidRDefault="00BB138D" w:rsidP="009F4E2F">
      <w:pPr>
        <w:spacing w:line="360" w:lineRule="auto"/>
        <w:ind w:firstLine="576"/>
        <w:jc w:val="both"/>
        <w:rPr>
          <w:rFonts w:cs="Arial"/>
          <w:szCs w:val="22"/>
          <w:lang w:val="hr-HR"/>
        </w:rPr>
      </w:pPr>
    </w:p>
    <w:p w:rsidR="00BB138D" w:rsidRDefault="00BB138D" w:rsidP="009F4E2F">
      <w:pPr>
        <w:spacing w:line="360" w:lineRule="auto"/>
        <w:ind w:firstLine="576"/>
        <w:jc w:val="both"/>
        <w:rPr>
          <w:rFonts w:cs="Arial"/>
          <w:szCs w:val="22"/>
          <w:lang w:val="hr-HR"/>
        </w:rPr>
      </w:pPr>
    </w:p>
    <w:p w:rsidR="00BB138D" w:rsidRDefault="00BB138D" w:rsidP="009F4E2F">
      <w:pPr>
        <w:spacing w:line="360" w:lineRule="auto"/>
        <w:ind w:firstLine="576"/>
        <w:jc w:val="both"/>
        <w:rPr>
          <w:rFonts w:cs="Arial"/>
          <w:szCs w:val="22"/>
          <w:lang w:val="hr-HR"/>
        </w:rPr>
      </w:pPr>
    </w:p>
    <w:p w:rsidR="00BB138D" w:rsidRDefault="00BB138D" w:rsidP="009F4E2F">
      <w:pPr>
        <w:spacing w:line="360" w:lineRule="auto"/>
        <w:ind w:firstLine="576"/>
        <w:jc w:val="both"/>
        <w:rPr>
          <w:rFonts w:cs="Arial"/>
          <w:szCs w:val="22"/>
          <w:lang w:val="hr-HR"/>
        </w:rPr>
      </w:pPr>
    </w:p>
    <w:p w:rsidR="00BB138D" w:rsidRDefault="00BB138D" w:rsidP="009F4E2F">
      <w:pPr>
        <w:spacing w:line="360" w:lineRule="auto"/>
        <w:ind w:firstLine="576"/>
        <w:jc w:val="both"/>
        <w:rPr>
          <w:rFonts w:cs="Arial"/>
          <w:szCs w:val="22"/>
          <w:lang w:val="hr-HR"/>
        </w:rPr>
      </w:pPr>
    </w:p>
    <w:p w:rsidR="00BB138D" w:rsidRDefault="00BB138D" w:rsidP="009F4E2F">
      <w:pPr>
        <w:spacing w:line="360" w:lineRule="auto"/>
        <w:ind w:firstLine="576"/>
        <w:jc w:val="both"/>
        <w:rPr>
          <w:rFonts w:cs="Arial"/>
          <w:szCs w:val="22"/>
          <w:lang w:val="hr-HR"/>
        </w:rPr>
      </w:pPr>
    </w:p>
    <w:p w:rsidR="00BB138D" w:rsidRDefault="00BB138D" w:rsidP="009F4E2F">
      <w:pPr>
        <w:spacing w:line="360" w:lineRule="auto"/>
        <w:ind w:firstLine="576"/>
        <w:jc w:val="both"/>
        <w:rPr>
          <w:rFonts w:cs="Arial"/>
          <w:szCs w:val="22"/>
          <w:lang w:val="hr-HR"/>
        </w:rPr>
      </w:pPr>
    </w:p>
    <w:p w:rsidR="00BB138D" w:rsidRDefault="00BB138D" w:rsidP="009F4E2F">
      <w:pPr>
        <w:spacing w:line="360" w:lineRule="auto"/>
        <w:ind w:firstLine="576"/>
        <w:jc w:val="both"/>
        <w:rPr>
          <w:rFonts w:cs="Arial"/>
          <w:szCs w:val="22"/>
          <w:lang w:val="hr-HR"/>
        </w:rPr>
      </w:pPr>
    </w:p>
    <w:p w:rsidR="00BB138D" w:rsidRDefault="00BB138D" w:rsidP="009F4E2F">
      <w:pPr>
        <w:spacing w:line="360" w:lineRule="auto"/>
        <w:ind w:firstLine="576"/>
        <w:jc w:val="both"/>
        <w:rPr>
          <w:rFonts w:cs="Arial"/>
          <w:szCs w:val="22"/>
          <w:lang w:val="hr-HR"/>
        </w:rPr>
      </w:pPr>
    </w:p>
    <w:p w:rsidR="00BB138D" w:rsidRDefault="00BB138D" w:rsidP="009F4E2F">
      <w:pPr>
        <w:spacing w:line="360" w:lineRule="auto"/>
        <w:ind w:firstLine="576"/>
        <w:jc w:val="both"/>
        <w:rPr>
          <w:rFonts w:cs="Arial"/>
          <w:szCs w:val="22"/>
          <w:lang w:val="hr-HR"/>
        </w:rPr>
      </w:pPr>
    </w:p>
    <w:p w:rsidR="00BB138D" w:rsidRDefault="00BB138D" w:rsidP="009F4E2F">
      <w:pPr>
        <w:spacing w:line="360" w:lineRule="auto"/>
        <w:ind w:firstLine="576"/>
        <w:jc w:val="both"/>
        <w:rPr>
          <w:rFonts w:cs="Arial"/>
          <w:szCs w:val="22"/>
          <w:lang w:val="hr-HR"/>
        </w:rPr>
      </w:pPr>
    </w:p>
    <w:p w:rsidR="00BB138D" w:rsidRDefault="00BB138D" w:rsidP="009F4E2F">
      <w:pPr>
        <w:spacing w:line="360" w:lineRule="auto"/>
        <w:ind w:firstLine="576"/>
        <w:jc w:val="both"/>
        <w:rPr>
          <w:rFonts w:cs="Arial"/>
          <w:szCs w:val="22"/>
          <w:lang w:val="hr-HR"/>
        </w:rPr>
      </w:pPr>
    </w:p>
    <w:p w:rsidR="00BB138D" w:rsidRDefault="00BB138D" w:rsidP="009F4E2F">
      <w:pPr>
        <w:spacing w:line="360" w:lineRule="auto"/>
        <w:ind w:firstLine="576"/>
        <w:jc w:val="both"/>
        <w:rPr>
          <w:rFonts w:cs="Arial"/>
          <w:szCs w:val="22"/>
          <w:lang w:val="hr-HR"/>
        </w:rPr>
      </w:pPr>
    </w:p>
    <w:p w:rsidR="00BB138D" w:rsidRDefault="00BB138D" w:rsidP="009F4E2F">
      <w:pPr>
        <w:spacing w:line="360" w:lineRule="auto"/>
        <w:ind w:firstLine="576"/>
        <w:jc w:val="both"/>
        <w:rPr>
          <w:rFonts w:cs="Arial"/>
          <w:szCs w:val="22"/>
          <w:lang w:val="hr-HR"/>
        </w:rPr>
      </w:pPr>
    </w:p>
    <w:p w:rsidR="00BB138D" w:rsidRPr="009F4E2F" w:rsidRDefault="00BB138D" w:rsidP="009F4E2F">
      <w:pPr>
        <w:spacing w:line="360" w:lineRule="auto"/>
        <w:ind w:firstLine="576"/>
        <w:jc w:val="both"/>
        <w:rPr>
          <w:rFonts w:cs="Arial"/>
          <w:szCs w:val="22"/>
          <w:lang w:val="hr-HR"/>
        </w:rPr>
      </w:pPr>
    </w:p>
    <w:p w:rsidR="00882644" w:rsidRPr="00B830BB" w:rsidRDefault="006F7B6C" w:rsidP="006F7B6C">
      <w:pPr>
        <w:pStyle w:val="Heading1"/>
        <w:rPr>
          <w:rFonts w:cs="Arial"/>
          <w:lang w:val="hr-HR"/>
        </w:rPr>
      </w:pPr>
      <w:bookmarkStart w:id="304" w:name="_Toc386567268"/>
      <w:bookmarkStart w:id="305" w:name="_Toc386619660"/>
      <w:bookmarkStart w:id="306" w:name="_Toc386563106"/>
      <w:r>
        <w:rPr>
          <w:rFonts w:cs="Arial"/>
          <w:lang w:val="hr-HR"/>
        </w:rPr>
        <w:lastRenderedPageBreak/>
        <w:t>ZAHVALE</w:t>
      </w:r>
      <w:bookmarkEnd w:id="304"/>
      <w:bookmarkEnd w:id="305"/>
    </w:p>
    <w:p w:rsidR="00882644" w:rsidRPr="00B830BB" w:rsidRDefault="00882644" w:rsidP="00F516F4">
      <w:pPr>
        <w:pStyle w:val="Heading1"/>
        <w:numPr>
          <w:ilvl w:val="0"/>
          <w:numId w:val="0"/>
        </w:numPr>
        <w:ind w:left="432" w:hanging="432"/>
        <w:rPr>
          <w:rFonts w:cs="Arial"/>
          <w:lang w:val="hr-HR"/>
        </w:rPr>
      </w:pPr>
    </w:p>
    <w:p w:rsidR="00882644" w:rsidRPr="00B830BB" w:rsidRDefault="00882644" w:rsidP="00F516F4">
      <w:pPr>
        <w:pStyle w:val="Heading1"/>
        <w:numPr>
          <w:ilvl w:val="0"/>
          <w:numId w:val="0"/>
        </w:numPr>
        <w:ind w:left="432" w:hanging="432"/>
        <w:rPr>
          <w:rFonts w:cs="Arial"/>
          <w:lang w:val="hr-HR"/>
        </w:rPr>
      </w:pPr>
    </w:p>
    <w:p w:rsidR="0080751E" w:rsidRPr="0080751E" w:rsidRDefault="0080751E" w:rsidP="0080751E">
      <w:pPr>
        <w:spacing w:line="360" w:lineRule="auto"/>
        <w:ind w:firstLine="576"/>
        <w:jc w:val="both"/>
        <w:rPr>
          <w:rFonts w:cs="Arial"/>
          <w:szCs w:val="22"/>
          <w:lang w:val="hr-HR"/>
        </w:rPr>
      </w:pPr>
      <w:r w:rsidRPr="0080751E">
        <w:rPr>
          <w:rFonts w:cs="Arial"/>
          <w:szCs w:val="22"/>
          <w:lang w:val="hr-HR"/>
        </w:rPr>
        <w:t xml:space="preserve">Htjele bismo se zahvaliti našoj mentorici izv.prof.dr.sc. Ivičević Karas koja je svojim velikim strpljenjem, podrškom, trudom, kritikom i savjetom neizmjerno utjecala na kvalitetu ovog rada. </w:t>
      </w:r>
    </w:p>
    <w:p w:rsidR="00E7239D" w:rsidRDefault="0080751E" w:rsidP="0080751E">
      <w:pPr>
        <w:spacing w:line="360" w:lineRule="auto"/>
        <w:ind w:firstLine="576"/>
        <w:jc w:val="both"/>
        <w:rPr>
          <w:rFonts w:cs="Arial"/>
          <w:color w:val="000000"/>
          <w:sz w:val="23"/>
          <w:szCs w:val="23"/>
          <w:lang w:val="hr-HR" w:eastAsia="hr-HR"/>
        </w:rPr>
      </w:pPr>
      <w:r w:rsidRPr="0080751E">
        <w:rPr>
          <w:rFonts w:cs="Arial"/>
          <w:szCs w:val="22"/>
          <w:lang w:val="hr-HR"/>
        </w:rPr>
        <w:t xml:space="preserve">Budući da je ideja teme ovog rada, imala korijenje u jednom zajedničkom projektu, posebnu bismo zahvalu uputile i znanstvenoj novakinji Marini Gutschy. </w:t>
      </w:r>
      <w:r w:rsidR="00FF5BEF">
        <w:rPr>
          <w:rFonts w:cs="Arial"/>
          <w:szCs w:val="22"/>
          <w:lang w:val="hr-HR"/>
        </w:rPr>
        <w:t>Radeći s nama na tom projektu, cijelo vrijeme pružala nam je podršku i motivirala nas, a k</w:t>
      </w:r>
      <w:r w:rsidR="00FF5BEF" w:rsidRPr="0080751E">
        <w:rPr>
          <w:rFonts w:cs="Arial"/>
          <w:szCs w:val="22"/>
          <w:lang w:val="hr-HR"/>
        </w:rPr>
        <w:t>ada smo razmišljale o pisanju ovoga rada, od početka nas je ohrabrivala</w:t>
      </w:r>
      <w:r w:rsidR="00FF5BEF" w:rsidRPr="0080751E">
        <w:rPr>
          <w:rFonts w:cs="Arial"/>
          <w:color w:val="000000"/>
          <w:sz w:val="23"/>
          <w:szCs w:val="23"/>
          <w:lang w:val="hr-HR" w:eastAsia="hr-HR"/>
        </w:rPr>
        <w:t>.</w:t>
      </w:r>
      <w:r w:rsidR="00FF5BEF">
        <w:rPr>
          <w:rFonts w:cs="Arial"/>
          <w:color w:val="000000"/>
          <w:sz w:val="23"/>
          <w:szCs w:val="23"/>
          <w:lang w:val="hr-HR" w:eastAsia="hr-HR"/>
        </w:rPr>
        <w:t xml:space="preserve"> </w:t>
      </w:r>
      <w:r w:rsidR="00846467">
        <w:rPr>
          <w:rFonts w:cs="Arial"/>
          <w:szCs w:val="22"/>
          <w:lang w:val="hr-HR"/>
        </w:rPr>
        <w:t xml:space="preserve">Zahvalne smo što smo imale </w:t>
      </w:r>
      <w:r w:rsidR="005A254B">
        <w:rPr>
          <w:rFonts w:cs="Arial"/>
          <w:szCs w:val="22"/>
          <w:lang w:val="hr-HR"/>
        </w:rPr>
        <w:t>priliku učiti od nje i s njom</w:t>
      </w:r>
      <w:r w:rsidRPr="0080751E">
        <w:rPr>
          <w:rFonts w:cs="Arial"/>
          <w:szCs w:val="22"/>
          <w:lang w:val="hr-HR"/>
        </w:rPr>
        <w:t xml:space="preserve">. </w:t>
      </w:r>
    </w:p>
    <w:p w:rsidR="0080751E" w:rsidRDefault="0080751E" w:rsidP="0080751E">
      <w:pPr>
        <w:spacing w:line="360" w:lineRule="auto"/>
        <w:ind w:firstLine="576"/>
        <w:jc w:val="both"/>
        <w:rPr>
          <w:rFonts w:cs="Arial"/>
          <w:color w:val="000000"/>
          <w:sz w:val="23"/>
          <w:szCs w:val="23"/>
          <w:lang w:val="hr-HR" w:eastAsia="hr-HR"/>
        </w:rPr>
      </w:pPr>
    </w:p>
    <w:p w:rsidR="0080751E" w:rsidRPr="00E7239D" w:rsidRDefault="0080751E" w:rsidP="0080751E">
      <w:pPr>
        <w:spacing w:line="360" w:lineRule="auto"/>
        <w:ind w:firstLine="576"/>
        <w:jc w:val="both"/>
        <w:rPr>
          <w:rFonts w:cs="Arial"/>
          <w:szCs w:val="22"/>
          <w:lang w:val="hr-HR"/>
        </w:rPr>
      </w:pPr>
    </w:p>
    <w:p w:rsidR="00F76DC5" w:rsidRPr="00B830BB" w:rsidRDefault="00F76DC5" w:rsidP="000304B5">
      <w:pPr>
        <w:pStyle w:val="Heading1"/>
        <w:rPr>
          <w:rFonts w:cs="Arial"/>
          <w:lang w:val="hr-HR"/>
        </w:rPr>
      </w:pPr>
      <w:bookmarkStart w:id="307" w:name="_Toc386285826"/>
      <w:bookmarkStart w:id="308" w:name="_Toc386567269"/>
      <w:bookmarkStart w:id="309" w:name="_Toc386619661"/>
      <w:r w:rsidRPr="00B830BB">
        <w:rPr>
          <w:rFonts w:cs="Arial"/>
          <w:lang w:val="hr-HR"/>
        </w:rPr>
        <w:t>Popis literature</w:t>
      </w:r>
      <w:bookmarkEnd w:id="306"/>
      <w:bookmarkEnd w:id="307"/>
      <w:bookmarkEnd w:id="308"/>
      <w:bookmarkEnd w:id="309"/>
    </w:p>
    <w:p w:rsidR="00F76DC5" w:rsidRPr="00B830BB" w:rsidRDefault="00F76DC5" w:rsidP="00AD19A6">
      <w:pPr>
        <w:spacing w:line="360" w:lineRule="auto"/>
        <w:jc w:val="both"/>
        <w:rPr>
          <w:rFonts w:cs="Arial"/>
          <w:szCs w:val="22"/>
          <w:lang w:val="hr-HR"/>
        </w:rPr>
      </w:pPr>
    </w:p>
    <w:p w:rsidR="00E30A47" w:rsidRPr="00EC0E63" w:rsidRDefault="00E30A47" w:rsidP="00EC0E63">
      <w:pPr>
        <w:pStyle w:val="ListParagraph"/>
        <w:numPr>
          <w:ilvl w:val="0"/>
          <w:numId w:val="18"/>
        </w:numPr>
        <w:spacing w:line="360" w:lineRule="auto"/>
        <w:jc w:val="both"/>
        <w:rPr>
          <w:rFonts w:cs="Arial"/>
          <w:b/>
          <w:szCs w:val="22"/>
          <w:lang w:val="hr-HR"/>
        </w:rPr>
      </w:pPr>
      <w:r w:rsidRPr="00EC0E63">
        <w:rPr>
          <w:rFonts w:cs="Arial"/>
          <w:b/>
          <w:szCs w:val="22"/>
          <w:lang w:val="hr-HR"/>
        </w:rPr>
        <w:t xml:space="preserve">Knjige i časopisi </w:t>
      </w:r>
    </w:p>
    <w:p w:rsidR="007748B9" w:rsidRPr="00A11E2E" w:rsidRDefault="007748B9" w:rsidP="00D32EC1">
      <w:pPr>
        <w:pStyle w:val="ListParagraph"/>
        <w:numPr>
          <w:ilvl w:val="0"/>
          <w:numId w:val="19"/>
        </w:numPr>
        <w:spacing w:line="360" w:lineRule="auto"/>
        <w:ind w:left="567" w:hanging="425"/>
        <w:jc w:val="both"/>
        <w:rPr>
          <w:rFonts w:cs="Arial"/>
          <w:szCs w:val="22"/>
          <w:lang w:val="hr-HR"/>
        </w:rPr>
      </w:pPr>
      <w:r w:rsidRPr="00A11E2E">
        <w:rPr>
          <w:rFonts w:cs="Arial"/>
          <w:szCs w:val="22"/>
          <w:lang w:val="hr-HR"/>
        </w:rPr>
        <w:t>Alaburić, Vesna; Ograničavanje „govora mržnje“ u demokratskome društvu – teorijski, z</w:t>
      </w:r>
      <w:r w:rsidR="008D3B6D">
        <w:rPr>
          <w:rFonts w:cs="Arial"/>
          <w:szCs w:val="22"/>
          <w:lang w:val="hr-HR"/>
        </w:rPr>
        <w:t>akonodavni i praktični aspekti</w:t>
      </w:r>
      <w:r w:rsidRPr="00A11E2E">
        <w:rPr>
          <w:rFonts w:cs="Arial"/>
          <w:szCs w:val="22"/>
          <w:lang w:val="hr-HR"/>
        </w:rPr>
        <w:t>, u: Hrvatska pravna revija</w:t>
      </w:r>
      <w:r w:rsidR="00584877" w:rsidRPr="00A11E2E">
        <w:rPr>
          <w:rFonts w:cs="Arial"/>
          <w:szCs w:val="22"/>
          <w:lang w:val="hr-HR"/>
        </w:rPr>
        <w:t xml:space="preserve"> 3(2003),2; str.</w:t>
      </w:r>
      <w:r w:rsidR="00741C57">
        <w:rPr>
          <w:rFonts w:cs="Arial"/>
          <w:szCs w:val="22"/>
          <w:lang w:val="hr-HR"/>
        </w:rPr>
        <w:t xml:space="preserve"> </w:t>
      </w:r>
      <w:r w:rsidR="00584877" w:rsidRPr="00A11E2E">
        <w:rPr>
          <w:rFonts w:cs="Arial"/>
          <w:szCs w:val="22"/>
          <w:lang w:val="hr-HR"/>
        </w:rPr>
        <w:t>80-90.</w:t>
      </w:r>
    </w:p>
    <w:p w:rsidR="005212B6" w:rsidRPr="00A11E2E" w:rsidRDefault="005212B6" w:rsidP="00D32EC1">
      <w:pPr>
        <w:pStyle w:val="ListParagraph"/>
        <w:numPr>
          <w:ilvl w:val="0"/>
          <w:numId w:val="19"/>
        </w:numPr>
        <w:spacing w:line="360" w:lineRule="auto"/>
        <w:ind w:left="567" w:hanging="425"/>
        <w:jc w:val="both"/>
        <w:rPr>
          <w:rFonts w:cs="Arial"/>
          <w:szCs w:val="22"/>
          <w:lang w:val="hr-HR"/>
        </w:rPr>
      </w:pPr>
      <w:r w:rsidRPr="00A11E2E">
        <w:rPr>
          <w:rFonts w:cs="Arial"/>
          <w:szCs w:val="22"/>
          <w:lang w:val="hr-HR"/>
        </w:rPr>
        <w:t>Arai-Takahashi, Yutaka; The Margin of Appreciation Doctrine and the Principle of Proportionality in the Jurisprudence of the ECHR, Intersentia 2001.,</w:t>
      </w:r>
    </w:p>
    <w:p w:rsidR="005212B6" w:rsidRPr="00A11E2E" w:rsidRDefault="005212B6" w:rsidP="00D32EC1">
      <w:pPr>
        <w:pStyle w:val="ListParagraph"/>
        <w:numPr>
          <w:ilvl w:val="0"/>
          <w:numId w:val="19"/>
        </w:numPr>
        <w:spacing w:line="360" w:lineRule="auto"/>
        <w:ind w:left="567" w:hanging="425"/>
        <w:jc w:val="both"/>
        <w:rPr>
          <w:rFonts w:cs="Arial"/>
          <w:szCs w:val="22"/>
          <w:lang w:val="hr-HR"/>
        </w:rPr>
      </w:pPr>
      <w:r w:rsidRPr="00A11E2E">
        <w:rPr>
          <w:rFonts w:cs="Arial"/>
          <w:szCs w:val="22"/>
          <w:lang w:val="hr-HR"/>
        </w:rPr>
        <w:t>Benedek, Wolfgang; Kettemann, Matthias C.; Freedom of expression and the internet, Vijeće Europe, 2014.,</w:t>
      </w:r>
    </w:p>
    <w:p w:rsidR="005212B6" w:rsidRPr="00A11E2E" w:rsidRDefault="005212B6" w:rsidP="00D32EC1">
      <w:pPr>
        <w:pStyle w:val="ListParagraph"/>
        <w:numPr>
          <w:ilvl w:val="0"/>
          <w:numId w:val="19"/>
        </w:numPr>
        <w:spacing w:line="360" w:lineRule="auto"/>
        <w:ind w:left="567" w:hanging="425"/>
        <w:jc w:val="both"/>
        <w:rPr>
          <w:rFonts w:cs="Arial"/>
          <w:szCs w:val="22"/>
          <w:lang w:val="hr-HR"/>
        </w:rPr>
      </w:pPr>
      <w:r w:rsidRPr="00A11E2E">
        <w:rPr>
          <w:rFonts w:cs="Arial"/>
          <w:szCs w:val="22"/>
          <w:lang w:val="hr-HR"/>
        </w:rPr>
        <w:t>Castendyk, Oliver; Dommering, E.J.; Scheuer, Alexander; European Media Law; Kluwer Law International, 2008.,</w:t>
      </w:r>
    </w:p>
    <w:p w:rsidR="005212B6" w:rsidRPr="00A11E2E" w:rsidRDefault="005212B6" w:rsidP="00D32EC1">
      <w:pPr>
        <w:pStyle w:val="ListParagraph"/>
        <w:numPr>
          <w:ilvl w:val="0"/>
          <w:numId w:val="19"/>
        </w:numPr>
        <w:spacing w:line="360" w:lineRule="auto"/>
        <w:ind w:left="567" w:hanging="425"/>
        <w:jc w:val="both"/>
        <w:rPr>
          <w:rFonts w:cs="Arial"/>
          <w:szCs w:val="22"/>
          <w:lang w:val="hr-HR"/>
        </w:rPr>
      </w:pPr>
      <w:r w:rsidRPr="00A11E2E">
        <w:rPr>
          <w:rFonts w:cs="Arial"/>
          <w:szCs w:val="22"/>
          <w:lang w:val="hr-HR"/>
        </w:rPr>
        <w:t>Cohen-Almagor, Raphael; Freedomo of Expression, Internet Responsibility, and Business Ethics: The Yahoo! Saga and Its Implications,  u: J Bus Ethics, 2012., 106, str. 353 – 365,</w:t>
      </w:r>
    </w:p>
    <w:p w:rsidR="005212B6" w:rsidRPr="00A11E2E" w:rsidRDefault="005212B6" w:rsidP="00D32EC1">
      <w:pPr>
        <w:pStyle w:val="ListParagraph"/>
        <w:numPr>
          <w:ilvl w:val="0"/>
          <w:numId w:val="19"/>
        </w:numPr>
        <w:spacing w:line="360" w:lineRule="auto"/>
        <w:ind w:left="567" w:hanging="425"/>
        <w:jc w:val="both"/>
        <w:rPr>
          <w:rFonts w:cs="Arial"/>
          <w:szCs w:val="22"/>
          <w:lang w:val="hr-HR"/>
        </w:rPr>
      </w:pPr>
      <w:r w:rsidRPr="00A11E2E">
        <w:rPr>
          <w:rFonts w:cs="Arial"/>
          <w:szCs w:val="22"/>
          <w:lang w:val="hr-HR"/>
        </w:rPr>
        <w:t>Čižmek, Željko ; Poticanje na diskriminaciju, IUSINFO, 2013.</w:t>
      </w:r>
    </w:p>
    <w:p w:rsidR="005212B6" w:rsidRPr="00A11E2E" w:rsidRDefault="005212B6" w:rsidP="00D32EC1">
      <w:pPr>
        <w:pStyle w:val="ListParagraph"/>
        <w:numPr>
          <w:ilvl w:val="0"/>
          <w:numId w:val="19"/>
        </w:numPr>
        <w:spacing w:line="360" w:lineRule="auto"/>
        <w:ind w:left="567" w:hanging="425"/>
        <w:jc w:val="both"/>
        <w:rPr>
          <w:rFonts w:cs="Arial"/>
          <w:szCs w:val="22"/>
          <w:lang w:val="hr-HR"/>
        </w:rPr>
      </w:pPr>
      <w:r w:rsidRPr="00A11E2E">
        <w:rPr>
          <w:rFonts w:cs="Arial"/>
          <w:szCs w:val="22"/>
          <w:lang w:val="hr-HR"/>
        </w:rPr>
        <w:t>Dragičević, Dražen; Gumzej, Nina, Odgovornost posrednika za povrede autorskog i srodnih prava na internetu, Zbornik Pravnog fakulteta u Zagrebu, 62(2012),4; str.1003-1042,</w:t>
      </w:r>
    </w:p>
    <w:p w:rsidR="005212B6" w:rsidRPr="00A11E2E" w:rsidRDefault="005212B6" w:rsidP="00D32EC1">
      <w:pPr>
        <w:pStyle w:val="ListParagraph"/>
        <w:numPr>
          <w:ilvl w:val="0"/>
          <w:numId w:val="19"/>
        </w:numPr>
        <w:spacing w:line="360" w:lineRule="auto"/>
        <w:ind w:left="567" w:hanging="425"/>
        <w:jc w:val="both"/>
        <w:rPr>
          <w:rFonts w:cs="Arial"/>
          <w:szCs w:val="22"/>
          <w:lang w:val="hr-HR"/>
        </w:rPr>
      </w:pPr>
      <w:r w:rsidRPr="00A11E2E">
        <w:rPr>
          <w:rFonts w:cs="Arial"/>
          <w:szCs w:val="22"/>
          <w:lang w:val="hr-HR"/>
        </w:rPr>
        <w:t>Dutton, William; Dopatka, Anna; Hills, Michael; Law, Ginette; Nash, Vistoria; Freedom of connection – Freedom of expression The Changing Legal and Regulatory Ecology Shaping the Internet,</w:t>
      </w:r>
    </w:p>
    <w:p w:rsidR="005212B6" w:rsidRPr="00A11E2E" w:rsidRDefault="005212B6" w:rsidP="00D32EC1">
      <w:pPr>
        <w:pStyle w:val="ListParagraph"/>
        <w:numPr>
          <w:ilvl w:val="0"/>
          <w:numId w:val="19"/>
        </w:numPr>
        <w:spacing w:line="360" w:lineRule="auto"/>
        <w:ind w:left="567" w:hanging="425"/>
        <w:jc w:val="both"/>
        <w:rPr>
          <w:rFonts w:cs="Arial"/>
          <w:szCs w:val="22"/>
          <w:lang w:val="hr-HR"/>
        </w:rPr>
      </w:pPr>
      <w:r w:rsidRPr="00A11E2E">
        <w:rPr>
          <w:rFonts w:cs="Arial"/>
          <w:szCs w:val="22"/>
          <w:lang w:val="hr-HR"/>
        </w:rPr>
        <w:t>Đurđević, Zlata; Gluščić, Stjepan; Ivičević Karas, Elizabeta, Josipović, Ivo; Novoselec, Hajrija; Kazneno procesno pravo – Primjerovnik, Zagreb, 2012.,</w:t>
      </w:r>
    </w:p>
    <w:p w:rsidR="005212B6" w:rsidRPr="00A11E2E" w:rsidRDefault="005212B6" w:rsidP="00D32EC1">
      <w:pPr>
        <w:pStyle w:val="ListParagraph"/>
        <w:numPr>
          <w:ilvl w:val="0"/>
          <w:numId w:val="19"/>
        </w:numPr>
        <w:spacing w:line="360" w:lineRule="auto"/>
        <w:ind w:left="567" w:hanging="425"/>
        <w:jc w:val="both"/>
        <w:rPr>
          <w:rFonts w:cs="Arial"/>
          <w:szCs w:val="22"/>
          <w:lang w:val="hr-HR"/>
        </w:rPr>
      </w:pPr>
      <w:r w:rsidRPr="00A11E2E">
        <w:rPr>
          <w:rFonts w:cs="Arial"/>
          <w:szCs w:val="22"/>
          <w:lang w:val="hr-HR"/>
        </w:rPr>
        <w:lastRenderedPageBreak/>
        <w:t>General Comment No. 11: Prohibition of propaganda for war and inciting national, racial or religious hatred (Art. 20): 29/07/1983,</w:t>
      </w:r>
    </w:p>
    <w:p w:rsidR="005212B6" w:rsidRPr="00A11E2E" w:rsidRDefault="005212B6" w:rsidP="00D32EC1">
      <w:pPr>
        <w:pStyle w:val="ListParagraph"/>
        <w:numPr>
          <w:ilvl w:val="0"/>
          <w:numId w:val="19"/>
        </w:numPr>
        <w:spacing w:line="360" w:lineRule="auto"/>
        <w:ind w:left="567" w:hanging="425"/>
        <w:jc w:val="both"/>
        <w:rPr>
          <w:rFonts w:cs="Arial"/>
          <w:szCs w:val="22"/>
          <w:lang w:val="hr-HR"/>
        </w:rPr>
      </w:pPr>
      <w:r w:rsidRPr="00A11E2E">
        <w:rPr>
          <w:rFonts w:cs="Arial"/>
          <w:szCs w:val="22"/>
          <w:lang w:val="hr-HR"/>
        </w:rPr>
        <w:t xml:space="preserve">Gerards, Janneke; Inadmisibility Decisions of </w:t>
      </w:r>
      <w:r w:rsidR="0080751E">
        <w:rPr>
          <w:rFonts w:cs="Arial"/>
          <w:szCs w:val="22"/>
          <w:lang w:val="hr-HR"/>
        </w:rPr>
        <w:t>t</w:t>
      </w:r>
      <w:r w:rsidRPr="00A11E2E">
        <w:rPr>
          <w:rFonts w:cs="Arial"/>
          <w:szCs w:val="22"/>
          <w:lang w:val="hr-HR"/>
        </w:rPr>
        <w:t xml:space="preserve">he European Court of Human Rights: A Critique of </w:t>
      </w:r>
      <w:r w:rsidR="0080751E">
        <w:rPr>
          <w:rFonts w:cs="Arial"/>
          <w:szCs w:val="22"/>
          <w:lang w:val="hr-HR"/>
        </w:rPr>
        <w:t>t</w:t>
      </w:r>
      <w:r w:rsidRPr="00A11E2E">
        <w:rPr>
          <w:rFonts w:cs="Arial"/>
          <w:szCs w:val="22"/>
          <w:lang w:val="hr-HR"/>
        </w:rPr>
        <w:t>he Lack of Reasoning, in: Human Rights Law Review, 2014, 0, str. 1-11,</w:t>
      </w:r>
    </w:p>
    <w:p w:rsidR="005212B6" w:rsidRPr="00A11E2E" w:rsidRDefault="005212B6" w:rsidP="00D32EC1">
      <w:pPr>
        <w:pStyle w:val="ListParagraph"/>
        <w:numPr>
          <w:ilvl w:val="0"/>
          <w:numId w:val="19"/>
        </w:numPr>
        <w:spacing w:line="360" w:lineRule="auto"/>
        <w:ind w:left="567" w:hanging="425"/>
        <w:jc w:val="both"/>
        <w:rPr>
          <w:rFonts w:cs="Arial"/>
          <w:szCs w:val="22"/>
          <w:lang w:val="hr-HR"/>
        </w:rPr>
      </w:pPr>
      <w:r w:rsidRPr="00A11E2E">
        <w:rPr>
          <w:rFonts w:cs="Arial"/>
          <w:szCs w:val="22"/>
          <w:lang w:val="hr-HR"/>
        </w:rPr>
        <w:t>Gisbert, Rafael Bustos;  “The Right to Freedom of Expression in a Democratic Society (Art. 10 ECHR)”, u: Garcia Roca,Santolaya (ur.), Europe of Rights: A Compendium on the European Convention of Human Rights,</w:t>
      </w:r>
    </w:p>
    <w:p w:rsidR="005212B6" w:rsidRDefault="005212B6" w:rsidP="00D32EC1">
      <w:pPr>
        <w:pStyle w:val="ListParagraph"/>
        <w:numPr>
          <w:ilvl w:val="0"/>
          <w:numId w:val="19"/>
        </w:numPr>
        <w:spacing w:line="360" w:lineRule="auto"/>
        <w:ind w:left="567" w:hanging="425"/>
        <w:jc w:val="both"/>
        <w:rPr>
          <w:rFonts w:cs="Arial"/>
          <w:szCs w:val="22"/>
          <w:lang w:val="hr-HR"/>
        </w:rPr>
      </w:pPr>
      <w:r w:rsidRPr="00A11E2E">
        <w:rPr>
          <w:rFonts w:cs="Arial"/>
          <w:szCs w:val="22"/>
          <w:lang w:val="hr-HR"/>
        </w:rPr>
        <w:t>Greenberg, Marc; A Return to Lilliput: The LICRA v. Yahoo! Case and the Regulation of Online Content in the World Market, u: Berkeley Technology Law Journal, Volumen 18, str. 1191 – 1258,</w:t>
      </w:r>
    </w:p>
    <w:p w:rsidR="0065255F" w:rsidRPr="00A11E2E" w:rsidRDefault="0065255F" w:rsidP="00D32EC1">
      <w:pPr>
        <w:pStyle w:val="ListParagraph"/>
        <w:numPr>
          <w:ilvl w:val="0"/>
          <w:numId w:val="19"/>
        </w:numPr>
        <w:spacing w:line="360" w:lineRule="auto"/>
        <w:ind w:left="567" w:hanging="425"/>
        <w:jc w:val="both"/>
        <w:rPr>
          <w:rFonts w:cs="Arial"/>
          <w:szCs w:val="22"/>
          <w:lang w:val="hr-HR"/>
        </w:rPr>
      </w:pPr>
      <w:r>
        <w:rPr>
          <w:lang w:val="hr-HR"/>
        </w:rPr>
        <w:t xml:space="preserve">Grgić, Potočnjak, Rodin et al., Vodič uz zakon o suzbijanju diskriminacije, </w:t>
      </w:r>
      <w:r w:rsidRPr="008B3A82">
        <w:rPr>
          <w:lang w:val="hr-HR"/>
        </w:rPr>
        <w:t>Ured za ljudska prava Vlade Republike Hrvatske</w:t>
      </w:r>
      <w:r>
        <w:rPr>
          <w:lang w:val="hr-HR"/>
        </w:rPr>
        <w:t>, 2009</w:t>
      </w:r>
      <w:r w:rsidR="00741C57">
        <w:rPr>
          <w:lang w:val="hr-HR"/>
        </w:rPr>
        <w:t>.,</w:t>
      </w:r>
    </w:p>
    <w:p w:rsidR="005212B6" w:rsidRDefault="005212B6" w:rsidP="00D32EC1">
      <w:pPr>
        <w:pStyle w:val="ListParagraph"/>
        <w:numPr>
          <w:ilvl w:val="0"/>
          <w:numId w:val="19"/>
        </w:numPr>
        <w:spacing w:line="360" w:lineRule="auto"/>
        <w:ind w:left="567" w:hanging="425"/>
        <w:jc w:val="both"/>
        <w:rPr>
          <w:rFonts w:cs="Arial"/>
          <w:szCs w:val="22"/>
          <w:lang w:val="hr-HR"/>
        </w:rPr>
      </w:pPr>
      <w:r w:rsidRPr="00A11E2E">
        <w:rPr>
          <w:rFonts w:cs="Arial"/>
          <w:szCs w:val="22"/>
          <w:lang w:val="hr-HR"/>
        </w:rPr>
        <w:t>Janis, Mark; Kay, Richard; Bradley, Anthony; European Human Rights Law – Text and Materials, Oxford press, treće izdanje, 2008.,</w:t>
      </w:r>
    </w:p>
    <w:p w:rsidR="0065255F" w:rsidRPr="00A11E2E" w:rsidRDefault="0065255F" w:rsidP="00D32EC1">
      <w:pPr>
        <w:pStyle w:val="ListParagraph"/>
        <w:numPr>
          <w:ilvl w:val="0"/>
          <w:numId w:val="19"/>
        </w:numPr>
        <w:spacing w:line="360" w:lineRule="auto"/>
        <w:ind w:left="567" w:hanging="425"/>
        <w:jc w:val="both"/>
        <w:rPr>
          <w:rFonts w:cs="Arial"/>
          <w:szCs w:val="22"/>
          <w:lang w:val="hr-HR"/>
        </w:rPr>
      </w:pPr>
      <w:r>
        <w:rPr>
          <w:lang w:val="hr-HR"/>
        </w:rPr>
        <w:t>Jelušić, Damir, Postupak pred sudom u antidiskriminacijskim parnicama vođenim temeljem Zakona o suzbijanju diskriminacije, 2009.</w:t>
      </w:r>
      <w:r w:rsidR="00741C57">
        <w:rPr>
          <w:lang w:val="hr-HR"/>
        </w:rPr>
        <w:t>,</w:t>
      </w:r>
    </w:p>
    <w:p w:rsidR="005212B6" w:rsidRPr="00A11E2E" w:rsidRDefault="005212B6" w:rsidP="00D32EC1">
      <w:pPr>
        <w:pStyle w:val="ListParagraph"/>
        <w:numPr>
          <w:ilvl w:val="0"/>
          <w:numId w:val="19"/>
        </w:numPr>
        <w:spacing w:line="360" w:lineRule="auto"/>
        <w:ind w:left="567" w:hanging="425"/>
        <w:jc w:val="both"/>
        <w:rPr>
          <w:rFonts w:cs="Arial"/>
          <w:szCs w:val="22"/>
          <w:lang w:val="hr-HR"/>
        </w:rPr>
      </w:pPr>
      <w:r w:rsidRPr="00A11E2E">
        <w:rPr>
          <w:rFonts w:cs="Arial"/>
          <w:szCs w:val="22"/>
          <w:lang w:val="hr-HR"/>
        </w:rPr>
        <w:t>Klarić, Petar; Vedriš, Martin, Građansko pravo, Zagreb, 2009.,</w:t>
      </w:r>
    </w:p>
    <w:p w:rsidR="005212B6" w:rsidRPr="00A11E2E" w:rsidRDefault="005212B6" w:rsidP="00D32EC1">
      <w:pPr>
        <w:pStyle w:val="ListParagraph"/>
        <w:numPr>
          <w:ilvl w:val="0"/>
          <w:numId w:val="19"/>
        </w:numPr>
        <w:spacing w:line="360" w:lineRule="auto"/>
        <w:ind w:left="567" w:hanging="425"/>
        <w:jc w:val="both"/>
        <w:rPr>
          <w:rFonts w:cs="Arial"/>
          <w:szCs w:val="22"/>
          <w:lang w:val="hr-HR"/>
        </w:rPr>
      </w:pPr>
      <w:r w:rsidRPr="00A11E2E">
        <w:rPr>
          <w:rFonts w:cs="Arial"/>
          <w:szCs w:val="22"/>
          <w:lang w:val="hr-HR"/>
        </w:rPr>
        <w:t xml:space="preserve">Kos, Damir; Novosel, Dragan; Nola, Sanja; Božić, Hrvoje et. al., Zakon o kaznenom postupku i drugi izvori kaznenog postupovnog prava,  Zagreb, 2014. </w:t>
      </w:r>
      <w:r w:rsidR="00741C57">
        <w:rPr>
          <w:rFonts w:cs="Arial"/>
          <w:szCs w:val="22"/>
          <w:lang w:val="hr-HR"/>
        </w:rPr>
        <w:t>,</w:t>
      </w:r>
    </w:p>
    <w:p w:rsidR="005212B6" w:rsidRPr="00A11E2E" w:rsidRDefault="005212B6" w:rsidP="00D32EC1">
      <w:pPr>
        <w:pStyle w:val="ListParagraph"/>
        <w:numPr>
          <w:ilvl w:val="0"/>
          <w:numId w:val="19"/>
        </w:numPr>
        <w:spacing w:line="360" w:lineRule="auto"/>
        <w:ind w:left="567" w:hanging="425"/>
        <w:jc w:val="both"/>
        <w:rPr>
          <w:rFonts w:cs="Arial"/>
          <w:szCs w:val="22"/>
          <w:lang w:val="hr-HR"/>
        </w:rPr>
      </w:pPr>
      <w:r w:rsidRPr="00A11E2E">
        <w:rPr>
          <w:rFonts w:cs="Arial"/>
          <w:szCs w:val="22"/>
          <w:lang w:val="hr-HR"/>
        </w:rPr>
        <w:t>Krapac, Davor; Novi Zakon o međunarodnoj pravnoj pomoći: načela i postupci, u: Hrvatski ljetopis za kazneno pravo i praksu (Zagreb), vol. 12, broj 2/2005, str. 625-680,</w:t>
      </w:r>
    </w:p>
    <w:p w:rsidR="005212B6" w:rsidRPr="00A11E2E" w:rsidRDefault="005212B6" w:rsidP="00D32EC1">
      <w:pPr>
        <w:pStyle w:val="ListParagraph"/>
        <w:numPr>
          <w:ilvl w:val="0"/>
          <w:numId w:val="19"/>
        </w:numPr>
        <w:spacing w:line="360" w:lineRule="auto"/>
        <w:ind w:left="567" w:hanging="425"/>
        <w:jc w:val="both"/>
        <w:rPr>
          <w:rFonts w:cs="Arial"/>
          <w:szCs w:val="22"/>
          <w:lang w:val="hr-HR"/>
        </w:rPr>
      </w:pPr>
      <w:r w:rsidRPr="00A11E2E">
        <w:rPr>
          <w:rFonts w:cs="Arial"/>
          <w:szCs w:val="22"/>
          <w:lang w:val="hr-HR"/>
        </w:rPr>
        <w:t>Kregar, Josip; Pravno javnosti je reći,</w:t>
      </w:r>
    </w:p>
    <w:p w:rsidR="005212B6" w:rsidRPr="00A11E2E" w:rsidRDefault="005212B6" w:rsidP="00D32EC1">
      <w:pPr>
        <w:pStyle w:val="ListParagraph"/>
        <w:numPr>
          <w:ilvl w:val="0"/>
          <w:numId w:val="19"/>
        </w:numPr>
        <w:spacing w:line="360" w:lineRule="auto"/>
        <w:ind w:left="567" w:hanging="425"/>
        <w:jc w:val="both"/>
        <w:rPr>
          <w:rFonts w:cs="Arial"/>
          <w:szCs w:val="22"/>
          <w:lang w:val="hr-HR"/>
        </w:rPr>
      </w:pPr>
      <w:r w:rsidRPr="00A11E2E">
        <w:rPr>
          <w:rFonts w:cs="Arial"/>
          <w:szCs w:val="22"/>
          <w:lang w:val="hr-HR"/>
        </w:rPr>
        <w:t>Matić, Tin, Pravo virtualnih pravnih odnosa – elektronička trgovina, Zagreb, 2012.,</w:t>
      </w:r>
    </w:p>
    <w:p w:rsidR="005212B6" w:rsidRPr="00A11E2E" w:rsidRDefault="005212B6" w:rsidP="00D32EC1">
      <w:pPr>
        <w:pStyle w:val="ListParagraph"/>
        <w:numPr>
          <w:ilvl w:val="0"/>
          <w:numId w:val="19"/>
        </w:numPr>
        <w:spacing w:line="360" w:lineRule="auto"/>
        <w:ind w:left="567" w:hanging="425"/>
        <w:jc w:val="both"/>
        <w:rPr>
          <w:rFonts w:cs="Arial"/>
          <w:szCs w:val="22"/>
          <w:lang w:val="hr-HR"/>
        </w:rPr>
      </w:pPr>
      <w:r w:rsidRPr="00A11E2E">
        <w:rPr>
          <w:rFonts w:cs="Arial"/>
          <w:szCs w:val="22"/>
          <w:lang w:val="hr-HR"/>
        </w:rPr>
        <w:t>Munivrana Vajda, Maja; Novi Kazneni zakon u svjetlu pristupanja Europskoj uniji: inkriminiranje govora mržnje i nekih drugih oblika rasizma i ksenofobije, u: Godišnjak Akademije pravnih znanosti Hrvatske, vol. IV, broj 1/2013, str. 131.-142.,</w:t>
      </w:r>
    </w:p>
    <w:p w:rsidR="00F70406" w:rsidRDefault="005212B6" w:rsidP="006818D3">
      <w:pPr>
        <w:pStyle w:val="ListParagraph"/>
        <w:numPr>
          <w:ilvl w:val="0"/>
          <w:numId w:val="19"/>
        </w:numPr>
        <w:spacing w:line="360" w:lineRule="auto"/>
        <w:ind w:left="567" w:hanging="425"/>
        <w:jc w:val="both"/>
        <w:rPr>
          <w:rFonts w:cs="Arial"/>
          <w:szCs w:val="22"/>
          <w:lang w:val="hr-HR"/>
        </w:rPr>
      </w:pPr>
      <w:r w:rsidRPr="00A11E2E">
        <w:rPr>
          <w:rFonts w:cs="Arial"/>
          <w:szCs w:val="22"/>
          <w:lang w:val="hr-HR"/>
        </w:rPr>
        <w:t xml:space="preserve">Organizacija za ekonomsku suradnju i razvoj, The Economic and Social Role of Internet </w:t>
      </w:r>
      <w:r w:rsidR="006818D3" w:rsidRPr="00A11E2E">
        <w:rPr>
          <w:rFonts w:cs="Arial"/>
          <w:szCs w:val="22"/>
          <w:lang w:val="hr-HR"/>
        </w:rPr>
        <w:t>Intermediaries, 2010.,</w:t>
      </w:r>
    </w:p>
    <w:p w:rsidR="005212B6" w:rsidRPr="006818D3" w:rsidRDefault="00F70406" w:rsidP="006818D3">
      <w:pPr>
        <w:pStyle w:val="ListParagraph"/>
        <w:numPr>
          <w:ilvl w:val="0"/>
          <w:numId w:val="19"/>
        </w:numPr>
        <w:spacing w:line="360" w:lineRule="auto"/>
        <w:ind w:left="567" w:hanging="425"/>
        <w:jc w:val="both"/>
        <w:rPr>
          <w:rFonts w:cs="Arial"/>
          <w:szCs w:val="22"/>
          <w:lang w:val="hr-HR"/>
        </w:rPr>
      </w:pPr>
      <w:r w:rsidRPr="00F70406">
        <w:rPr>
          <w:rFonts w:cs="Arial"/>
          <w:szCs w:val="22"/>
          <w:lang w:val="hr-HR"/>
        </w:rPr>
        <w:t>Rodin, Siniša; Ćapeta, Tamara; Učinci dire</w:t>
      </w:r>
      <w:r w:rsidR="00176E1A">
        <w:rPr>
          <w:rFonts w:cs="Arial"/>
          <w:szCs w:val="22"/>
          <w:lang w:val="hr-HR"/>
        </w:rPr>
        <w:t>k</w:t>
      </w:r>
      <w:r w:rsidRPr="00F70406">
        <w:rPr>
          <w:rFonts w:cs="Arial"/>
          <w:szCs w:val="22"/>
          <w:lang w:val="hr-HR"/>
        </w:rPr>
        <w:t>tiva Europske unije u nacionalnom pravu s izabranim presudama Europskog suda u punom tekstu i komentarom; Pravosudna akademija, 2008.,</w:t>
      </w:r>
    </w:p>
    <w:p w:rsidR="005212B6" w:rsidRPr="00A11E2E" w:rsidRDefault="005212B6" w:rsidP="00D32EC1">
      <w:pPr>
        <w:pStyle w:val="ListParagraph"/>
        <w:numPr>
          <w:ilvl w:val="0"/>
          <w:numId w:val="19"/>
        </w:numPr>
        <w:spacing w:line="360" w:lineRule="auto"/>
        <w:ind w:left="567" w:hanging="425"/>
        <w:jc w:val="both"/>
        <w:rPr>
          <w:rFonts w:cs="Arial"/>
          <w:szCs w:val="22"/>
          <w:lang w:val="hr-HR"/>
        </w:rPr>
      </w:pPr>
      <w:r w:rsidRPr="00A11E2E">
        <w:rPr>
          <w:rFonts w:cs="Arial"/>
          <w:szCs w:val="22"/>
          <w:lang w:val="hr-HR"/>
        </w:rPr>
        <w:t>Tulkens, Françoise; When to say is to do – Freedom of expression and hate speech in the case-law of the European Court of Human Rights, Seminar on Human Rights for European Judicial Trainers 2012.,</w:t>
      </w:r>
    </w:p>
    <w:p w:rsidR="005212B6" w:rsidRPr="00A11E2E" w:rsidRDefault="005212B6" w:rsidP="00D32EC1">
      <w:pPr>
        <w:pStyle w:val="ListParagraph"/>
        <w:numPr>
          <w:ilvl w:val="0"/>
          <w:numId w:val="19"/>
        </w:numPr>
        <w:spacing w:line="360" w:lineRule="auto"/>
        <w:ind w:left="567" w:hanging="425"/>
        <w:jc w:val="both"/>
        <w:rPr>
          <w:rFonts w:cs="Arial"/>
          <w:szCs w:val="22"/>
          <w:lang w:val="hr-HR"/>
        </w:rPr>
      </w:pPr>
      <w:r w:rsidRPr="00A11E2E">
        <w:rPr>
          <w:rFonts w:cs="Arial"/>
          <w:szCs w:val="22"/>
          <w:lang w:val="hr-HR"/>
        </w:rPr>
        <w:t>Turković, Ksenija; Novoselec, Petar; Grozdanić, Velinka; Kurtović, Anita et. al.; Komentar Kaznenog zakona, Zagreb, 2013.,</w:t>
      </w:r>
    </w:p>
    <w:p w:rsidR="005212B6" w:rsidRPr="00A11E2E" w:rsidRDefault="005212B6" w:rsidP="00D32EC1">
      <w:pPr>
        <w:pStyle w:val="ListParagraph"/>
        <w:numPr>
          <w:ilvl w:val="0"/>
          <w:numId w:val="19"/>
        </w:numPr>
        <w:spacing w:line="360" w:lineRule="auto"/>
        <w:ind w:left="567" w:hanging="425"/>
        <w:jc w:val="both"/>
        <w:rPr>
          <w:rFonts w:cs="Arial"/>
          <w:szCs w:val="22"/>
          <w:lang w:val="hr-HR"/>
        </w:rPr>
      </w:pPr>
      <w:r w:rsidRPr="00A11E2E">
        <w:rPr>
          <w:rFonts w:cs="Arial"/>
          <w:szCs w:val="22"/>
          <w:lang w:val="hr-HR"/>
        </w:rPr>
        <w:t>Van Noorloos, Marloes; Hate Speech Revisited, Intersentia, 2011.</w:t>
      </w:r>
      <w:r w:rsidR="006818D3">
        <w:rPr>
          <w:rFonts w:cs="Arial"/>
          <w:szCs w:val="22"/>
          <w:lang w:val="hr-HR"/>
        </w:rPr>
        <w:t>,</w:t>
      </w:r>
    </w:p>
    <w:p w:rsidR="005212B6" w:rsidRPr="00A11E2E" w:rsidRDefault="005212B6" w:rsidP="00D32EC1">
      <w:pPr>
        <w:pStyle w:val="ListParagraph"/>
        <w:numPr>
          <w:ilvl w:val="0"/>
          <w:numId w:val="19"/>
        </w:numPr>
        <w:spacing w:line="360" w:lineRule="auto"/>
        <w:ind w:left="567" w:hanging="425"/>
        <w:jc w:val="both"/>
        <w:rPr>
          <w:rFonts w:cs="Arial"/>
          <w:szCs w:val="22"/>
          <w:lang w:val="hr-HR"/>
        </w:rPr>
      </w:pPr>
      <w:r w:rsidRPr="00A11E2E">
        <w:rPr>
          <w:rFonts w:cs="Arial"/>
          <w:szCs w:val="22"/>
          <w:lang w:val="hr-HR"/>
        </w:rPr>
        <w:lastRenderedPageBreak/>
        <w:t>Vasiljević, Snježana; Balen, Braslav; Zakon o suzbijanju diskriminacije u svjetlu europskog prava: sadržaj i sankcije, u: Policija i sigurnost, godina 18. (2009), broj 2, str. 213.-221.,</w:t>
      </w:r>
    </w:p>
    <w:p w:rsidR="005212B6" w:rsidRPr="00A11E2E" w:rsidRDefault="005212B6" w:rsidP="00D32EC1">
      <w:pPr>
        <w:pStyle w:val="ListParagraph"/>
        <w:numPr>
          <w:ilvl w:val="0"/>
          <w:numId w:val="19"/>
        </w:numPr>
        <w:spacing w:line="360" w:lineRule="auto"/>
        <w:ind w:left="567" w:hanging="425"/>
        <w:jc w:val="both"/>
        <w:rPr>
          <w:rFonts w:cs="Arial"/>
          <w:szCs w:val="22"/>
          <w:lang w:val="hr-HR"/>
        </w:rPr>
      </w:pPr>
      <w:r w:rsidRPr="00A11E2E">
        <w:rPr>
          <w:rFonts w:cs="Arial"/>
          <w:szCs w:val="22"/>
          <w:lang w:val="hr-HR"/>
        </w:rPr>
        <w:t>Weber, Anne; Manual on hate speech.</w:t>
      </w:r>
    </w:p>
    <w:p w:rsidR="00E30A47" w:rsidRDefault="00E30A47" w:rsidP="00EC0D89">
      <w:pPr>
        <w:spacing w:line="360" w:lineRule="auto"/>
        <w:jc w:val="both"/>
        <w:rPr>
          <w:rFonts w:cs="Arial"/>
          <w:b/>
          <w:szCs w:val="22"/>
          <w:lang w:val="hr-HR"/>
        </w:rPr>
      </w:pPr>
    </w:p>
    <w:p w:rsidR="00EC0D89" w:rsidRPr="00EC0E63" w:rsidRDefault="00EC0E63" w:rsidP="00EC0E63">
      <w:pPr>
        <w:pStyle w:val="ListParagraph"/>
        <w:numPr>
          <w:ilvl w:val="0"/>
          <w:numId w:val="18"/>
        </w:numPr>
        <w:spacing w:line="360" w:lineRule="auto"/>
        <w:jc w:val="both"/>
        <w:rPr>
          <w:rFonts w:cs="Arial"/>
          <w:b/>
          <w:szCs w:val="22"/>
          <w:lang w:val="hr-HR"/>
        </w:rPr>
      </w:pPr>
      <w:r w:rsidRPr="00EC0E63">
        <w:rPr>
          <w:rFonts w:cs="Arial"/>
          <w:b/>
          <w:szCs w:val="22"/>
          <w:lang w:val="hr-HR"/>
        </w:rPr>
        <w:t>Pravni izvori</w:t>
      </w:r>
    </w:p>
    <w:p w:rsidR="00EC0E63" w:rsidRPr="00EC0E63" w:rsidRDefault="00EC0E63" w:rsidP="00EC0E63">
      <w:pPr>
        <w:pStyle w:val="ListParagraph"/>
        <w:numPr>
          <w:ilvl w:val="1"/>
          <w:numId w:val="18"/>
        </w:numPr>
        <w:spacing w:line="360" w:lineRule="auto"/>
        <w:jc w:val="both"/>
        <w:rPr>
          <w:rFonts w:cs="Arial"/>
          <w:b/>
          <w:szCs w:val="22"/>
          <w:lang w:val="hr-HR"/>
        </w:rPr>
      </w:pPr>
      <w:r w:rsidRPr="00EC0E63">
        <w:rPr>
          <w:rFonts w:cs="Arial"/>
          <w:b/>
          <w:szCs w:val="22"/>
          <w:lang w:val="hr-HR"/>
        </w:rPr>
        <w:t>Unutarnji</w:t>
      </w:r>
    </w:p>
    <w:p w:rsidR="00882644" w:rsidRPr="00D32EC1" w:rsidRDefault="00882644" w:rsidP="00100E21">
      <w:pPr>
        <w:pStyle w:val="ListParagraph"/>
        <w:numPr>
          <w:ilvl w:val="0"/>
          <w:numId w:val="29"/>
        </w:numPr>
        <w:spacing w:line="360" w:lineRule="auto"/>
        <w:ind w:left="567"/>
        <w:jc w:val="both"/>
        <w:rPr>
          <w:rFonts w:cs="Arial"/>
          <w:szCs w:val="22"/>
          <w:lang w:val="hr-HR"/>
        </w:rPr>
      </w:pPr>
      <w:r w:rsidRPr="00D32EC1">
        <w:rPr>
          <w:rFonts w:cs="Arial"/>
          <w:szCs w:val="22"/>
          <w:lang w:val="hr-HR"/>
        </w:rPr>
        <w:t>Ustav RH (NN 85/10 – pročišćeni tekst)</w:t>
      </w:r>
    </w:p>
    <w:p w:rsidR="00EC0D89" w:rsidRPr="00D32EC1" w:rsidRDefault="00EC0D89" w:rsidP="00100E21">
      <w:pPr>
        <w:pStyle w:val="ListParagraph"/>
        <w:numPr>
          <w:ilvl w:val="0"/>
          <w:numId w:val="29"/>
        </w:numPr>
        <w:spacing w:line="360" w:lineRule="auto"/>
        <w:ind w:left="567"/>
        <w:jc w:val="both"/>
        <w:rPr>
          <w:rFonts w:cs="Arial"/>
          <w:szCs w:val="22"/>
          <w:lang w:val="hr-HR"/>
        </w:rPr>
      </w:pPr>
      <w:r w:rsidRPr="00D32EC1">
        <w:rPr>
          <w:rFonts w:cs="Arial"/>
          <w:szCs w:val="22"/>
          <w:lang w:val="hr-HR"/>
        </w:rPr>
        <w:t>Kazneni zakon (NN 125/11, 144/12)</w:t>
      </w:r>
    </w:p>
    <w:p w:rsidR="00C20CC9" w:rsidRDefault="00EC0D89" w:rsidP="00100E21">
      <w:pPr>
        <w:pStyle w:val="ListParagraph"/>
        <w:numPr>
          <w:ilvl w:val="0"/>
          <w:numId w:val="29"/>
        </w:numPr>
        <w:spacing w:line="360" w:lineRule="auto"/>
        <w:ind w:left="567"/>
        <w:jc w:val="both"/>
        <w:rPr>
          <w:rFonts w:cs="Arial"/>
          <w:szCs w:val="22"/>
          <w:lang w:val="hr-HR"/>
        </w:rPr>
      </w:pPr>
      <w:r w:rsidRPr="00C20CC9">
        <w:rPr>
          <w:rFonts w:cs="Arial"/>
          <w:szCs w:val="22"/>
          <w:lang w:val="hr-HR"/>
        </w:rPr>
        <w:t xml:space="preserve">Zakon o </w:t>
      </w:r>
      <w:r w:rsidR="00C20CC9" w:rsidRPr="00C20CC9">
        <w:rPr>
          <w:rFonts w:cs="Arial"/>
          <w:szCs w:val="22"/>
          <w:lang w:val="hr-HR"/>
        </w:rPr>
        <w:t xml:space="preserve">elektroničkim medijima (NN </w:t>
      </w:r>
      <w:hyperlink r:id="rId34" w:history="1">
        <w:r w:rsidR="00C20CC9" w:rsidRPr="00C20CC9">
          <w:rPr>
            <w:rFonts w:cs="Arial"/>
            <w:szCs w:val="22"/>
            <w:lang w:val="hr-HR"/>
          </w:rPr>
          <w:t>153/09</w:t>
        </w:r>
      </w:hyperlink>
      <w:r w:rsidR="00C20CC9" w:rsidRPr="00C20CC9">
        <w:rPr>
          <w:rFonts w:cs="Arial"/>
          <w:szCs w:val="22"/>
          <w:lang w:val="hr-HR"/>
        </w:rPr>
        <w:t>, </w:t>
      </w:r>
      <w:hyperlink r:id="rId35" w:history="1">
        <w:r w:rsidR="00C20CC9" w:rsidRPr="00C20CC9">
          <w:rPr>
            <w:rFonts w:cs="Arial"/>
            <w:szCs w:val="22"/>
            <w:lang w:val="hr-HR"/>
          </w:rPr>
          <w:t>84/11</w:t>
        </w:r>
      </w:hyperlink>
      <w:r w:rsidR="00C20CC9" w:rsidRPr="00C20CC9">
        <w:rPr>
          <w:rFonts w:cs="Arial"/>
          <w:szCs w:val="22"/>
          <w:lang w:val="hr-HR"/>
        </w:rPr>
        <w:t>, </w:t>
      </w:r>
      <w:hyperlink r:id="rId36" w:history="1">
        <w:r w:rsidR="00C20CC9" w:rsidRPr="00C20CC9">
          <w:rPr>
            <w:rFonts w:cs="Arial"/>
            <w:szCs w:val="22"/>
            <w:lang w:val="hr-HR"/>
          </w:rPr>
          <w:t>94/13</w:t>
        </w:r>
      </w:hyperlink>
      <w:r w:rsidR="00C20CC9" w:rsidRPr="00C20CC9">
        <w:rPr>
          <w:rFonts w:cs="Arial"/>
          <w:szCs w:val="22"/>
          <w:lang w:val="hr-HR"/>
        </w:rPr>
        <w:t>, </w:t>
      </w:r>
      <w:hyperlink r:id="rId37" w:history="1">
        <w:r w:rsidR="00C20CC9" w:rsidRPr="00C20CC9">
          <w:rPr>
            <w:rFonts w:cs="Arial"/>
            <w:szCs w:val="22"/>
            <w:lang w:val="hr-HR"/>
          </w:rPr>
          <w:t>136/13</w:t>
        </w:r>
      </w:hyperlink>
      <w:r w:rsidR="00C20CC9" w:rsidRPr="00C20CC9">
        <w:rPr>
          <w:rFonts w:cs="Arial"/>
          <w:szCs w:val="22"/>
          <w:lang w:val="hr-HR"/>
        </w:rPr>
        <w:t>)</w:t>
      </w:r>
    </w:p>
    <w:p w:rsidR="00EC0D89" w:rsidRPr="00C20CC9" w:rsidRDefault="00EC0D89" w:rsidP="00100E21">
      <w:pPr>
        <w:pStyle w:val="ListParagraph"/>
        <w:numPr>
          <w:ilvl w:val="0"/>
          <w:numId w:val="29"/>
        </w:numPr>
        <w:spacing w:line="360" w:lineRule="auto"/>
        <w:ind w:left="567"/>
        <w:jc w:val="both"/>
        <w:rPr>
          <w:rFonts w:cs="Arial"/>
          <w:szCs w:val="22"/>
          <w:lang w:val="hr-HR"/>
        </w:rPr>
      </w:pPr>
      <w:r w:rsidRPr="00C20CC9">
        <w:rPr>
          <w:rFonts w:cs="Arial"/>
          <w:szCs w:val="22"/>
          <w:lang w:val="hr-HR"/>
        </w:rPr>
        <w:t>Zakon o istospolnim zajednicama (NN 116/03) </w:t>
      </w:r>
    </w:p>
    <w:p w:rsidR="00AC132F" w:rsidRPr="00D32EC1" w:rsidRDefault="00AC132F" w:rsidP="00100E21">
      <w:pPr>
        <w:pStyle w:val="ListParagraph"/>
        <w:numPr>
          <w:ilvl w:val="0"/>
          <w:numId w:val="29"/>
        </w:numPr>
        <w:spacing w:line="360" w:lineRule="auto"/>
        <w:ind w:left="567"/>
        <w:jc w:val="both"/>
        <w:rPr>
          <w:rFonts w:cs="Arial"/>
          <w:szCs w:val="22"/>
          <w:lang w:val="hr-HR"/>
        </w:rPr>
      </w:pPr>
      <w:r w:rsidRPr="00D32EC1">
        <w:rPr>
          <w:rFonts w:cs="Arial"/>
          <w:szCs w:val="22"/>
          <w:lang w:val="hr-HR"/>
        </w:rPr>
        <w:t xml:space="preserve">Zakon o kaznenom postupku (NN </w:t>
      </w:r>
      <w:hyperlink r:id="rId38" w:history="1">
        <w:r w:rsidRPr="00D32EC1">
          <w:rPr>
            <w:rFonts w:cs="Arial"/>
            <w:szCs w:val="22"/>
            <w:lang w:val="hr-HR"/>
          </w:rPr>
          <w:t>152/08</w:t>
        </w:r>
      </w:hyperlink>
      <w:r w:rsidRPr="00D32EC1">
        <w:rPr>
          <w:rFonts w:cs="Arial"/>
          <w:szCs w:val="22"/>
          <w:lang w:val="hr-HR"/>
        </w:rPr>
        <w:t>, </w:t>
      </w:r>
      <w:r w:rsidR="0022059C" w:rsidRPr="00D32EC1">
        <w:rPr>
          <w:rFonts w:cs="Arial"/>
          <w:szCs w:val="22"/>
          <w:lang w:val="hr-HR"/>
        </w:rPr>
        <w:t xml:space="preserve"> </w:t>
      </w:r>
      <w:hyperlink r:id="rId39" w:history="1">
        <w:r w:rsidRPr="00D32EC1">
          <w:rPr>
            <w:rFonts w:cs="Arial"/>
            <w:szCs w:val="22"/>
            <w:lang w:val="hr-HR"/>
          </w:rPr>
          <w:t>76/09</w:t>
        </w:r>
      </w:hyperlink>
      <w:r w:rsidRPr="00D32EC1">
        <w:rPr>
          <w:rFonts w:cs="Arial"/>
          <w:szCs w:val="22"/>
          <w:lang w:val="hr-HR"/>
        </w:rPr>
        <w:t>, </w:t>
      </w:r>
      <w:r w:rsidR="0022059C" w:rsidRPr="00D32EC1">
        <w:rPr>
          <w:rFonts w:cs="Arial"/>
          <w:szCs w:val="22"/>
          <w:lang w:val="hr-HR"/>
        </w:rPr>
        <w:t xml:space="preserve"> </w:t>
      </w:r>
      <w:hyperlink r:id="rId40" w:history="1">
        <w:r w:rsidRPr="00D32EC1">
          <w:rPr>
            <w:rFonts w:cs="Arial"/>
            <w:szCs w:val="22"/>
            <w:lang w:val="hr-HR"/>
          </w:rPr>
          <w:t>80/11</w:t>
        </w:r>
      </w:hyperlink>
      <w:r w:rsidRPr="00D32EC1">
        <w:rPr>
          <w:rFonts w:cs="Arial"/>
          <w:szCs w:val="22"/>
          <w:lang w:val="hr-HR"/>
        </w:rPr>
        <w:t>, </w:t>
      </w:r>
      <w:r w:rsidR="0022059C" w:rsidRPr="00D32EC1">
        <w:rPr>
          <w:rFonts w:cs="Arial"/>
          <w:szCs w:val="22"/>
          <w:lang w:val="hr-HR"/>
        </w:rPr>
        <w:t xml:space="preserve"> </w:t>
      </w:r>
      <w:hyperlink r:id="rId41" w:history="1">
        <w:r w:rsidRPr="00D32EC1">
          <w:rPr>
            <w:rFonts w:cs="Arial"/>
            <w:szCs w:val="22"/>
            <w:lang w:val="hr-HR"/>
          </w:rPr>
          <w:t>121/11</w:t>
        </w:r>
      </w:hyperlink>
      <w:r w:rsidRPr="00D32EC1">
        <w:rPr>
          <w:rFonts w:cs="Arial"/>
          <w:szCs w:val="22"/>
          <w:lang w:val="hr-HR"/>
        </w:rPr>
        <w:t>, </w:t>
      </w:r>
      <w:r w:rsidR="0022059C" w:rsidRPr="00D32EC1">
        <w:rPr>
          <w:rFonts w:cs="Arial"/>
          <w:szCs w:val="22"/>
          <w:lang w:val="hr-HR"/>
        </w:rPr>
        <w:t xml:space="preserve"> </w:t>
      </w:r>
      <w:hyperlink r:id="rId42" w:history="1">
        <w:r w:rsidRPr="00D32EC1">
          <w:rPr>
            <w:rFonts w:cs="Arial"/>
            <w:szCs w:val="22"/>
            <w:lang w:val="hr-HR"/>
          </w:rPr>
          <w:t>91/12</w:t>
        </w:r>
      </w:hyperlink>
      <w:r w:rsidRPr="00D32EC1">
        <w:rPr>
          <w:rFonts w:cs="Arial"/>
          <w:szCs w:val="22"/>
          <w:lang w:val="hr-HR"/>
        </w:rPr>
        <w:t>, </w:t>
      </w:r>
      <w:r w:rsidR="0022059C" w:rsidRPr="00D32EC1">
        <w:rPr>
          <w:rFonts w:cs="Arial"/>
          <w:szCs w:val="22"/>
          <w:lang w:val="hr-HR"/>
        </w:rPr>
        <w:t xml:space="preserve"> </w:t>
      </w:r>
      <w:hyperlink r:id="rId43" w:history="1">
        <w:r w:rsidRPr="00D32EC1">
          <w:rPr>
            <w:rFonts w:cs="Arial"/>
            <w:szCs w:val="22"/>
            <w:lang w:val="hr-HR"/>
          </w:rPr>
          <w:t>143/12</w:t>
        </w:r>
      </w:hyperlink>
      <w:r w:rsidRPr="00D32EC1">
        <w:rPr>
          <w:rFonts w:cs="Arial"/>
          <w:szCs w:val="22"/>
          <w:lang w:val="hr-HR"/>
        </w:rPr>
        <w:t>, </w:t>
      </w:r>
      <w:r w:rsidR="0022059C" w:rsidRPr="00D32EC1">
        <w:rPr>
          <w:rFonts w:cs="Arial"/>
          <w:szCs w:val="22"/>
          <w:lang w:val="hr-HR"/>
        </w:rPr>
        <w:t xml:space="preserve"> </w:t>
      </w:r>
      <w:hyperlink r:id="rId44" w:history="1">
        <w:r w:rsidRPr="00D32EC1">
          <w:rPr>
            <w:rFonts w:cs="Arial"/>
            <w:szCs w:val="22"/>
            <w:lang w:val="hr-HR"/>
          </w:rPr>
          <w:t>56/13</w:t>
        </w:r>
      </w:hyperlink>
      <w:r w:rsidRPr="00D32EC1">
        <w:rPr>
          <w:rFonts w:cs="Arial"/>
          <w:szCs w:val="22"/>
          <w:lang w:val="hr-HR"/>
        </w:rPr>
        <w:t>,</w:t>
      </w:r>
      <w:r w:rsidR="0022059C" w:rsidRPr="00D32EC1">
        <w:rPr>
          <w:rFonts w:cs="Arial"/>
          <w:szCs w:val="22"/>
          <w:lang w:val="hr-HR"/>
        </w:rPr>
        <w:t xml:space="preserve"> </w:t>
      </w:r>
      <w:hyperlink r:id="rId45" w:history="1">
        <w:r w:rsidRPr="00D32EC1">
          <w:rPr>
            <w:rFonts w:cs="Arial"/>
            <w:szCs w:val="22"/>
            <w:lang w:val="hr-HR"/>
          </w:rPr>
          <w:t>145/13</w:t>
        </w:r>
      </w:hyperlink>
      <w:r w:rsidRPr="00D32EC1">
        <w:rPr>
          <w:rFonts w:cs="Arial"/>
          <w:szCs w:val="22"/>
          <w:lang w:val="hr-HR"/>
        </w:rPr>
        <w:t>)</w:t>
      </w:r>
    </w:p>
    <w:p w:rsidR="00EC0D89" w:rsidRPr="00D32EC1" w:rsidRDefault="00EC0D89" w:rsidP="00100E21">
      <w:pPr>
        <w:pStyle w:val="ListParagraph"/>
        <w:numPr>
          <w:ilvl w:val="0"/>
          <w:numId w:val="29"/>
        </w:numPr>
        <w:spacing w:line="360" w:lineRule="auto"/>
        <w:ind w:left="567"/>
        <w:jc w:val="both"/>
        <w:rPr>
          <w:rFonts w:cs="Arial"/>
          <w:szCs w:val="22"/>
          <w:lang w:val="hr-HR"/>
        </w:rPr>
      </w:pPr>
      <w:r w:rsidRPr="00D32EC1">
        <w:rPr>
          <w:rFonts w:cs="Arial"/>
          <w:szCs w:val="22"/>
          <w:lang w:val="hr-HR"/>
        </w:rPr>
        <w:t>Zakonom o medijima (NN 59/04</w:t>
      </w:r>
      <w:r w:rsidR="00C20CC9">
        <w:rPr>
          <w:rFonts w:cs="Arial"/>
          <w:szCs w:val="22"/>
          <w:lang w:val="hr-HR"/>
        </w:rPr>
        <w:t xml:space="preserve">, </w:t>
      </w:r>
      <w:hyperlink r:id="rId46" w:history="1">
        <w:r w:rsidR="00C20CC9" w:rsidRPr="00C20CC9">
          <w:rPr>
            <w:rFonts w:cs="Arial"/>
            <w:szCs w:val="22"/>
            <w:lang w:val="hr-HR"/>
          </w:rPr>
          <w:t>84/11</w:t>
        </w:r>
      </w:hyperlink>
      <w:r w:rsidR="00C20CC9" w:rsidRPr="00C20CC9">
        <w:rPr>
          <w:rFonts w:cs="Arial"/>
          <w:szCs w:val="22"/>
          <w:lang w:val="hr-HR"/>
        </w:rPr>
        <w:t>, </w:t>
      </w:r>
      <w:hyperlink r:id="rId47" w:history="1">
        <w:r w:rsidR="00C20CC9" w:rsidRPr="00C20CC9">
          <w:rPr>
            <w:rFonts w:cs="Arial"/>
            <w:szCs w:val="22"/>
            <w:lang w:val="hr-HR"/>
          </w:rPr>
          <w:t>81/13</w:t>
        </w:r>
      </w:hyperlink>
      <w:r w:rsidR="00C20CC9" w:rsidRPr="00C20CC9">
        <w:rPr>
          <w:rFonts w:cs="Arial"/>
          <w:szCs w:val="22"/>
          <w:lang w:val="hr-HR"/>
        </w:rPr>
        <w:t>)</w:t>
      </w:r>
    </w:p>
    <w:p w:rsidR="00EC0D89" w:rsidRPr="00D32EC1" w:rsidRDefault="00EC0D89" w:rsidP="00100E21">
      <w:pPr>
        <w:pStyle w:val="ListParagraph"/>
        <w:numPr>
          <w:ilvl w:val="0"/>
          <w:numId w:val="29"/>
        </w:numPr>
        <w:spacing w:line="360" w:lineRule="auto"/>
        <w:ind w:left="567"/>
        <w:jc w:val="both"/>
        <w:rPr>
          <w:rFonts w:cs="Arial"/>
          <w:szCs w:val="22"/>
          <w:lang w:val="hr-HR"/>
        </w:rPr>
      </w:pPr>
      <w:r w:rsidRPr="00D32EC1">
        <w:rPr>
          <w:rFonts w:cs="Arial"/>
          <w:szCs w:val="22"/>
          <w:lang w:val="hr-HR"/>
        </w:rPr>
        <w:t>Zakon o međunarodnoj pravnoj pomoći u kaznenim stvarima (NN 178/04)</w:t>
      </w:r>
    </w:p>
    <w:p w:rsidR="00977047" w:rsidRPr="00D32EC1" w:rsidRDefault="00977047" w:rsidP="00100E21">
      <w:pPr>
        <w:pStyle w:val="ListParagraph"/>
        <w:numPr>
          <w:ilvl w:val="0"/>
          <w:numId w:val="29"/>
        </w:numPr>
        <w:spacing w:line="360" w:lineRule="auto"/>
        <w:ind w:left="567"/>
        <w:jc w:val="both"/>
        <w:rPr>
          <w:rFonts w:cs="Arial"/>
          <w:szCs w:val="22"/>
          <w:lang w:val="hr-HR"/>
        </w:rPr>
      </w:pPr>
      <w:r w:rsidRPr="00D32EC1">
        <w:rPr>
          <w:rFonts w:cs="Arial"/>
          <w:szCs w:val="22"/>
          <w:lang w:val="hr-HR"/>
        </w:rPr>
        <w:t xml:space="preserve">Zakon o obveznim odnosima (NN </w:t>
      </w:r>
      <w:hyperlink r:id="rId48" w:history="1">
        <w:r w:rsidRPr="00D32EC1">
          <w:rPr>
            <w:rFonts w:cs="Arial"/>
            <w:szCs w:val="22"/>
            <w:lang w:val="hr-HR"/>
          </w:rPr>
          <w:t>35/05</w:t>
        </w:r>
      </w:hyperlink>
      <w:r w:rsidRPr="00D32EC1">
        <w:rPr>
          <w:rFonts w:cs="Arial"/>
          <w:szCs w:val="22"/>
          <w:lang w:val="hr-HR"/>
        </w:rPr>
        <w:t>, </w:t>
      </w:r>
      <w:hyperlink r:id="rId49" w:history="1">
        <w:r w:rsidRPr="00D32EC1">
          <w:rPr>
            <w:rFonts w:cs="Arial"/>
            <w:szCs w:val="22"/>
            <w:lang w:val="hr-HR"/>
          </w:rPr>
          <w:t>41/08</w:t>
        </w:r>
      </w:hyperlink>
      <w:r w:rsidRPr="00D32EC1">
        <w:rPr>
          <w:rFonts w:cs="Arial"/>
          <w:szCs w:val="22"/>
          <w:lang w:val="hr-HR"/>
        </w:rPr>
        <w:t>, </w:t>
      </w:r>
      <w:hyperlink r:id="rId50" w:history="1">
        <w:r w:rsidRPr="00D32EC1">
          <w:rPr>
            <w:rFonts w:cs="Arial"/>
            <w:szCs w:val="22"/>
            <w:lang w:val="hr-HR"/>
          </w:rPr>
          <w:t>125/11</w:t>
        </w:r>
      </w:hyperlink>
      <w:r w:rsidRPr="00D32EC1">
        <w:rPr>
          <w:rFonts w:cs="Arial"/>
          <w:szCs w:val="22"/>
          <w:lang w:val="hr-HR"/>
        </w:rPr>
        <w:t>)</w:t>
      </w:r>
    </w:p>
    <w:p w:rsidR="00DD0094" w:rsidRPr="00D32EC1" w:rsidRDefault="00DD0094" w:rsidP="00100E21">
      <w:pPr>
        <w:pStyle w:val="ListParagraph"/>
        <w:numPr>
          <w:ilvl w:val="0"/>
          <w:numId w:val="29"/>
        </w:numPr>
        <w:spacing w:line="360" w:lineRule="auto"/>
        <w:ind w:left="567"/>
        <w:jc w:val="both"/>
        <w:rPr>
          <w:rFonts w:cs="Arial"/>
          <w:szCs w:val="22"/>
          <w:lang w:val="hr-HR"/>
        </w:rPr>
      </w:pPr>
      <w:r w:rsidRPr="00D32EC1">
        <w:rPr>
          <w:rFonts w:cs="Arial"/>
          <w:szCs w:val="22"/>
          <w:lang w:val="hr-HR"/>
        </w:rPr>
        <w:t>Zakon o odgovornosti pravnih osoba za kaznena djela (NN 151/03, 110/07, 45/11, 143/12)</w:t>
      </w:r>
    </w:p>
    <w:p w:rsidR="00EC0D89" w:rsidRPr="00D32EC1" w:rsidRDefault="0090736E" w:rsidP="00100E21">
      <w:pPr>
        <w:pStyle w:val="ListParagraph"/>
        <w:numPr>
          <w:ilvl w:val="0"/>
          <w:numId w:val="29"/>
        </w:numPr>
        <w:spacing w:line="360" w:lineRule="auto"/>
        <w:ind w:left="567"/>
        <w:jc w:val="both"/>
        <w:rPr>
          <w:rFonts w:cs="Arial"/>
          <w:szCs w:val="22"/>
          <w:lang w:val="hr-HR"/>
        </w:rPr>
      </w:pPr>
      <w:r w:rsidRPr="00D32EC1">
        <w:rPr>
          <w:rFonts w:cs="Arial"/>
          <w:szCs w:val="22"/>
          <w:lang w:val="hr-HR"/>
        </w:rPr>
        <w:t xml:space="preserve">Zakon </w:t>
      </w:r>
      <w:r w:rsidR="00EC0D89" w:rsidRPr="00D32EC1">
        <w:rPr>
          <w:rFonts w:cs="Arial"/>
          <w:szCs w:val="22"/>
          <w:lang w:val="hr-HR"/>
        </w:rPr>
        <w:t xml:space="preserve">o potvrđivanju Konvencije o kibernetičkom kriminalitetu (NN </w:t>
      </w:r>
      <w:r w:rsidR="007A6882" w:rsidRPr="00D32EC1">
        <w:rPr>
          <w:rFonts w:cs="Arial"/>
          <w:szCs w:val="22"/>
          <w:lang w:val="hr-HR"/>
        </w:rPr>
        <w:t xml:space="preserve">– MU </w:t>
      </w:r>
      <w:r w:rsidR="00EC0D89" w:rsidRPr="00D32EC1">
        <w:rPr>
          <w:rFonts w:cs="Arial"/>
          <w:szCs w:val="22"/>
          <w:lang w:val="hr-HR"/>
        </w:rPr>
        <w:t>9/02)</w:t>
      </w:r>
    </w:p>
    <w:p w:rsidR="0090736E" w:rsidRPr="00D32EC1" w:rsidRDefault="0090736E" w:rsidP="00100E21">
      <w:pPr>
        <w:pStyle w:val="ListParagraph"/>
        <w:numPr>
          <w:ilvl w:val="0"/>
          <w:numId w:val="29"/>
        </w:numPr>
        <w:spacing w:line="360" w:lineRule="auto"/>
        <w:ind w:left="567"/>
        <w:jc w:val="both"/>
        <w:rPr>
          <w:rFonts w:cs="Arial"/>
          <w:szCs w:val="22"/>
          <w:lang w:val="hr-HR"/>
        </w:rPr>
      </w:pPr>
      <w:r w:rsidRPr="00D32EC1">
        <w:rPr>
          <w:rFonts w:cs="Arial"/>
          <w:szCs w:val="22"/>
          <w:lang w:val="hr-HR"/>
        </w:rPr>
        <w:t>Zakon o potvrđivanju Europske konvencije o zaštiti ljudskih prava i temeljnih sloboda (NN – MU 18/97)</w:t>
      </w:r>
    </w:p>
    <w:p w:rsidR="00EC0D89" w:rsidRPr="00D32EC1" w:rsidRDefault="00EC0D89" w:rsidP="00100E21">
      <w:pPr>
        <w:pStyle w:val="ListParagraph"/>
        <w:numPr>
          <w:ilvl w:val="0"/>
          <w:numId w:val="29"/>
        </w:numPr>
        <w:spacing w:line="360" w:lineRule="auto"/>
        <w:ind w:left="567"/>
        <w:jc w:val="both"/>
        <w:rPr>
          <w:rFonts w:cs="Arial"/>
          <w:szCs w:val="22"/>
          <w:lang w:val="hr-HR"/>
        </w:rPr>
      </w:pPr>
      <w:r w:rsidRPr="00D32EC1">
        <w:rPr>
          <w:rFonts w:cs="Arial"/>
          <w:szCs w:val="22"/>
          <w:lang w:val="hr-HR"/>
        </w:rPr>
        <w:t xml:space="preserve">Zakon o potvrđivanju Dodatnog protokola uz Konvenciju o kibernetičkom kriminalu o inkriminiranju djela rasističke i ksenofobne naravi počinjenih pomoću računalnih sustava (NN </w:t>
      </w:r>
      <w:r w:rsidR="007A6882" w:rsidRPr="00D32EC1">
        <w:rPr>
          <w:rFonts w:cs="Arial"/>
          <w:szCs w:val="22"/>
          <w:lang w:val="hr-HR"/>
        </w:rPr>
        <w:t xml:space="preserve">- MU </w:t>
      </w:r>
      <w:r w:rsidRPr="00D32EC1">
        <w:rPr>
          <w:rFonts w:cs="Arial"/>
          <w:szCs w:val="22"/>
          <w:lang w:val="hr-HR"/>
        </w:rPr>
        <w:t>7/2008)</w:t>
      </w:r>
    </w:p>
    <w:p w:rsidR="007A6882" w:rsidRPr="00D32EC1" w:rsidRDefault="007A6882" w:rsidP="00100E21">
      <w:pPr>
        <w:pStyle w:val="ListParagraph"/>
        <w:numPr>
          <w:ilvl w:val="0"/>
          <w:numId w:val="29"/>
        </w:numPr>
        <w:spacing w:line="360" w:lineRule="auto"/>
        <w:ind w:left="567"/>
        <w:jc w:val="both"/>
        <w:rPr>
          <w:rFonts w:cs="Arial"/>
          <w:szCs w:val="22"/>
          <w:lang w:val="hr-HR"/>
        </w:rPr>
      </w:pPr>
      <w:r w:rsidRPr="00D32EC1">
        <w:rPr>
          <w:rFonts w:cs="Arial"/>
          <w:szCs w:val="22"/>
          <w:lang w:val="hr-HR"/>
        </w:rPr>
        <w:t>Zakon o pravnosudnoj suradnji u kaznenim stvarima s državama članicama Europske unije (NN 91/10, 81/13, 124/13)</w:t>
      </w:r>
    </w:p>
    <w:p w:rsidR="00EC0D89" w:rsidRPr="00D32EC1" w:rsidRDefault="00EC0D89" w:rsidP="00100E21">
      <w:pPr>
        <w:pStyle w:val="ListParagraph"/>
        <w:numPr>
          <w:ilvl w:val="0"/>
          <w:numId w:val="29"/>
        </w:numPr>
        <w:spacing w:line="360" w:lineRule="auto"/>
        <w:ind w:left="567"/>
        <w:jc w:val="both"/>
        <w:rPr>
          <w:rFonts w:cs="Arial"/>
          <w:szCs w:val="22"/>
          <w:lang w:val="hr-HR"/>
        </w:rPr>
      </w:pPr>
      <w:r w:rsidRPr="00D32EC1">
        <w:rPr>
          <w:rFonts w:cs="Arial"/>
          <w:szCs w:val="22"/>
          <w:lang w:val="hr-HR"/>
        </w:rPr>
        <w:t xml:space="preserve">Zakon o ravnopravnosti spolova (NN 116/03, 82/08) </w:t>
      </w:r>
    </w:p>
    <w:p w:rsidR="00EC0D89" w:rsidRPr="00D32EC1" w:rsidRDefault="00EC0D89" w:rsidP="00100E21">
      <w:pPr>
        <w:pStyle w:val="ListParagraph"/>
        <w:numPr>
          <w:ilvl w:val="0"/>
          <w:numId w:val="29"/>
        </w:numPr>
        <w:spacing w:line="360" w:lineRule="auto"/>
        <w:ind w:left="567"/>
        <w:jc w:val="both"/>
        <w:rPr>
          <w:rFonts w:cs="Arial"/>
          <w:szCs w:val="22"/>
          <w:lang w:val="hr-HR"/>
        </w:rPr>
      </w:pPr>
      <w:r w:rsidRPr="00D32EC1">
        <w:rPr>
          <w:rFonts w:cs="Arial"/>
          <w:szCs w:val="22"/>
          <w:lang w:val="hr-HR"/>
        </w:rPr>
        <w:t xml:space="preserve">Zakon o suzbijanju diskriminacije (NN 85/08, 112/12) </w:t>
      </w:r>
    </w:p>
    <w:p w:rsidR="00EC0D89" w:rsidRPr="00D32EC1" w:rsidRDefault="00EC0D89" w:rsidP="00100E21">
      <w:pPr>
        <w:pStyle w:val="ListParagraph"/>
        <w:numPr>
          <w:ilvl w:val="0"/>
          <w:numId w:val="29"/>
        </w:numPr>
        <w:spacing w:line="360" w:lineRule="auto"/>
        <w:ind w:left="567"/>
        <w:jc w:val="both"/>
        <w:rPr>
          <w:rFonts w:cs="Arial"/>
          <w:szCs w:val="22"/>
          <w:lang w:val="hr-HR"/>
        </w:rPr>
      </w:pPr>
      <w:r w:rsidRPr="00D32EC1">
        <w:rPr>
          <w:rFonts w:cs="Arial"/>
          <w:szCs w:val="22"/>
          <w:lang w:val="hr-HR"/>
        </w:rPr>
        <w:t>Zakon o zaštiti osobnih podataka (Narodne novine, br. 103/03, 118/06, 41/08, 130/11, 106/12)</w:t>
      </w:r>
    </w:p>
    <w:p w:rsidR="00EC0D89" w:rsidRPr="00B830BB" w:rsidRDefault="00EC0D89" w:rsidP="00EC0D89">
      <w:pPr>
        <w:spacing w:line="360" w:lineRule="auto"/>
        <w:jc w:val="both"/>
        <w:rPr>
          <w:rFonts w:cs="Arial"/>
          <w:szCs w:val="22"/>
          <w:lang w:val="hr-HR"/>
        </w:rPr>
      </w:pPr>
    </w:p>
    <w:p w:rsidR="00EC0D89" w:rsidRPr="00EC0E63" w:rsidRDefault="00EC0D89" w:rsidP="00EC0E63">
      <w:pPr>
        <w:pStyle w:val="ListParagraph"/>
        <w:numPr>
          <w:ilvl w:val="1"/>
          <w:numId w:val="18"/>
        </w:numPr>
        <w:spacing w:line="360" w:lineRule="auto"/>
        <w:jc w:val="both"/>
        <w:rPr>
          <w:rFonts w:cs="Arial"/>
          <w:b/>
          <w:szCs w:val="22"/>
          <w:lang w:val="hr-HR"/>
        </w:rPr>
      </w:pPr>
      <w:r w:rsidRPr="00EC0E63">
        <w:rPr>
          <w:rFonts w:cs="Arial"/>
          <w:b/>
          <w:szCs w:val="22"/>
          <w:lang w:val="hr-HR"/>
        </w:rPr>
        <w:t xml:space="preserve">Međunarodni </w:t>
      </w:r>
    </w:p>
    <w:p w:rsidR="00384A23" w:rsidRDefault="00384A23" w:rsidP="00100E21">
      <w:pPr>
        <w:pStyle w:val="ListParagraph"/>
        <w:numPr>
          <w:ilvl w:val="0"/>
          <w:numId w:val="30"/>
        </w:numPr>
        <w:spacing w:line="360" w:lineRule="auto"/>
        <w:ind w:left="567" w:hanging="425"/>
        <w:jc w:val="both"/>
        <w:rPr>
          <w:rFonts w:cs="Arial"/>
          <w:szCs w:val="22"/>
          <w:lang w:val="hr-HR"/>
        </w:rPr>
      </w:pPr>
      <w:r w:rsidRPr="00591FAF">
        <w:rPr>
          <w:rFonts w:cs="Arial"/>
          <w:szCs w:val="22"/>
          <w:lang w:val="hr-HR"/>
        </w:rPr>
        <w:t>Deklaracij</w:t>
      </w:r>
      <w:r>
        <w:rPr>
          <w:rFonts w:cs="Arial"/>
          <w:szCs w:val="22"/>
          <w:lang w:val="hr-HR"/>
        </w:rPr>
        <w:t>u</w:t>
      </w:r>
      <w:r w:rsidRPr="00591FAF">
        <w:rPr>
          <w:rFonts w:cs="Arial"/>
          <w:szCs w:val="22"/>
          <w:lang w:val="hr-HR"/>
        </w:rPr>
        <w:t xml:space="preserve"> o slobodi komuniciranja na internetu</w:t>
      </w:r>
    </w:p>
    <w:p w:rsidR="00EC0E63" w:rsidRPr="00D32EC1" w:rsidRDefault="00EC0E63" w:rsidP="00100E21">
      <w:pPr>
        <w:pStyle w:val="ListParagraph"/>
        <w:numPr>
          <w:ilvl w:val="0"/>
          <w:numId w:val="30"/>
        </w:numPr>
        <w:spacing w:line="360" w:lineRule="auto"/>
        <w:ind w:left="567" w:hanging="425"/>
        <w:jc w:val="both"/>
        <w:rPr>
          <w:lang w:val="hr-HR"/>
        </w:rPr>
      </w:pPr>
      <w:r w:rsidRPr="00D32EC1">
        <w:rPr>
          <w:lang w:val="hr-HR"/>
        </w:rPr>
        <w:t>Direktiva</w:t>
      </w:r>
      <w:r w:rsidRPr="00D32EC1">
        <w:rPr>
          <w:rFonts w:cs="Arial"/>
          <w:szCs w:val="22"/>
          <w:lang w:val="hr-HR"/>
        </w:rPr>
        <w:t xml:space="preserve"> 2000/31/</w:t>
      </w:r>
      <w:r w:rsidRPr="00D32EC1">
        <w:rPr>
          <w:lang w:val="hr-HR"/>
        </w:rPr>
        <w:t>EZ</w:t>
      </w:r>
      <w:r w:rsidRPr="00D32EC1">
        <w:rPr>
          <w:rFonts w:cs="Arial"/>
          <w:szCs w:val="22"/>
          <w:lang w:val="hr-HR"/>
        </w:rPr>
        <w:t xml:space="preserve"> </w:t>
      </w:r>
      <w:r w:rsidRPr="00D32EC1">
        <w:rPr>
          <w:lang w:val="hr-HR"/>
        </w:rPr>
        <w:t>Europskog</w:t>
      </w:r>
      <w:r w:rsidRPr="00D32EC1">
        <w:rPr>
          <w:rFonts w:cs="Arial"/>
          <w:szCs w:val="22"/>
          <w:lang w:val="hr-HR"/>
        </w:rPr>
        <w:t xml:space="preserve"> </w:t>
      </w:r>
      <w:r w:rsidRPr="00D32EC1">
        <w:rPr>
          <w:lang w:val="hr-HR"/>
        </w:rPr>
        <w:t>parlamenta</w:t>
      </w:r>
      <w:r w:rsidRPr="00D32EC1">
        <w:rPr>
          <w:rFonts w:cs="Arial"/>
          <w:szCs w:val="22"/>
          <w:lang w:val="hr-HR"/>
        </w:rPr>
        <w:t xml:space="preserve"> </w:t>
      </w:r>
      <w:r w:rsidRPr="00D32EC1">
        <w:rPr>
          <w:lang w:val="hr-HR"/>
        </w:rPr>
        <w:t>i</w:t>
      </w:r>
      <w:r w:rsidRPr="00D32EC1">
        <w:rPr>
          <w:rFonts w:cs="Arial"/>
          <w:szCs w:val="22"/>
          <w:lang w:val="hr-HR"/>
        </w:rPr>
        <w:t xml:space="preserve"> </w:t>
      </w:r>
      <w:r w:rsidRPr="00D32EC1">
        <w:rPr>
          <w:lang w:val="hr-HR"/>
        </w:rPr>
        <w:t>Vije</w:t>
      </w:r>
      <w:r w:rsidRPr="00D32EC1">
        <w:rPr>
          <w:rFonts w:cs="Arial"/>
          <w:szCs w:val="22"/>
          <w:lang w:val="hr-HR"/>
        </w:rPr>
        <w:t>ć</w:t>
      </w:r>
      <w:r w:rsidRPr="00D32EC1">
        <w:rPr>
          <w:lang w:val="hr-HR"/>
        </w:rPr>
        <w:t>a</w:t>
      </w:r>
      <w:r w:rsidRPr="00D32EC1">
        <w:rPr>
          <w:rFonts w:cs="Arial"/>
          <w:szCs w:val="22"/>
          <w:lang w:val="hr-HR"/>
        </w:rPr>
        <w:t xml:space="preserve"> </w:t>
      </w:r>
      <w:r w:rsidRPr="00D32EC1">
        <w:rPr>
          <w:lang w:val="hr-HR"/>
        </w:rPr>
        <w:t>od</w:t>
      </w:r>
      <w:r w:rsidRPr="00D32EC1">
        <w:rPr>
          <w:rFonts w:cs="Arial"/>
          <w:szCs w:val="22"/>
          <w:lang w:val="hr-HR"/>
        </w:rPr>
        <w:t xml:space="preserve"> 8. </w:t>
      </w:r>
      <w:r w:rsidRPr="00D32EC1">
        <w:rPr>
          <w:lang w:val="hr-HR"/>
        </w:rPr>
        <w:t>lipnja</w:t>
      </w:r>
      <w:r w:rsidRPr="00D32EC1">
        <w:rPr>
          <w:rFonts w:cs="Arial"/>
          <w:szCs w:val="22"/>
          <w:lang w:val="hr-HR"/>
        </w:rPr>
        <w:t xml:space="preserve"> 2000. </w:t>
      </w:r>
      <w:r w:rsidRPr="00D32EC1">
        <w:rPr>
          <w:lang w:val="hr-HR"/>
        </w:rPr>
        <w:t>o</w:t>
      </w:r>
      <w:r w:rsidRPr="00D32EC1">
        <w:rPr>
          <w:rFonts w:cs="Arial"/>
          <w:szCs w:val="22"/>
          <w:lang w:val="hr-HR"/>
        </w:rPr>
        <w:t xml:space="preserve"> </w:t>
      </w:r>
      <w:r w:rsidRPr="00D32EC1">
        <w:rPr>
          <w:lang w:val="hr-HR"/>
        </w:rPr>
        <w:t>odre</w:t>
      </w:r>
      <w:r w:rsidRPr="00D32EC1">
        <w:rPr>
          <w:rFonts w:cs="Arial"/>
          <w:szCs w:val="22"/>
          <w:lang w:val="hr-HR"/>
        </w:rPr>
        <w:t>đ</w:t>
      </w:r>
      <w:r w:rsidRPr="00D32EC1">
        <w:rPr>
          <w:lang w:val="hr-HR"/>
        </w:rPr>
        <w:t>enim</w:t>
      </w:r>
      <w:r w:rsidRPr="00D32EC1">
        <w:rPr>
          <w:rFonts w:cs="Arial"/>
          <w:szCs w:val="22"/>
          <w:lang w:val="hr-HR"/>
        </w:rPr>
        <w:t xml:space="preserve"> </w:t>
      </w:r>
      <w:r w:rsidRPr="00D32EC1">
        <w:rPr>
          <w:lang w:val="hr-HR"/>
        </w:rPr>
        <w:t>pravnim</w:t>
      </w:r>
      <w:r w:rsidRPr="00D32EC1">
        <w:rPr>
          <w:rFonts w:cs="Arial"/>
          <w:szCs w:val="22"/>
          <w:lang w:val="hr-HR"/>
        </w:rPr>
        <w:t xml:space="preserve"> </w:t>
      </w:r>
      <w:r w:rsidRPr="00D32EC1">
        <w:rPr>
          <w:lang w:val="hr-HR"/>
        </w:rPr>
        <w:t>aspektima</w:t>
      </w:r>
      <w:r w:rsidRPr="00D32EC1">
        <w:rPr>
          <w:rFonts w:cs="Arial"/>
          <w:szCs w:val="22"/>
          <w:lang w:val="hr-HR"/>
        </w:rPr>
        <w:t xml:space="preserve"> </w:t>
      </w:r>
      <w:r w:rsidRPr="00D32EC1">
        <w:rPr>
          <w:lang w:val="hr-HR"/>
        </w:rPr>
        <w:t>usluga</w:t>
      </w:r>
      <w:r w:rsidRPr="00D32EC1">
        <w:rPr>
          <w:rFonts w:cs="Arial"/>
          <w:szCs w:val="22"/>
          <w:lang w:val="hr-HR"/>
        </w:rPr>
        <w:t xml:space="preserve"> </w:t>
      </w:r>
      <w:r w:rsidRPr="00D32EC1">
        <w:rPr>
          <w:lang w:val="hr-HR"/>
        </w:rPr>
        <w:t>informacijskog</w:t>
      </w:r>
      <w:r w:rsidRPr="00D32EC1">
        <w:rPr>
          <w:rFonts w:cs="Arial"/>
          <w:szCs w:val="22"/>
          <w:lang w:val="hr-HR"/>
        </w:rPr>
        <w:t xml:space="preserve"> </w:t>
      </w:r>
      <w:r w:rsidRPr="00D32EC1">
        <w:rPr>
          <w:lang w:val="hr-HR"/>
        </w:rPr>
        <w:t>dru</w:t>
      </w:r>
      <w:r w:rsidRPr="00D32EC1">
        <w:rPr>
          <w:rFonts w:cs="Arial"/>
          <w:szCs w:val="22"/>
          <w:lang w:val="hr-HR"/>
        </w:rPr>
        <w:t>š</w:t>
      </w:r>
      <w:r w:rsidRPr="00D32EC1">
        <w:rPr>
          <w:lang w:val="hr-HR"/>
        </w:rPr>
        <w:t>tva</w:t>
      </w:r>
      <w:r w:rsidRPr="00D32EC1">
        <w:rPr>
          <w:rFonts w:cs="Arial"/>
          <w:szCs w:val="22"/>
          <w:lang w:val="hr-HR"/>
        </w:rPr>
        <w:t xml:space="preserve"> </w:t>
      </w:r>
      <w:r w:rsidRPr="00D32EC1">
        <w:rPr>
          <w:lang w:val="hr-HR"/>
        </w:rPr>
        <w:t>na</w:t>
      </w:r>
      <w:r w:rsidRPr="00D32EC1">
        <w:rPr>
          <w:rFonts w:cs="Arial"/>
          <w:szCs w:val="22"/>
          <w:lang w:val="hr-HR"/>
        </w:rPr>
        <w:t xml:space="preserve"> </w:t>
      </w:r>
      <w:r w:rsidRPr="00D32EC1">
        <w:rPr>
          <w:lang w:val="hr-HR"/>
        </w:rPr>
        <w:t>unutarnjem</w:t>
      </w:r>
      <w:r w:rsidRPr="00D32EC1">
        <w:rPr>
          <w:rFonts w:cs="Arial"/>
          <w:szCs w:val="22"/>
          <w:lang w:val="hr-HR"/>
        </w:rPr>
        <w:t xml:space="preserve"> </w:t>
      </w:r>
      <w:r w:rsidRPr="00D32EC1">
        <w:rPr>
          <w:lang w:val="hr-HR"/>
        </w:rPr>
        <w:t>tr</w:t>
      </w:r>
      <w:r w:rsidRPr="00D32EC1">
        <w:rPr>
          <w:rFonts w:cs="Arial"/>
          <w:szCs w:val="22"/>
          <w:lang w:val="hr-HR"/>
        </w:rPr>
        <w:t>ž</w:t>
      </w:r>
      <w:r w:rsidRPr="00D32EC1">
        <w:rPr>
          <w:lang w:val="hr-HR"/>
        </w:rPr>
        <w:t>i</w:t>
      </w:r>
      <w:r w:rsidRPr="00D32EC1">
        <w:rPr>
          <w:rFonts w:cs="Arial"/>
          <w:szCs w:val="22"/>
          <w:lang w:val="hr-HR"/>
        </w:rPr>
        <w:t>š</w:t>
      </w:r>
      <w:r w:rsidRPr="00D32EC1">
        <w:rPr>
          <w:lang w:val="hr-HR"/>
        </w:rPr>
        <w:t>tu</w:t>
      </w:r>
      <w:r w:rsidRPr="00D32EC1">
        <w:rPr>
          <w:rFonts w:cs="Arial"/>
          <w:szCs w:val="22"/>
          <w:lang w:val="hr-HR"/>
        </w:rPr>
        <w:t xml:space="preserve">, </w:t>
      </w:r>
      <w:r w:rsidRPr="00D32EC1">
        <w:rPr>
          <w:lang w:val="hr-HR"/>
        </w:rPr>
        <w:t>posebno</w:t>
      </w:r>
      <w:r w:rsidRPr="00D32EC1">
        <w:rPr>
          <w:rFonts w:cs="Arial"/>
          <w:szCs w:val="22"/>
          <w:lang w:val="hr-HR"/>
        </w:rPr>
        <w:t xml:space="preserve"> </w:t>
      </w:r>
      <w:r w:rsidRPr="00D32EC1">
        <w:rPr>
          <w:lang w:val="hr-HR"/>
        </w:rPr>
        <w:t>elektroni</w:t>
      </w:r>
      <w:r w:rsidRPr="00D32EC1">
        <w:rPr>
          <w:rFonts w:cs="Arial"/>
          <w:szCs w:val="22"/>
          <w:lang w:val="hr-HR"/>
        </w:rPr>
        <w:t>č</w:t>
      </w:r>
      <w:r w:rsidRPr="00D32EC1">
        <w:rPr>
          <w:lang w:val="hr-HR"/>
        </w:rPr>
        <w:t>ke</w:t>
      </w:r>
      <w:r w:rsidRPr="00D32EC1">
        <w:rPr>
          <w:rFonts w:cs="Arial"/>
          <w:szCs w:val="22"/>
          <w:lang w:val="hr-HR"/>
        </w:rPr>
        <w:t xml:space="preserve"> </w:t>
      </w:r>
      <w:r w:rsidRPr="00D32EC1">
        <w:rPr>
          <w:lang w:val="hr-HR"/>
        </w:rPr>
        <w:t>trgovine</w:t>
      </w:r>
    </w:p>
    <w:p w:rsidR="00EC0E63" w:rsidRPr="00B830BB" w:rsidRDefault="00EC0E63" w:rsidP="00100E21">
      <w:pPr>
        <w:pStyle w:val="ListParagraph"/>
        <w:numPr>
          <w:ilvl w:val="0"/>
          <w:numId w:val="30"/>
        </w:numPr>
        <w:spacing w:line="360" w:lineRule="auto"/>
        <w:ind w:left="567" w:hanging="425"/>
        <w:jc w:val="both"/>
        <w:rPr>
          <w:rFonts w:cs="Arial"/>
          <w:szCs w:val="22"/>
          <w:lang w:val="hr-HR"/>
        </w:rPr>
      </w:pPr>
      <w:r w:rsidRPr="00B830BB">
        <w:rPr>
          <w:rFonts w:cs="Arial"/>
          <w:szCs w:val="22"/>
          <w:lang w:val="hr-HR"/>
        </w:rPr>
        <w:lastRenderedPageBreak/>
        <w:t xml:space="preserve">Direktiva Vijeća 2000/43/EZ od 29. lipnja 2000. o implementaciji načela jednakog postupanje između osoba neovisno o rasnoj ili etničkoj pripadnosti </w:t>
      </w:r>
    </w:p>
    <w:p w:rsidR="00EC0E63" w:rsidRPr="00B830BB" w:rsidRDefault="00EC0E63" w:rsidP="00100E21">
      <w:pPr>
        <w:pStyle w:val="ListParagraph"/>
        <w:numPr>
          <w:ilvl w:val="0"/>
          <w:numId w:val="30"/>
        </w:numPr>
        <w:spacing w:line="360" w:lineRule="auto"/>
        <w:ind w:left="567" w:hanging="425"/>
        <w:jc w:val="both"/>
        <w:rPr>
          <w:rFonts w:cs="Arial"/>
          <w:szCs w:val="22"/>
          <w:lang w:val="hr-HR"/>
        </w:rPr>
      </w:pPr>
      <w:r w:rsidRPr="00B830BB">
        <w:rPr>
          <w:rFonts w:cs="Arial"/>
          <w:szCs w:val="22"/>
          <w:lang w:val="hr-HR"/>
        </w:rPr>
        <w:t>Direktiva Vijeća 2000/78/EZ od 27. studenoga 2000. o uspostavi općeg okvira za jednako postupanje pri zapošljavanju i obavljanju zanimanja </w:t>
      </w:r>
    </w:p>
    <w:p w:rsidR="00EC0D89" w:rsidRPr="00B830BB" w:rsidRDefault="00EC0D89" w:rsidP="00100E21">
      <w:pPr>
        <w:pStyle w:val="ListParagraph"/>
        <w:numPr>
          <w:ilvl w:val="0"/>
          <w:numId w:val="30"/>
        </w:numPr>
        <w:spacing w:line="360" w:lineRule="auto"/>
        <w:ind w:left="567" w:hanging="425"/>
        <w:jc w:val="both"/>
        <w:rPr>
          <w:rFonts w:cs="Arial"/>
          <w:szCs w:val="22"/>
          <w:lang w:val="hr-HR"/>
        </w:rPr>
      </w:pPr>
      <w:r w:rsidRPr="00B830BB">
        <w:rPr>
          <w:rFonts w:cs="Arial"/>
          <w:szCs w:val="22"/>
          <w:lang w:val="hr-HR"/>
        </w:rPr>
        <w:t>Europska konvencija o zaštiti ljudskih prava i temeljnih sloboda (NN MU18/97, 6/99, 14/02, 13/03, 9/05, 1/06, 2/10)</w:t>
      </w:r>
    </w:p>
    <w:p w:rsidR="00C74411" w:rsidRPr="00EA72B8" w:rsidRDefault="00C74411" w:rsidP="00100E21">
      <w:pPr>
        <w:pStyle w:val="ListParagraph"/>
        <w:numPr>
          <w:ilvl w:val="0"/>
          <w:numId w:val="30"/>
        </w:numPr>
        <w:spacing w:line="360" w:lineRule="auto"/>
        <w:ind w:left="567" w:hanging="425"/>
        <w:jc w:val="both"/>
        <w:rPr>
          <w:rFonts w:cs="Arial"/>
          <w:szCs w:val="22"/>
          <w:lang w:val="hr-HR"/>
        </w:rPr>
      </w:pPr>
      <w:r w:rsidRPr="00D32EC1">
        <w:rPr>
          <w:rFonts w:cs="Arial"/>
          <w:szCs w:val="22"/>
          <w:lang w:val="hr-HR"/>
        </w:rPr>
        <w:t>Međunarodna konvencija o ukidanju svih oblika rasne diskriminacije, 1966, Zbirka međunarodnih ugovora država članica Ujedinjenih naroda (United Nations Treaty Series), sv. 660, str. 195.</w:t>
      </w:r>
    </w:p>
    <w:p w:rsidR="002B5B1F" w:rsidRDefault="002B5B1F" w:rsidP="00100E21">
      <w:pPr>
        <w:pStyle w:val="ListParagraph"/>
        <w:numPr>
          <w:ilvl w:val="0"/>
          <w:numId w:val="30"/>
        </w:numPr>
        <w:spacing w:line="360" w:lineRule="auto"/>
        <w:ind w:left="567" w:hanging="425"/>
        <w:jc w:val="both"/>
        <w:rPr>
          <w:rFonts w:cs="Arial"/>
          <w:szCs w:val="22"/>
          <w:lang w:val="hr-HR"/>
        </w:rPr>
      </w:pPr>
      <w:r w:rsidRPr="00B830BB">
        <w:rPr>
          <w:rFonts w:cs="Arial"/>
          <w:szCs w:val="22"/>
          <w:lang w:val="hr-HR"/>
        </w:rPr>
        <w:t>Opća deklaracija o pravima čovjeka</w:t>
      </w:r>
    </w:p>
    <w:p w:rsidR="00C74411" w:rsidRPr="00B830BB" w:rsidRDefault="00C74411" w:rsidP="00100E21">
      <w:pPr>
        <w:pStyle w:val="ListParagraph"/>
        <w:numPr>
          <w:ilvl w:val="0"/>
          <w:numId w:val="30"/>
        </w:numPr>
        <w:spacing w:line="360" w:lineRule="auto"/>
        <w:ind w:left="567" w:hanging="425"/>
        <w:jc w:val="both"/>
        <w:rPr>
          <w:rFonts w:cs="Arial"/>
          <w:szCs w:val="22"/>
          <w:lang w:val="hr-HR"/>
        </w:rPr>
      </w:pPr>
      <w:r w:rsidRPr="00D32EC1">
        <w:rPr>
          <w:rFonts w:cs="Arial"/>
          <w:szCs w:val="22"/>
          <w:lang w:val="hr-HR"/>
        </w:rPr>
        <w:t>Opća politička preporuka br. 7 o nacionalnom zakonodavstvu za borbu protiv rasizma i rasizma i rasne diskriminacije</w:t>
      </w:r>
    </w:p>
    <w:p w:rsidR="00EC0D89" w:rsidRPr="00B830BB" w:rsidRDefault="00EC0D89" w:rsidP="00100E21">
      <w:pPr>
        <w:pStyle w:val="ListParagraph"/>
        <w:numPr>
          <w:ilvl w:val="0"/>
          <w:numId w:val="30"/>
        </w:numPr>
        <w:spacing w:line="360" w:lineRule="auto"/>
        <w:ind w:left="567" w:hanging="425"/>
        <w:jc w:val="both"/>
        <w:rPr>
          <w:rFonts w:cs="Arial"/>
          <w:szCs w:val="22"/>
          <w:lang w:val="hr-HR"/>
        </w:rPr>
      </w:pPr>
      <w:r w:rsidRPr="00B830BB">
        <w:rPr>
          <w:rFonts w:cs="Arial"/>
          <w:szCs w:val="22"/>
          <w:lang w:val="hr-HR"/>
        </w:rPr>
        <w:t>Preporuka o govoru mržnje (No. R (97) 20), 1997.</w:t>
      </w:r>
    </w:p>
    <w:p w:rsidR="002B5B1F" w:rsidRDefault="002B5B1F" w:rsidP="00100E21">
      <w:pPr>
        <w:pStyle w:val="ListParagraph"/>
        <w:numPr>
          <w:ilvl w:val="0"/>
          <w:numId w:val="30"/>
        </w:numPr>
        <w:spacing w:line="360" w:lineRule="auto"/>
        <w:ind w:left="567" w:hanging="425"/>
        <w:jc w:val="both"/>
        <w:rPr>
          <w:rFonts w:cs="Arial"/>
          <w:szCs w:val="22"/>
          <w:lang w:val="hr-HR"/>
        </w:rPr>
      </w:pPr>
      <w:r w:rsidRPr="00B830BB">
        <w:rPr>
          <w:rFonts w:cs="Arial"/>
          <w:szCs w:val="22"/>
          <w:lang w:val="hr-HR"/>
        </w:rPr>
        <w:t>Prva rezolucija Vijeća ljudskih prava UN-a o promociji, zaštiti i uživanju ljudskih prava na internetu</w:t>
      </w:r>
    </w:p>
    <w:p w:rsidR="00421627" w:rsidRPr="00B830BB" w:rsidRDefault="00421627" w:rsidP="003603DE">
      <w:pPr>
        <w:spacing w:line="360" w:lineRule="auto"/>
        <w:jc w:val="both"/>
        <w:rPr>
          <w:rFonts w:cs="Arial"/>
          <w:szCs w:val="22"/>
          <w:lang w:val="hr-HR"/>
        </w:rPr>
      </w:pPr>
    </w:p>
    <w:p w:rsidR="00EC0D89" w:rsidRDefault="00E30A47" w:rsidP="00EC0E63">
      <w:pPr>
        <w:pStyle w:val="ListParagraph"/>
        <w:numPr>
          <w:ilvl w:val="0"/>
          <w:numId w:val="18"/>
        </w:numPr>
        <w:spacing w:line="360" w:lineRule="auto"/>
        <w:jc w:val="both"/>
        <w:rPr>
          <w:rFonts w:cs="Arial"/>
          <w:b/>
          <w:szCs w:val="22"/>
          <w:lang w:val="hr-HR"/>
        </w:rPr>
      </w:pPr>
      <w:r w:rsidRPr="00EC0E63">
        <w:rPr>
          <w:rFonts w:cs="Arial"/>
          <w:b/>
          <w:szCs w:val="22"/>
          <w:lang w:val="hr-HR"/>
        </w:rPr>
        <w:t>Ostali izvori</w:t>
      </w:r>
    </w:p>
    <w:p w:rsidR="0090280A" w:rsidRPr="00D32EC1" w:rsidRDefault="0090280A" w:rsidP="00100E21">
      <w:pPr>
        <w:pStyle w:val="ListParagraph"/>
        <w:numPr>
          <w:ilvl w:val="0"/>
          <w:numId w:val="31"/>
        </w:numPr>
        <w:spacing w:line="360" w:lineRule="auto"/>
        <w:ind w:left="567" w:hanging="425"/>
        <w:jc w:val="both"/>
        <w:rPr>
          <w:lang w:val="hr-HR"/>
        </w:rPr>
      </w:pPr>
      <w:r w:rsidRPr="00D32EC1">
        <w:rPr>
          <w:rFonts w:cs="Arial"/>
          <w:szCs w:val="22"/>
          <w:lang w:val="hr-HR"/>
        </w:rPr>
        <w:t>Delfi AS v. Estonia - Request for referral to the Grand Chamber on behalf of the applicant</w:t>
      </w:r>
      <w:r w:rsidR="006818D3">
        <w:rPr>
          <w:rFonts w:cs="Arial"/>
          <w:szCs w:val="22"/>
          <w:lang w:val="hr-HR"/>
        </w:rPr>
        <w:t>,</w:t>
      </w:r>
    </w:p>
    <w:p w:rsidR="00C403D7" w:rsidRPr="00D32EC1" w:rsidRDefault="00C403D7" w:rsidP="00100E21">
      <w:pPr>
        <w:pStyle w:val="ListParagraph"/>
        <w:numPr>
          <w:ilvl w:val="0"/>
          <w:numId w:val="31"/>
        </w:numPr>
        <w:spacing w:line="360" w:lineRule="auto"/>
        <w:ind w:left="567" w:hanging="425"/>
        <w:jc w:val="both"/>
        <w:rPr>
          <w:lang w:val="hr-HR"/>
        </w:rPr>
      </w:pPr>
      <w:r w:rsidRPr="00D32EC1">
        <w:rPr>
          <w:rFonts w:cs="Arial"/>
          <w:szCs w:val="22"/>
          <w:lang w:val="hr-HR"/>
        </w:rPr>
        <w:t>Istraživanje o stavovima i razini svijesti o diskriminaciji i pojavnim oblicima diskriminacije, Ured pučke pravobraniteljice, 2012.,</w:t>
      </w:r>
    </w:p>
    <w:p w:rsidR="00EC0D89" w:rsidRPr="00B830BB" w:rsidRDefault="00EC0D89" w:rsidP="00100E21">
      <w:pPr>
        <w:pStyle w:val="ListParagraph"/>
        <w:numPr>
          <w:ilvl w:val="0"/>
          <w:numId w:val="31"/>
        </w:numPr>
        <w:spacing w:line="360" w:lineRule="auto"/>
        <w:ind w:left="567" w:hanging="425"/>
        <w:jc w:val="both"/>
        <w:rPr>
          <w:rFonts w:cs="Arial"/>
          <w:szCs w:val="22"/>
          <w:lang w:val="hr-HR"/>
        </w:rPr>
      </w:pPr>
      <w:r w:rsidRPr="00B830BB">
        <w:rPr>
          <w:rFonts w:cs="Arial"/>
          <w:szCs w:val="22"/>
          <w:lang w:val="hr-HR"/>
        </w:rPr>
        <w:t>Izvješće pučke pravobraniteljice za 2013</w:t>
      </w:r>
      <w:r w:rsidR="006E4BD0" w:rsidRPr="00B830BB">
        <w:rPr>
          <w:rFonts w:cs="Arial"/>
          <w:szCs w:val="22"/>
          <w:lang w:val="hr-HR"/>
        </w:rPr>
        <w:t>.</w:t>
      </w:r>
      <w:r w:rsidR="004D4FF8">
        <w:rPr>
          <w:rFonts w:cs="Arial"/>
          <w:szCs w:val="22"/>
          <w:lang w:val="hr-HR"/>
        </w:rPr>
        <w:t>,</w:t>
      </w:r>
    </w:p>
    <w:p w:rsidR="00285EE1" w:rsidRDefault="00285EE1" w:rsidP="00100E21">
      <w:pPr>
        <w:pStyle w:val="ListParagraph"/>
        <w:numPr>
          <w:ilvl w:val="0"/>
          <w:numId w:val="31"/>
        </w:numPr>
        <w:spacing w:line="360" w:lineRule="auto"/>
        <w:ind w:left="567" w:hanging="425"/>
        <w:jc w:val="both"/>
        <w:rPr>
          <w:rFonts w:cs="Arial"/>
          <w:szCs w:val="22"/>
          <w:lang w:val="hr-HR"/>
        </w:rPr>
      </w:pPr>
      <w:r w:rsidRPr="00B830BB">
        <w:rPr>
          <w:rFonts w:cs="Arial"/>
          <w:szCs w:val="22"/>
          <w:lang w:val="hr-HR"/>
        </w:rPr>
        <w:t>Izvješće UN-ovog posebnog izvjestitelja za promoviranje i zaštitu prava na slobodu mišljenja i izražavanja, Frank La Rue od 16. svibnja 2011.</w:t>
      </w:r>
      <w:r w:rsidR="004D4FF8">
        <w:rPr>
          <w:rFonts w:cs="Arial"/>
          <w:szCs w:val="22"/>
          <w:lang w:val="hr-HR"/>
        </w:rPr>
        <w:t>,</w:t>
      </w:r>
    </w:p>
    <w:p w:rsidR="00451690" w:rsidRPr="00B830BB" w:rsidRDefault="00451690" w:rsidP="00100E21">
      <w:pPr>
        <w:pStyle w:val="ListParagraph"/>
        <w:numPr>
          <w:ilvl w:val="0"/>
          <w:numId w:val="31"/>
        </w:numPr>
        <w:spacing w:line="360" w:lineRule="auto"/>
        <w:ind w:left="567" w:hanging="425"/>
        <w:jc w:val="both"/>
        <w:rPr>
          <w:rFonts w:cs="Arial"/>
          <w:szCs w:val="22"/>
          <w:lang w:val="hr-HR"/>
        </w:rPr>
      </w:pPr>
      <w:r w:rsidRPr="00D32EC1">
        <w:rPr>
          <w:rFonts w:cs="Arial"/>
          <w:szCs w:val="22"/>
          <w:lang w:val="hr-HR"/>
        </w:rPr>
        <w:t>Komentar načela Deklaracije o slobodi komuniciranja na internet</w:t>
      </w:r>
      <w:r w:rsidR="004D4FF8" w:rsidRPr="00D32EC1">
        <w:rPr>
          <w:rFonts w:cs="Arial"/>
          <w:szCs w:val="22"/>
          <w:lang w:val="hr-HR"/>
        </w:rPr>
        <w:t>u,</w:t>
      </w:r>
    </w:p>
    <w:p w:rsidR="003603DE" w:rsidRDefault="003603DE" w:rsidP="00100E21">
      <w:pPr>
        <w:pStyle w:val="ListParagraph"/>
        <w:numPr>
          <w:ilvl w:val="0"/>
          <w:numId w:val="31"/>
        </w:numPr>
        <w:spacing w:line="360" w:lineRule="auto"/>
        <w:ind w:left="567" w:hanging="425"/>
        <w:jc w:val="both"/>
        <w:rPr>
          <w:rFonts w:cs="Arial"/>
          <w:szCs w:val="22"/>
          <w:lang w:val="hr-HR"/>
        </w:rPr>
      </w:pPr>
      <w:r w:rsidRPr="00B830BB">
        <w:rPr>
          <w:rFonts w:cs="Arial"/>
          <w:szCs w:val="22"/>
          <w:lang w:val="hr-HR"/>
        </w:rPr>
        <w:t>Obrazloženje konačnog prijedloga Kaznenog zakona</w:t>
      </w:r>
      <w:r w:rsidR="004D4FF8">
        <w:rPr>
          <w:rFonts w:cs="Arial"/>
          <w:szCs w:val="22"/>
          <w:lang w:val="hr-HR"/>
        </w:rPr>
        <w:t>,</w:t>
      </w:r>
    </w:p>
    <w:p w:rsidR="00DD093A" w:rsidRDefault="00DD093A" w:rsidP="00100E21">
      <w:pPr>
        <w:pStyle w:val="ListParagraph"/>
        <w:numPr>
          <w:ilvl w:val="0"/>
          <w:numId w:val="31"/>
        </w:numPr>
        <w:spacing w:line="360" w:lineRule="auto"/>
        <w:ind w:left="567" w:hanging="425"/>
        <w:jc w:val="both"/>
        <w:rPr>
          <w:rFonts w:cs="Arial"/>
          <w:szCs w:val="22"/>
          <w:lang w:val="hr-HR"/>
        </w:rPr>
      </w:pPr>
      <w:r w:rsidRPr="00D32EC1">
        <w:rPr>
          <w:rFonts w:cs="Arial"/>
          <w:szCs w:val="22"/>
          <w:lang w:val="hr-HR"/>
        </w:rPr>
        <w:t>Practical Guide on Admisibility Criteria, Vijeće Europe/Europski sud za ljudska prava, 2011.</w:t>
      </w:r>
      <w:r w:rsidR="004D4FF8" w:rsidRPr="00D32EC1">
        <w:rPr>
          <w:rFonts w:cs="Arial"/>
          <w:szCs w:val="22"/>
          <w:lang w:val="hr-HR"/>
        </w:rPr>
        <w:t>,</w:t>
      </w:r>
    </w:p>
    <w:p w:rsidR="00977047" w:rsidRPr="00D32EC1" w:rsidRDefault="00977047" w:rsidP="00100E21">
      <w:pPr>
        <w:pStyle w:val="ListParagraph"/>
        <w:numPr>
          <w:ilvl w:val="0"/>
          <w:numId w:val="31"/>
        </w:numPr>
        <w:spacing w:line="360" w:lineRule="auto"/>
        <w:ind w:left="567" w:hanging="425"/>
        <w:jc w:val="both"/>
        <w:rPr>
          <w:rFonts w:cs="Arial"/>
          <w:szCs w:val="22"/>
          <w:lang w:val="hr-HR"/>
        </w:rPr>
      </w:pPr>
      <w:r w:rsidRPr="00977047">
        <w:rPr>
          <w:rFonts w:cs="Arial"/>
          <w:szCs w:val="22"/>
          <w:lang w:val="hr-HR"/>
        </w:rPr>
        <w:t>Priopćenje Državnog odvjetništva, Podnijet prijedlog za podizanje zahtjeva za zaštitu zakonitosti u predmetu Damira Fintića</w:t>
      </w:r>
      <w:r>
        <w:rPr>
          <w:rFonts w:cs="Arial"/>
          <w:szCs w:val="22"/>
          <w:lang w:val="hr-HR"/>
        </w:rPr>
        <w:t>,</w:t>
      </w:r>
      <w:r w:rsidRPr="00977047">
        <w:rPr>
          <w:rFonts w:cs="Arial"/>
          <w:szCs w:val="22"/>
          <w:lang w:val="hr-HR"/>
        </w:rPr>
        <w:t xml:space="preserve"> </w:t>
      </w:r>
      <w:hyperlink r:id="rId51" w:history="1">
        <w:r w:rsidRPr="00977047">
          <w:rPr>
            <w:rFonts w:cs="Arial"/>
            <w:szCs w:val="22"/>
            <w:lang w:val="hr-HR"/>
          </w:rPr>
          <w:t>http://www.dorh.hr/PodnijetPrijedlogZa</w:t>
        </w:r>
      </w:hyperlink>
      <w:r w:rsidR="004D4FF8" w:rsidRPr="00D32EC1">
        <w:rPr>
          <w:rFonts w:cs="Arial"/>
          <w:szCs w:val="22"/>
          <w:lang w:val="hr-HR"/>
        </w:rPr>
        <w:t>,</w:t>
      </w:r>
    </w:p>
    <w:p w:rsidR="006B662B" w:rsidRPr="006818D3" w:rsidRDefault="006B662B" w:rsidP="00100E21">
      <w:pPr>
        <w:pStyle w:val="ListParagraph"/>
        <w:numPr>
          <w:ilvl w:val="0"/>
          <w:numId w:val="31"/>
        </w:numPr>
        <w:spacing w:line="360" w:lineRule="auto"/>
        <w:ind w:left="567" w:hanging="425"/>
        <w:jc w:val="both"/>
        <w:rPr>
          <w:rFonts w:cs="Arial"/>
          <w:szCs w:val="22"/>
          <w:lang w:val="hr-HR"/>
        </w:rPr>
      </w:pPr>
      <w:r w:rsidRPr="006818D3">
        <w:rPr>
          <w:rFonts w:cs="Arial"/>
          <w:szCs w:val="22"/>
          <w:lang w:val="hr-HR"/>
        </w:rPr>
        <w:t xml:space="preserve">Report from the Commission to the European Parliament, the Council and the European Economic and Social Committee, First Report on the application of Directive 2000/31/EC of </w:t>
      </w:r>
      <w:r w:rsidR="006818D3" w:rsidRPr="006818D3">
        <w:rPr>
          <w:rFonts w:cs="Arial"/>
          <w:szCs w:val="22"/>
          <w:lang w:val="hr-HR"/>
        </w:rPr>
        <w:t>T</w:t>
      </w:r>
      <w:r w:rsidRPr="006818D3">
        <w:rPr>
          <w:rFonts w:cs="Arial"/>
          <w:szCs w:val="22"/>
          <w:lang w:val="hr-HR"/>
        </w:rPr>
        <w:t>he European Parliament and of the Council of 8 June 2000 on certain legal aspects of information society services, in particular electronic commerce, in the Internal Market (Directive on electronic commerce), COM(2003) 0702 final, Bruxelles,</w:t>
      </w:r>
    </w:p>
    <w:p w:rsidR="00956288" w:rsidRPr="00D32EC1" w:rsidRDefault="00956288" w:rsidP="00100E21">
      <w:pPr>
        <w:pStyle w:val="ListParagraph"/>
        <w:numPr>
          <w:ilvl w:val="0"/>
          <w:numId w:val="31"/>
        </w:numPr>
        <w:spacing w:line="360" w:lineRule="auto"/>
        <w:ind w:left="567" w:hanging="425"/>
        <w:jc w:val="both"/>
        <w:rPr>
          <w:rFonts w:cs="Arial"/>
          <w:szCs w:val="22"/>
          <w:lang w:val="hr-HR"/>
        </w:rPr>
      </w:pPr>
      <w:r>
        <w:rPr>
          <w:rFonts w:cs="Arial"/>
          <w:szCs w:val="22"/>
          <w:lang w:val="hr-HR"/>
        </w:rPr>
        <w:t xml:space="preserve">Sažetak sudske prakse Europskog suda za ljudska prava, </w:t>
      </w:r>
      <w:hyperlink r:id="rId52" w:history="1">
        <w:r w:rsidRPr="00D32EC1">
          <w:rPr>
            <w:lang w:val="hr-HR"/>
          </w:rPr>
          <w:t>http</w:t>
        </w:r>
        <w:r w:rsidRPr="00D32EC1">
          <w:rPr>
            <w:rFonts w:cs="Arial"/>
            <w:szCs w:val="22"/>
            <w:lang w:val="hr-HR"/>
          </w:rPr>
          <w:t>://</w:t>
        </w:r>
        <w:r w:rsidRPr="00D32EC1">
          <w:rPr>
            <w:lang w:val="hr-HR"/>
          </w:rPr>
          <w:t>www</w:t>
        </w:r>
        <w:r w:rsidRPr="00D32EC1">
          <w:rPr>
            <w:rFonts w:cs="Arial"/>
            <w:szCs w:val="22"/>
            <w:lang w:val="hr-HR"/>
          </w:rPr>
          <w:t>.</w:t>
        </w:r>
        <w:r w:rsidRPr="00D32EC1">
          <w:rPr>
            <w:lang w:val="hr-HR"/>
          </w:rPr>
          <w:t>echr</w:t>
        </w:r>
        <w:r w:rsidRPr="00D32EC1">
          <w:rPr>
            <w:rFonts w:cs="Arial"/>
            <w:szCs w:val="22"/>
            <w:lang w:val="hr-HR"/>
          </w:rPr>
          <w:t>.</w:t>
        </w:r>
        <w:r w:rsidRPr="00D32EC1">
          <w:rPr>
            <w:lang w:val="hr-HR"/>
          </w:rPr>
          <w:t>coe</w:t>
        </w:r>
        <w:r w:rsidRPr="00D32EC1">
          <w:rPr>
            <w:rFonts w:cs="Arial"/>
            <w:szCs w:val="22"/>
            <w:lang w:val="hr-HR"/>
          </w:rPr>
          <w:t>.</w:t>
        </w:r>
        <w:r w:rsidRPr="00D32EC1">
          <w:rPr>
            <w:lang w:val="hr-HR"/>
          </w:rPr>
          <w:t>int</w:t>
        </w:r>
        <w:r w:rsidRPr="00D32EC1">
          <w:rPr>
            <w:rFonts w:cs="Arial"/>
            <w:szCs w:val="22"/>
            <w:lang w:val="hr-HR"/>
          </w:rPr>
          <w:t>/</w:t>
        </w:r>
        <w:r w:rsidRPr="00D32EC1">
          <w:rPr>
            <w:lang w:val="hr-HR"/>
          </w:rPr>
          <w:t>Documents</w:t>
        </w:r>
        <w:r w:rsidRPr="00D32EC1">
          <w:rPr>
            <w:rFonts w:cs="Arial"/>
            <w:szCs w:val="22"/>
            <w:lang w:val="hr-HR"/>
          </w:rPr>
          <w:t>/</w:t>
        </w:r>
        <w:r w:rsidRPr="00D32EC1">
          <w:rPr>
            <w:lang w:val="hr-HR"/>
          </w:rPr>
          <w:t>FS</w:t>
        </w:r>
        <w:r w:rsidRPr="00D32EC1">
          <w:rPr>
            <w:rFonts w:cs="Arial"/>
            <w:szCs w:val="22"/>
            <w:lang w:val="hr-HR"/>
          </w:rPr>
          <w:t>_</w:t>
        </w:r>
        <w:r w:rsidRPr="00D32EC1">
          <w:rPr>
            <w:lang w:val="hr-HR"/>
          </w:rPr>
          <w:t>Hate</w:t>
        </w:r>
        <w:r w:rsidRPr="00D32EC1">
          <w:rPr>
            <w:rFonts w:cs="Arial"/>
            <w:szCs w:val="22"/>
            <w:lang w:val="hr-HR"/>
          </w:rPr>
          <w:t>_</w:t>
        </w:r>
        <w:r w:rsidRPr="00D32EC1">
          <w:rPr>
            <w:lang w:val="hr-HR"/>
          </w:rPr>
          <w:t>speech</w:t>
        </w:r>
        <w:r w:rsidRPr="00D32EC1">
          <w:rPr>
            <w:rFonts w:cs="Arial"/>
            <w:szCs w:val="22"/>
            <w:lang w:val="hr-HR"/>
          </w:rPr>
          <w:t>_</w:t>
        </w:r>
        <w:r w:rsidRPr="00D32EC1">
          <w:rPr>
            <w:lang w:val="hr-HR"/>
          </w:rPr>
          <w:t>ENG</w:t>
        </w:r>
        <w:r w:rsidRPr="00D32EC1">
          <w:rPr>
            <w:rFonts w:cs="Arial"/>
            <w:szCs w:val="22"/>
            <w:lang w:val="hr-HR"/>
          </w:rPr>
          <w:t>.</w:t>
        </w:r>
        <w:r w:rsidRPr="00D32EC1">
          <w:rPr>
            <w:lang w:val="hr-HR"/>
          </w:rPr>
          <w:t>pdf</w:t>
        </w:r>
      </w:hyperlink>
      <w:r w:rsidR="00A12BBB" w:rsidRPr="00D32EC1">
        <w:rPr>
          <w:rFonts w:cs="Arial"/>
          <w:szCs w:val="22"/>
          <w:lang w:val="hr-HR"/>
        </w:rPr>
        <w:t>,</w:t>
      </w:r>
    </w:p>
    <w:p w:rsidR="00EC0D89" w:rsidRDefault="00A12BBB" w:rsidP="00100E21">
      <w:pPr>
        <w:pStyle w:val="ListParagraph"/>
        <w:numPr>
          <w:ilvl w:val="0"/>
          <w:numId w:val="31"/>
        </w:numPr>
        <w:spacing w:line="360" w:lineRule="auto"/>
        <w:ind w:left="567" w:hanging="425"/>
        <w:jc w:val="both"/>
        <w:rPr>
          <w:rFonts w:cs="Arial"/>
          <w:szCs w:val="22"/>
          <w:lang w:val="hr-HR"/>
        </w:rPr>
      </w:pPr>
      <w:r w:rsidRPr="00D32EC1">
        <w:rPr>
          <w:lang w:val="hr-HR"/>
        </w:rPr>
        <w:lastRenderedPageBreak/>
        <w:t>Zabrana</w:t>
      </w:r>
      <w:r w:rsidRPr="00D32EC1">
        <w:rPr>
          <w:rFonts w:cs="Arial"/>
          <w:szCs w:val="22"/>
          <w:lang w:val="hr-HR"/>
        </w:rPr>
        <w:t xml:space="preserve"> </w:t>
      </w:r>
      <w:r w:rsidRPr="00D32EC1">
        <w:rPr>
          <w:lang w:val="hr-HR"/>
        </w:rPr>
        <w:t>diskriminacije</w:t>
      </w:r>
      <w:r w:rsidRPr="00D32EC1">
        <w:rPr>
          <w:rFonts w:cs="Arial"/>
          <w:szCs w:val="22"/>
          <w:lang w:val="hr-HR"/>
        </w:rPr>
        <w:t xml:space="preserve"> </w:t>
      </w:r>
      <w:r w:rsidRPr="00D32EC1">
        <w:rPr>
          <w:lang w:val="hr-HR"/>
        </w:rPr>
        <w:t>u</w:t>
      </w:r>
      <w:r w:rsidRPr="00D32EC1">
        <w:rPr>
          <w:rFonts w:cs="Arial"/>
          <w:szCs w:val="22"/>
          <w:lang w:val="hr-HR"/>
        </w:rPr>
        <w:t xml:space="preserve"> </w:t>
      </w:r>
      <w:r w:rsidRPr="00D32EC1">
        <w:rPr>
          <w:lang w:val="hr-HR"/>
        </w:rPr>
        <w:t>skladu</w:t>
      </w:r>
      <w:r w:rsidRPr="00D32EC1">
        <w:rPr>
          <w:rFonts w:cs="Arial"/>
          <w:szCs w:val="22"/>
          <w:lang w:val="hr-HR"/>
        </w:rPr>
        <w:t xml:space="preserve"> </w:t>
      </w:r>
      <w:r w:rsidRPr="00D32EC1">
        <w:rPr>
          <w:lang w:val="hr-HR"/>
        </w:rPr>
        <w:t>s</w:t>
      </w:r>
      <w:r w:rsidRPr="00D32EC1">
        <w:rPr>
          <w:rFonts w:cs="Arial"/>
          <w:szCs w:val="22"/>
          <w:lang w:val="hr-HR"/>
        </w:rPr>
        <w:t xml:space="preserve"> </w:t>
      </w:r>
      <w:r w:rsidRPr="00D32EC1">
        <w:rPr>
          <w:lang w:val="hr-HR"/>
        </w:rPr>
        <w:t>Europskom</w:t>
      </w:r>
      <w:r w:rsidRPr="00D32EC1">
        <w:rPr>
          <w:rFonts w:cs="Arial"/>
          <w:szCs w:val="22"/>
          <w:lang w:val="hr-HR"/>
        </w:rPr>
        <w:t xml:space="preserve"> </w:t>
      </w:r>
      <w:r w:rsidRPr="00D32EC1">
        <w:rPr>
          <w:lang w:val="hr-HR"/>
        </w:rPr>
        <w:t>konvencijom</w:t>
      </w:r>
      <w:r w:rsidRPr="00D32EC1">
        <w:rPr>
          <w:rFonts w:cs="Arial"/>
          <w:szCs w:val="22"/>
          <w:lang w:val="hr-HR"/>
        </w:rPr>
        <w:t xml:space="preserve"> </w:t>
      </w:r>
      <w:r w:rsidRPr="00D32EC1">
        <w:rPr>
          <w:lang w:val="hr-HR"/>
        </w:rPr>
        <w:t>o</w:t>
      </w:r>
      <w:r w:rsidRPr="00D32EC1">
        <w:rPr>
          <w:rFonts w:cs="Arial"/>
          <w:szCs w:val="22"/>
          <w:lang w:val="hr-HR"/>
        </w:rPr>
        <w:t xml:space="preserve"> </w:t>
      </w:r>
      <w:r w:rsidRPr="00D32EC1">
        <w:rPr>
          <w:lang w:val="hr-HR"/>
        </w:rPr>
        <w:t>ljudskim</w:t>
      </w:r>
      <w:r w:rsidRPr="00D32EC1">
        <w:rPr>
          <w:rFonts w:cs="Arial"/>
          <w:szCs w:val="22"/>
          <w:lang w:val="hr-HR"/>
        </w:rPr>
        <w:t xml:space="preserve"> </w:t>
      </w:r>
      <w:r w:rsidRPr="00D32EC1">
        <w:rPr>
          <w:lang w:val="hr-HR"/>
        </w:rPr>
        <w:t>pravima</w:t>
      </w:r>
      <w:r w:rsidRPr="00D32EC1">
        <w:rPr>
          <w:rFonts w:cs="Arial"/>
          <w:szCs w:val="22"/>
          <w:lang w:val="hr-HR"/>
        </w:rPr>
        <w:t xml:space="preserve"> (č</w:t>
      </w:r>
      <w:r w:rsidRPr="00D32EC1">
        <w:rPr>
          <w:lang w:val="hr-HR"/>
        </w:rPr>
        <w:t>lanak</w:t>
      </w:r>
      <w:r w:rsidRPr="00D32EC1">
        <w:rPr>
          <w:rFonts w:cs="Arial"/>
          <w:szCs w:val="22"/>
          <w:lang w:val="hr-HR"/>
        </w:rPr>
        <w:t xml:space="preserve"> 14.) - </w:t>
      </w:r>
      <w:r w:rsidRPr="00D32EC1">
        <w:rPr>
          <w:lang w:val="hr-HR"/>
        </w:rPr>
        <w:t>Priru</w:t>
      </w:r>
      <w:r w:rsidRPr="00D32EC1">
        <w:rPr>
          <w:rFonts w:cs="Arial"/>
          <w:szCs w:val="22"/>
          <w:lang w:val="hr-HR"/>
        </w:rPr>
        <w:t>č</w:t>
      </w:r>
      <w:r w:rsidRPr="00D32EC1">
        <w:rPr>
          <w:lang w:val="hr-HR"/>
        </w:rPr>
        <w:t>nik</w:t>
      </w:r>
      <w:r w:rsidRPr="00D32EC1">
        <w:rPr>
          <w:rFonts w:cs="Arial"/>
          <w:szCs w:val="22"/>
          <w:lang w:val="hr-HR"/>
        </w:rPr>
        <w:t xml:space="preserve"> </w:t>
      </w:r>
      <w:r w:rsidRPr="00D32EC1">
        <w:rPr>
          <w:lang w:val="hr-HR"/>
        </w:rPr>
        <w:t>za</w:t>
      </w:r>
      <w:r w:rsidRPr="00D32EC1">
        <w:rPr>
          <w:rFonts w:cs="Arial"/>
          <w:szCs w:val="22"/>
          <w:lang w:val="hr-HR"/>
        </w:rPr>
        <w:t xml:space="preserve"> </w:t>
      </w:r>
      <w:r w:rsidRPr="00D32EC1">
        <w:rPr>
          <w:lang w:val="hr-HR"/>
        </w:rPr>
        <w:t>odvjetnike</w:t>
      </w:r>
      <w:r w:rsidRPr="00D32EC1">
        <w:rPr>
          <w:rFonts w:cs="Arial"/>
          <w:szCs w:val="22"/>
          <w:lang w:val="hr-HR"/>
        </w:rPr>
        <w:t xml:space="preserve">, </w:t>
      </w:r>
      <w:r w:rsidRPr="00D32EC1">
        <w:rPr>
          <w:lang w:val="hr-HR"/>
        </w:rPr>
        <w:t>Interights</w:t>
      </w:r>
      <w:r w:rsidRPr="00D32EC1">
        <w:rPr>
          <w:rFonts w:cs="Arial"/>
          <w:szCs w:val="22"/>
          <w:lang w:val="hr-HR"/>
        </w:rPr>
        <w:t>, 2006.</w:t>
      </w:r>
    </w:p>
    <w:p w:rsidR="000F442C" w:rsidRPr="00E439C3" w:rsidRDefault="000F442C" w:rsidP="00100E21">
      <w:pPr>
        <w:pStyle w:val="ListParagraph"/>
        <w:numPr>
          <w:ilvl w:val="0"/>
          <w:numId w:val="31"/>
        </w:numPr>
        <w:spacing w:line="360" w:lineRule="auto"/>
        <w:ind w:left="567" w:hanging="425"/>
        <w:jc w:val="both"/>
        <w:rPr>
          <w:rFonts w:cs="Arial"/>
          <w:szCs w:val="22"/>
          <w:lang w:val="hr-HR"/>
        </w:rPr>
      </w:pPr>
      <w:r>
        <w:rPr>
          <w:rFonts w:cs="Arial"/>
          <w:lang w:val="fr-FR"/>
        </w:rPr>
        <w:t xml:space="preserve">Regulacija govora mržnje na webu, </w:t>
      </w:r>
      <w:r w:rsidRPr="002A744E">
        <w:rPr>
          <w:rFonts w:cs="Arial"/>
          <w:lang w:val="fr-FR"/>
        </w:rPr>
        <w:t>http</w:t>
      </w:r>
      <w:r w:rsidRPr="002A744E">
        <w:rPr>
          <w:rFonts w:cs="Arial"/>
          <w:lang w:val="hr-HR"/>
        </w:rPr>
        <w:t>://</w:t>
      </w:r>
      <w:r w:rsidRPr="002A744E">
        <w:rPr>
          <w:rFonts w:cs="Arial"/>
          <w:lang w:val="fr-FR"/>
        </w:rPr>
        <w:t>www</w:t>
      </w:r>
      <w:r w:rsidRPr="002A744E">
        <w:rPr>
          <w:rFonts w:cs="Arial"/>
          <w:lang w:val="hr-HR"/>
        </w:rPr>
        <w:t>.</w:t>
      </w:r>
      <w:r w:rsidRPr="002A744E">
        <w:rPr>
          <w:rFonts w:cs="Arial"/>
          <w:lang w:val="fr-FR"/>
        </w:rPr>
        <w:t>djurman</w:t>
      </w:r>
      <w:r w:rsidRPr="002A744E">
        <w:rPr>
          <w:rFonts w:cs="Arial"/>
          <w:lang w:val="hr-HR"/>
        </w:rPr>
        <w:t>.</w:t>
      </w:r>
      <w:r w:rsidRPr="002A744E">
        <w:rPr>
          <w:rFonts w:cs="Arial"/>
          <w:lang w:val="fr-FR"/>
        </w:rPr>
        <w:t>com</w:t>
      </w:r>
      <w:r w:rsidRPr="002A744E">
        <w:rPr>
          <w:rFonts w:cs="Arial"/>
          <w:lang w:val="hr-HR"/>
        </w:rPr>
        <w:t>/</w:t>
      </w:r>
      <w:r w:rsidRPr="002A744E">
        <w:rPr>
          <w:rFonts w:cs="Arial"/>
          <w:lang w:val="fr-FR"/>
        </w:rPr>
        <w:t>tekst</w:t>
      </w:r>
      <w:r w:rsidRPr="002A744E">
        <w:rPr>
          <w:rFonts w:cs="Arial"/>
          <w:lang w:val="hr-HR"/>
        </w:rPr>
        <w:t>/</w:t>
      </w:r>
      <w:r w:rsidRPr="002A744E">
        <w:rPr>
          <w:rFonts w:cs="Arial"/>
          <w:lang w:val="fr-FR"/>
        </w:rPr>
        <w:t>net</w:t>
      </w:r>
      <w:r w:rsidRPr="002A744E">
        <w:rPr>
          <w:rFonts w:cs="Arial"/>
          <w:lang w:val="hr-HR"/>
        </w:rPr>
        <w:t>/</w:t>
      </w:r>
      <w:r w:rsidRPr="002A744E">
        <w:rPr>
          <w:rFonts w:cs="Arial"/>
          <w:lang w:val="fr-FR"/>
        </w:rPr>
        <w:t>chip</w:t>
      </w:r>
      <w:r w:rsidRPr="002A744E">
        <w:rPr>
          <w:rFonts w:cs="Arial"/>
          <w:lang w:val="hr-HR"/>
        </w:rPr>
        <w:t>126_</w:t>
      </w:r>
      <w:r w:rsidRPr="002A744E">
        <w:rPr>
          <w:rFonts w:cs="Arial"/>
          <w:lang w:val="fr-FR"/>
        </w:rPr>
        <w:t>nazi</w:t>
      </w:r>
      <w:r w:rsidRPr="002A744E">
        <w:rPr>
          <w:rFonts w:cs="Arial"/>
          <w:lang w:val="hr-HR"/>
        </w:rPr>
        <w:t>.</w:t>
      </w:r>
      <w:r w:rsidRPr="002A744E">
        <w:rPr>
          <w:rFonts w:cs="Arial"/>
          <w:lang w:val="fr-FR"/>
        </w:rPr>
        <w:t>htm</w:t>
      </w:r>
      <w:r w:rsidRPr="00057189">
        <w:rPr>
          <w:rFonts w:cs="Arial"/>
          <w:lang w:val="hr-HR"/>
        </w:rPr>
        <w:t xml:space="preserve">, </w:t>
      </w:r>
      <w:r>
        <w:rPr>
          <w:rFonts w:cs="Arial"/>
          <w:lang w:val="fr-FR"/>
        </w:rPr>
        <w:t>pristupljeno</w:t>
      </w:r>
      <w:r w:rsidRPr="00057189">
        <w:rPr>
          <w:rFonts w:cs="Arial"/>
          <w:lang w:val="hr-HR"/>
        </w:rPr>
        <w:t xml:space="preserve"> 20.</w:t>
      </w:r>
      <w:r>
        <w:rPr>
          <w:rFonts w:cs="Arial"/>
          <w:lang w:val="hr-HR"/>
        </w:rPr>
        <w:t xml:space="preserve"> ožujka </w:t>
      </w:r>
      <w:r w:rsidRPr="00057189">
        <w:rPr>
          <w:rFonts w:cs="Arial"/>
          <w:lang w:val="hr-HR"/>
        </w:rPr>
        <w:t>2014</w:t>
      </w:r>
      <w:r>
        <w:rPr>
          <w:rFonts w:cs="Arial"/>
          <w:lang w:val="hr-HR"/>
        </w:rPr>
        <w:t>.</w:t>
      </w:r>
    </w:p>
    <w:p w:rsidR="00E439C3" w:rsidRPr="00E439C3" w:rsidRDefault="00E439C3" w:rsidP="00100E21">
      <w:pPr>
        <w:pStyle w:val="ListParagraph"/>
        <w:numPr>
          <w:ilvl w:val="0"/>
          <w:numId w:val="31"/>
        </w:numPr>
        <w:spacing w:line="360" w:lineRule="auto"/>
        <w:ind w:left="567" w:hanging="425"/>
        <w:jc w:val="both"/>
        <w:rPr>
          <w:rFonts w:cs="Arial"/>
          <w:szCs w:val="22"/>
          <w:lang w:val="hr-HR"/>
        </w:rPr>
      </w:pPr>
      <w:r>
        <w:rPr>
          <w:rFonts w:cs="Arial"/>
          <w:lang w:val="hr-HR"/>
        </w:rPr>
        <w:t xml:space="preserve">European Court strikes serious blow to free speech online, </w:t>
      </w:r>
      <w:hyperlink r:id="rId53" w:history="1">
        <w:r w:rsidRPr="00870891">
          <w:rPr>
            <w:rFonts w:cs="Arial"/>
            <w:lang w:val="hr-HR"/>
          </w:rPr>
          <w:t>http://www.article19.org/resources.php/resource/37287/en/european-court-strikes-serious-blow-to-free-speech-online</w:t>
        </w:r>
      </w:hyperlink>
      <w:r w:rsidRPr="00870891">
        <w:rPr>
          <w:rFonts w:cs="Arial"/>
          <w:lang w:val="hr-HR"/>
        </w:rPr>
        <w:t xml:space="preserve"> </w:t>
      </w:r>
      <w:r>
        <w:rPr>
          <w:rFonts w:cs="Arial"/>
          <w:lang w:val="hr-HR"/>
        </w:rPr>
        <w:t>, pristupljeno 10. travnja 2014.</w:t>
      </w:r>
    </w:p>
    <w:p w:rsidR="00E439C3" w:rsidRPr="00E439C3" w:rsidRDefault="00E439C3" w:rsidP="00100E21">
      <w:pPr>
        <w:pStyle w:val="ListParagraph"/>
        <w:numPr>
          <w:ilvl w:val="0"/>
          <w:numId w:val="31"/>
        </w:numPr>
        <w:spacing w:line="360" w:lineRule="auto"/>
        <w:ind w:left="567" w:hanging="425"/>
        <w:jc w:val="both"/>
        <w:rPr>
          <w:rFonts w:cs="Arial"/>
          <w:szCs w:val="22"/>
          <w:lang w:val="hr-HR"/>
        </w:rPr>
      </w:pPr>
      <w:r>
        <w:rPr>
          <w:rFonts w:cs="Arial"/>
          <w:lang w:val="hr-HR"/>
        </w:rPr>
        <w:t xml:space="preserve">Qualification of news portal as publisher of users comment may have far-reaching consequences for online freedom of expression, </w:t>
      </w:r>
      <w:r w:rsidRPr="00870891">
        <w:rPr>
          <w:rFonts w:cs="Arial"/>
          <w:lang w:val="hr-HR"/>
        </w:rPr>
        <w:t>http://strasbourgobservers.com/2013/10/25/qualification-of-news-portal-as-publisher-of-users-comment-may-have-far-reaching-consequences-for-online-freedom-of-expression-delfi-as-v-estonia/, pristupljeno 10. travnja 2014.</w:t>
      </w:r>
    </w:p>
    <w:p w:rsidR="00E439C3" w:rsidRPr="00E439C3" w:rsidRDefault="00E439C3" w:rsidP="00100E21">
      <w:pPr>
        <w:pStyle w:val="ListParagraph"/>
        <w:numPr>
          <w:ilvl w:val="0"/>
          <w:numId w:val="31"/>
        </w:numPr>
        <w:spacing w:line="360" w:lineRule="auto"/>
        <w:ind w:left="567" w:hanging="425"/>
        <w:jc w:val="both"/>
        <w:rPr>
          <w:rFonts w:cs="Arial"/>
          <w:szCs w:val="22"/>
          <w:lang w:val="hr-HR"/>
        </w:rPr>
      </w:pPr>
      <w:r w:rsidRPr="00E439C3">
        <w:rPr>
          <w:rFonts w:cs="Arial"/>
          <w:lang w:val="hr-HR"/>
        </w:rPr>
        <w:t xml:space="preserve">Civil Society Calls on the ECHR's Grand Chamber to Overturn Delfi v. Estonia Ruling, </w:t>
      </w:r>
      <w:hyperlink r:id="rId54" w:history="1">
        <w:r w:rsidRPr="00E439C3">
          <w:rPr>
            <w:rFonts w:cs="Arial"/>
            <w:lang w:val="hr-HR"/>
          </w:rPr>
          <w:t>http://www.laquadrature.net/en/civil-society-calls-on-the-echrs-grand-chamber-to-overturn-delfi-v-estonia-ruling</w:t>
        </w:r>
      </w:hyperlink>
      <w:r>
        <w:t xml:space="preserve"> , pristupljeno 10. </w:t>
      </w:r>
      <w:proofErr w:type="gramStart"/>
      <w:r>
        <w:t>travnja</w:t>
      </w:r>
      <w:proofErr w:type="gramEnd"/>
      <w:r>
        <w:t xml:space="preserve"> 2014.</w:t>
      </w:r>
      <w:r w:rsidRPr="00E439C3">
        <w:rPr>
          <w:rFonts w:cs="Arial"/>
          <w:lang w:val="hr-HR"/>
        </w:rPr>
        <w:t xml:space="preserve"> </w:t>
      </w:r>
    </w:p>
    <w:p w:rsidR="00E439C3" w:rsidRPr="00E439C3" w:rsidRDefault="00E439C3" w:rsidP="00100E21">
      <w:pPr>
        <w:pStyle w:val="ListParagraph"/>
        <w:numPr>
          <w:ilvl w:val="0"/>
          <w:numId w:val="31"/>
        </w:numPr>
        <w:spacing w:line="360" w:lineRule="auto"/>
        <w:ind w:left="567" w:hanging="425"/>
        <w:jc w:val="both"/>
        <w:rPr>
          <w:rFonts w:cs="Arial"/>
          <w:szCs w:val="22"/>
          <w:lang w:val="hr-HR"/>
        </w:rPr>
      </w:pPr>
      <w:r w:rsidRPr="00E439C3">
        <w:rPr>
          <w:rFonts w:cs="Arial"/>
          <w:lang w:val="hr-HR"/>
        </w:rPr>
        <w:t>Human Rights Centre Supports Request for Referral to the Grand Chamber in Delfi AS v. Estonia, http://strasbourgobservers.com/2014/01/17/human-rights-centre-supports-request-for-referral-to-the-grand-chamber-in-delfi-as-v-estonia/, pristupljeno 10. travnja 2014.</w:t>
      </w:r>
    </w:p>
    <w:p w:rsidR="00E439C3" w:rsidRPr="00AA189A" w:rsidRDefault="00AA189A" w:rsidP="00100E21">
      <w:pPr>
        <w:pStyle w:val="ListParagraph"/>
        <w:numPr>
          <w:ilvl w:val="0"/>
          <w:numId w:val="31"/>
        </w:numPr>
        <w:spacing w:line="360" w:lineRule="auto"/>
        <w:ind w:left="567" w:hanging="425"/>
        <w:jc w:val="both"/>
        <w:rPr>
          <w:rFonts w:cs="Arial"/>
          <w:szCs w:val="22"/>
          <w:lang w:val="hr-HR"/>
        </w:rPr>
      </w:pPr>
      <w:r>
        <w:rPr>
          <w:rFonts w:cs="Arial"/>
        </w:rPr>
        <w:t>United Kingdom ruling on Google’s liability is bad news for free speech online</w:t>
      </w:r>
      <w:r>
        <w:t xml:space="preserve">, </w:t>
      </w:r>
      <w:hyperlink r:id="rId55" w:history="1">
        <w:r w:rsidRPr="008D5A70">
          <w:rPr>
            <w:rFonts w:cs="Arial"/>
          </w:rPr>
          <w:t>http://www.article19.org/resources.php/resource/3611/en/united-kingdom:-ruling-on-google%E2%80%99s-liability-is-bad-news-for-free-speech-online</w:t>
        </w:r>
      </w:hyperlink>
      <w:r>
        <w:t>,</w:t>
      </w:r>
      <w:r>
        <w:rPr>
          <w:rFonts w:cs="Arial"/>
        </w:rPr>
        <w:t xml:space="preserve"> </w:t>
      </w:r>
      <w:proofErr w:type="gramStart"/>
      <w:r>
        <w:rPr>
          <w:rFonts w:cs="Arial"/>
        </w:rPr>
        <w:t>pristupljeno</w:t>
      </w:r>
      <w:proofErr w:type="gramEnd"/>
      <w:r>
        <w:rPr>
          <w:rFonts w:cs="Arial"/>
        </w:rPr>
        <w:t xml:space="preserve"> 10. </w:t>
      </w:r>
      <w:proofErr w:type="gramStart"/>
      <w:r>
        <w:rPr>
          <w:rFonts w:cs="Arial"/>
        </w:rPr>
        <w:t>travnja</w:t>
      </w:r>
      <w:proofErr w:type="gramEnd"/>
      <w:r>
        <w:rPr>
          <w:rFonts w:cs="Arial"/>
        </w:rPr>
        <w:t xml:space="preserve"> 2014.</w:t>
      </w:r>
    </w:p>
    <w:p w:rsidR="00AA189A" w:rsidRPr="00AA189A" w:rsidRDefault="00AA189A" w:rsidP="00100E21">
      <w:pPr>
        <w:pStyle w:val="ListParagraph"/>
        <w:numPr>
          <w:ilvl w:val="0"/>
          <w:numId w:val="31"/>
        </w:numPr>
        <w:spacing w:line="360" w:lineRule="auto"/>
        <w:ind w:left="567" w:hanging="425"/>
        <w:jc w:val="both"/>
        <w:rPr>
          <w:rFonts w:cs="Arial"/>
          <w:szCs w:val="22"/>
          <w:lang w:val="hr-HR"/>
        </w:rPr>
      </w:pPr>
      <w:r>
        <w:rPr>
          <w:rFonts w:cs="Arial"/>
          <w:lang w:val="hr-HR"/>
        </w:rPr>
        <w:t>Prvi bloger u hrvatskom zatvoru</w:t>
      </w:r>
      <w:r>
        <w:t xml:space="preserve"> , </w:t>
      </w:r>
      <w:hyperlink r:id="rId56" w:history="1">
        <w:r w:rsidRPr="00870891">
          <w:rPr>
            <w:rFonts w:cs="Arial"/>
            <w:lang w:val="hr-HR"/>
          </w:rPr>
          <w:t>http://www.nacional.hr/clanak/65058/prvi-bloger-u-hrvatskom-zatvoru</w:t>
        </w:r>
      </w:hyperlink>
      <w:r w:rsidRPr="00870891">
        <w:rPr>
          <w:rFonts w:cs="Arial"/>
          <w:lang w:val="hr-HR"/>
        </w:rPr>
        <w:t>, pristupljeno 10. travnja 2014.</w:t>
      </w:r>
    </w:p>
    <w:p w:rsidR="00AA189A" w:rsidRPr="00AA189A" w:rsidRDefault="00AA189A" w:rsidP="00100E21">
      <w:pPr>
        <w:pStyle w:val="ListParagraph"/>
        <w:numPr>
          <w:ilvl w:val="0"/>
          <w:numId w:val="31"/>
        </w:numPr>
        <w:spacing w:line="360" w:lineRule="auto"/>
        <w:ind w:left="567" w:hanging="425"/>
        <w:jc w:val="both"/>
        <w:rPr>
          <w:rFonts w:cs="Arial"/>
          <w:szCs w:val="22"/>
          <w:lang w:val="hr-HR"/>
        </w:rPr>
      </w:pPr>
      <w:r>
        <w:rPr>
          <w:rFonts w:cs="Arial"/>
          <w:lang w:val="hr-HR"/>
        </w:rPr>
        <w:t>Vrhovni Sud srušio treću presudu</w:t>
      </w:r>
      <w:r>
        <w:t xml:space="preserve">, </w:t>
      </w:r>
      <w:hyperlink r:id="rId57" w:history="1">
        <w:r w:rsidRPr="00296AAF">
          <w:rPr>
            <w:rFonts w:cs="Arial"/>
          </w:rPr>
          <w:t>http</w:t>
        </w:r>
        <w:r w:rsidRPr="007C4CE4">
          <w:rPr>
            <w:rFonts w:cs="Arial"/>
            <w:lang w:val="hr-HR"/>
          </w:rPr>
          <w:t>://</w:t>
        </w:r>
        <w:r w:rsidRPr="00296AAF">
          <w:rPr>
            <w:rFonts w:cs="Arial"/>
          </w:rPr>
          <w:t>pollitika</w:t>
        </w:r>
        <w:r w:rsidRPr="007C4CE4">
          <w:rPr>
            <w:rFonts w:cs="Arial"/>
            <w:lang w:val="hr-HR"/>
          </w:rPr>
          <w:t>.</w:t>
        </w:r>
        <w:r w:rsidRPr="00296AAF">
          <w:rPr>
            <w:rFonts w:cs="Arial"/>
          </w:rPr>
          <w:t>com</w:t>
        </w:r>
        <w:r w:rsidRPr="007C4CE4">
          <w:rPr>
            <w:rFonts w:cs="Arial"/>
            <w:lang w:val="hr-HR"/>
          </w:rPr>
          <w:t>/</w:t>
        </w:r>
        <w:r w:rsidRPr="00296AAF">
          <w:rPr>
            <w:rFonts w:cs="Arial"/>
          </w:rPr>
          <w:t>vrhovni</w:t>
        </w:r>
        <w:r w:rsidRPr="007C4CE4">
          <w:rPr>
            <w:rFonts w:cs="Arial"/>
            <w:lang w:val="hr-HR"/>
          </w:rPr>
          <w:t>-</w:t>
        </w:r>
        <w:r w:rsidRPr="00296AAF">
          <w:rPr>
            <w:rFonts w:cs="Arial"/>
          </w:rPr>
          <w:t>sud</w:t>
        </w:r>
        <w:r w:rsidRPr="007C4CE4">
          <w:rPr>
            <w:rFonts w:cs="Arial"/>
            <w:lang w:val="hr-HR"/>
          </w:rPr>
          <w:t>-</w:t>
        </w:r>
        <w:r w:rsidRPr="00296AAF">
          <w:rPr>
            <w:rFonts w:cs="Arial"/>
          </w:rPr>
          <w:t>srusio</w:t>
        </w:r>
        <w:r w:rsidRPr="007C4CE4">
          <w:rPr>
            <w:rFonts w:cs="Arial"/>
            <w:lang w:val="hr-HR"/>
          </w:rPr>
          <w:t>-</w:t>
        </w:r>
        <w:r w:rsidRPr="00296AAF">
          <w:rPr>
            <w:rFonts w:cs="Arial"/>
          </w:rPr>
          <w:t>trecu</w:t>
        </w:r>
        <w:r w:rsidRPr="007C4CE4">
          <w:rPr>
            <w:rFonts w:cs="Arial"/>
            <w:lang w:val="hr-HR"/>
          </w:rPr>
          <w:t>-</w:t>
        </w:r>
        <w:r w:rsidRPr="00296AAF">
          <w:rPr>
            <w:rFonts w:cs="Arial"/>
          </w:rPr>
          <w:t>presudu</w:t>
        </w:r>
      </w:hyperlink>
      <w:r w:rsidRPr="007C4CE4">
        <w:rPr>
          <w:rFonts w:cs="Arial"/>
          <w:lang w:val="hr-HR"/>
        </w:rPr>
        <w:t xml:space="preserve"> </w:t>
      </w:r>
      <w:r w:rsidRPr="00296AAF">
        <w:rPr>
          <w:rFonts w:cs="Arial"/>
        </w:rPr>
        <w:t>putem</w:t>
      </w:r>
      <w:r w:rsidRPr="007C4CE4">
        <w:rPr>
          <w:rFonts w:cs="Arial"/>
          <w:lang w:val="hr-HR"/>
        </w:rPr>
        <w:t xml:space="preserve"> </w:t>
      </w:r>
      <w:r w:rsidRPr="00296AAF">
        <w:rPr>
          <w:rFonts w:cs="Arial"/>
        </w:rPr>
        <w:t>kojeg</w:t>
      </w:r>
      <w:r w:rsidRPr="007C4CE4">
        <w:rPr>
          <w:rFonts w:cs="Arial"/>
          <w:lang w:val="hr-HR"/>
        </w:rPr>
        <w:t xml:space="preserve"> </w:t>
      </w:r>
      <w:r w:rsidRPr="00296AAF">
        <w:rPr>
          <w:rFonts w:cs="Arial"/>
        </w:rPr>
        <w:t>je</w:t>
      </w:r>
      <w:r w:rsidRPr="007C4CE4">
        <w:rPr>
          <w:rFonts w:cs="Arial"/>
          <w:lang w:val="hr-HR"/>
        </w:rPr>
        <w:t xml:space="preserve"> </w:t>
      </w:r>
      <w:r>
        <w:rPr>
          <w:rFonts w:cs="Arial"/>
        </w:rPr>
        <w:t xml:space="preserve">okrivljenik </w:t>
      </w:r>
      <w:r w:rsidRPr="00296AAF">
        <w:rPr>
          <w:rFonts w:cs="Arial"/>
        </w:rPr>
        <w:t>pozivao</w:t>
      </w:r>
      <w:r w:rsidRPr="007C4CE4">
        <w:rPr>
          <w:rFonts w:cs="Arial"/>
          <w:lang w:val="hr-HR"/>
        </w:rPr>
        <w:t xml:space="preserve"> </w:t>
      </w:r>
      <w:r w:rsidRPr="00296AAF">
        <w:rPr>
          <w:rFonts w:cs="Arial"/>
        </w:rPr>
        <w:t>na</w:t>
      </w:r>
      <w:r w:rsidRPr="007C4CE4">
        <w:rPr>
          <w:rFonts w:cs="Arial"/>
          <w:lang w:val="hr-HR"/>
        </w:rPr>
        <w:t xml:space="preserve"> </w:t>
      </w:r>
      <w:r w:rsidRPr="00296AAF">
        <w:rPr>
          <w:rFonts w:cs="Arial"/>
        </w:rPr>
        <w:t>raspravu</w:t>
      </w:r>
      <w:r w:rsidRPr="007C4CE4">
        <w:rPr>
          <w:rFonts w:cs="Arial"/>
          <w:lang w:val="hr-HR"/>
        </w:rPr>
        <w:t xml:space="preserve"> </w:t>
      </w:r>
      <w:r w:rsidRPr="00296AAF">
        <w:rPr>
          <w:rFonts w:cs="Arial"/>
        </w:rPr>
        <w:t>o</w:t>
      </w:r>
      <w:r w:rsidRPr="007C4CE4">
        <w:rPr>
          <w:rFonts w:cs="Arial"/>
          <w:lang w:val="hr-HR"/>
        </w:rPr>
        <w:t xml:space="preserve"> </w:t>
      </w:r>
      <w:r w:rsidRPr="00296AAF">
        <w:rPr>
          <w:rFonts w:cs="Arial"/>
        </w:rPr>
        <w:t>njegovim</w:t>
      </w:r>
      <w:r w:rsidRPr="007C4CE4">
        <w:rPr>
          <w:rFonts w:cs="Arial"/>
          <w:lang w:val="hr-HR"/>
        </w:rPr>
        <w:t xml:space="preserve"> </w:t>
      </w:r>
      <w:r w:rsidRPr="00296AAF">
        <w:rPr>
          <w:rFonts w:cs="Arial"/>
        </w:rPr>
        <w:t>slu</w:t>
      </w:r>
      <w:r w:rsidRPr="007C4CE4">
        <w:rPr>
          <w:rFonts w:cs="Arial"/>
          <w:lang w:val="hr-HR"/>
        </w:rPr>
        <w:t>č</w:t>
      </w:r>
      <w:r w:rsidRPr="00296AAF">
        <w:rPr>
          <w:rFonts w:cs="Arial"/>
        </w:rPr>
        <w:t>ajevima</w:t>
      </w:r>
      <w:r w:rsidRPr="007C4CE4">
        <w:rPr>
          <w:rFonts w:cs="Arial"/>
          <w:lang w:val="hr-HR"/>
        </w:rPr>
        <w:t xml:space="preserve"> </w:t>
      </w:r>
      <w:r w:rsidRPr="00296AAF">
        <w:rPr>
          <w:rFonts w:cs="Arial"/>
        </w:rPr>
        <w:t>te</w:t>
      </w:r>
      <w:r w:rsidRPr="007C4CE4">
        <w:rPr>
          <w:rFonts w:cs="Arial"/>
          <w:lang w:val="hr-HR"/>
        </w:rPr>
        <w:t xml:space="preserve"> </w:t>
      </w:r>
      <w:r w:rsidRPr="00296AAF">
        <w:rPr>
          <w:rFonts w:cs="Arial"/>
        </w:rPr>
        <w:t>i</w:t>
      </w:r>
      <w:r w:rsidRPr="007C4CE4">
        <w:rPr>
          <w:rFonts w:cs="Arial"/>
          <w:lang w:val="hr-HR"/>
        </w:rPr>
        <w:t xml:space="preserve"> </w:t>
      </w:r>
      <w:r w:rsidRPr="00296AAF">
        <w:rPr>
          <w:rFonts w:cs="Arial"/>
        </w:rPr>
        <w:t>objavljivao</w:t>
      </w:r>
      <w:r w:rsidRPr="007C4CE4">
        <w:rPr>
          <w:rFonts w:cs="Arial"/>
          <w:lang w:val="hr-HR"/>
        </w:rPr>
        <w:t xml:space="preserve"> </w:t>
      </w:r>
      <w:r w:rsidRPr="00296AAF">
        <w:rPr>
          <w:rFonts w:cs="Arial"/>
        </w:rPr>
        <w:t>pojedine</w:t>
      </w:r>
      <w:r w:rsidRPr="007C4CE4">
        <w:rPr>
          <w:rFonts w:cs="Arial"/>
          <w:lang w:val="hr-HR"/>
        </w:rPr>
        <w:t xml:space="preserve"> </w:t>
      </w:r>
      <w:r w:rsidRPr="00296AAF">
        <w:rPr>
          <w:rFonts w:cs="Arial"/>
        </w:rPr>
        <w:t>dokumente</w:t>
      </w:r>
      <w:r w:rsidRPr="007C4CE4">
        <w:rPr>
          <w:rFonts w:cs="Arial"/>
          <w:lang w:val="hr-HR"/>
        </w:rPr>
        <w:t xml:space="preserve"> </w:t>
      </w:r>
      <w:r w:rsidRPr="00296AAF">
        <w:rPr>
          <w:rFonts w:cs="Arial"/>
        </w:rPr>
        <w:t>u</w:t>
      </w:r>
      <w:r w:rsidRPr="007C4CE4">
        <w:rPr>
          <w:rFonts w:cs="Arial"/>
          <w:lang w:val="hr-HR"/>
        </w:rPr>
        <w:t xml:space="preserve"> </w:t>
      </w:r>
      <w:r w:rsidRPr="00296AAF">
        <w:rPr>
          <w:rFonts w:cs="Arial"/>
        </w:rPr>
        <w:t>tijeku</w:t>
      </w:r>
      <w:r w:rsidRPr="007C4CE4">
        <w:rPr>
          <w:rFonts w:cs="Arial"/>
          <w:lang w:val="hr-HR"/>
        </w:rPr>
        <w:t xml:space="preserve"> </w:t>
      </w:r>
      <w:r w:rsidRPr="00296AAF">
        <w:rPr>
          <w:rFonts w:cs="Arial"/>
        </w:rPr>
        <w:t>postupaka</w:t>
      </w:r>
      <w:r w:rsidRPr="007C4CE4">
        <w:rPr>
          <w:rFonts w:cs="Arial"/>
          <w:lang w:val="hr-HR"/>
        </w:rPr>
        <w:t xml:space="preserve">, </w:t>
      </w:r>
      <w:r>
        <w:rPr>
          <w:rFonts w:cs="Arial"/>
        </w:rPr>
        <w:t>pristupljeno</w:t>
      </w:r>
      <w:r w:rsidRPr="007C4CE4">
        <w:rPr>
          <w:rFonts w:cs="Arial"/>
          <w:lang w:val="hr-HR"/>
        </w:rPr>
        <w:t xml:space="preserve"> 10. </w:t>
      </w:r>
      <w:proofErr w:type="gramStart"/>
      <w:r>
        <w:rPr>
          <w:rFonts w:cs="Arial"/>
        </w:rPr>
        <w:t>travnja</w:t>
      </w:r>
      <w:proofErr w:type="gramEnd"/>
      <w:r w:rsidRPr="007C4CE4">
        <w:rPr>
          <w:rFonts w:cs="Arial"/>
          <w:lang w:val="hr-HR"/>
        </w:rPr>
        <w:t xml:space="preserve"> 2014.</w:t>
      </w:r>
    </w:p>
    <w:p w:rsidR="00AA189A" w:rsidRPr="00AA189A" w:rsidRDefault="00AA189A" w:rsidP="00100E21">
      <w:pPr>
        <w:pStyle w:val="ListParagraph"/>
        <w:numPr>
          <w:ilvl w:val="0"/>
          <w:numId w:val="31"/>
        </w:numPr>
        <w:spacing w:line="360" w:lineRule="auto"/>
        <w:ind w:left="567" w:hanging="425"/>
        <w:jc w:val="both"/>
        <w:rPr>
          <w:rFonts w:cs="Arial"/>
          <w:szCs w:val="22"/>
          <w:lang w:val="hr-HR"/>
        </w:rPr>
      </w:pPr>
      <w:r w:rsidRPr="00AA189A">
        <w:rPr>
          <w:lang w:val="hr-HR"/>
        </w:rPr>
        <w:t>http://www.index.hr/index/default.aspx?id=3</w:t>
      </w:r>
      <w:r>
        <w:rPr>
          <w:lang w:val="hr-HR"/>
        </w:rPr>
        <w:t xml:space="preserve"> ,</w:t>
      </w:r>
      <w:r w:rsidRPr="00AA189A">
        <w:rPr>
          <w:lang w:val="hr-HR"/>
        </w:rPr>
        <w:t xml:space="preserve"> </w:t>
      </w:r>
      <w:r>
        <w:rPr>
          <w:lang w:val="hr-HR"/>
        </w:rPr>
        <w:t xml:space="preserve">pristupljeno </w:t>
      </w:r>
      <w:r w:rsidRPr="00F374FF">
        <w:rPr>
          <w:lang w:val="hr-HR"/>
        </w:rPr>
        <w:t>1. travnja 2014.</w:t>
      </w:r>
    </w:p>
    <w:p w:rsidR="00AA189A" w:rsidRPr="00AA189A" w:rsidRDefault="00100E21" w:rsidP="00100E21">
      <w:pPr>
        <w:pStyle w:val="ListParagraph"/>
        <w:numPr>
          <w:ilvl w:val="0"/>
          <w:numId w:val="31"/>
        </w:numPr>
        <w:spacing w:line="360" w:lineRule="auto"/>
        <w:ind w:left="567" w:hanging="425"/>
        <w:jc w:val="both"/>
        <w:rPr>
          <w:rFonts w:cs="Arial"/>
          <w:szCs w:val="22"/>
          <w:lang w:val="hr-HR"/>
        </w:rPr>
      </w:pPr>
      <w:r>
        <w:rPr>
          <w:lang w:val="hr-HR"/>
        </w:rPr>
        <w:t xml:space="preserve">Uvjeti korištenja portala 24sata, </w:t>
      </w:r>
      <w:r w:rsidR="00AA189A" w:rsidRPr="00AA189A">
        <w:rPr>
          <w:lang w:val="hr-HR"/>
        </w:rPr>
        <w:t xml:space="preserve">http://www.24sata.hr/uvjeti-koristenja/ </w:t>
      </w:r>
      <w:r w:rsidR="00AA189A">
        <w:rPr>
          <w:lang w:val="hr-HR"/>
        </w:rPr>
        <w:t xml:space="preserve">, pristupljeno </w:t>
      </w:r>
      <w:r w:rsidR="00AA189A" w:rsidRPr="00F374FF">
        <w:rPr>
          <w:lang w:val="hr-HR"/>
        </w:rPr>
        <w:t>1. travnja 2014.</w:t>
      </w:r>
    </w:p>
    <w:p w:rsidR="00AA189A" w:rsidRPr="00AA189A" w:rsidRDefault="00100E21" w:rsidP="00100E21">
      <w:pPr>
        <w:pStyle w:val="ListParagraph"/>
        <w:numPr>
          <w:ilvl w:val="0"/>
          <w:numId w:val="31"/>
        </w:numPr>
        <w:spacing w:line="360" w:lineRule="auto"/>
        <w:ind w:left="567" w:hanging="425"/>
        <w:jc w:val="both"/>
        <w:rPr>
          <w:rFonts w:cs="Arial"/>
          <w:szCs w:val="22"/>
          <w:lang w:val="hr-HR"/>
        </w:rPr>
      </w:pPr>
      <w:r>
        <w:rPr>
          <w:lang w:val="hr-HR"/>
        </w:rPr>
        <w:t xml:space="preserve">Uvjeti korištenja portala Večernji.hr, </w:t>
      </w:r>
      <w:r w:rsidR="00AA189A" w:rsidRPr="00AA189A">
        <w:rPr>
          <w:lang w:val="hr-HR"/>
        </w:rPr>
        <w:t>http://www.vecernji.hr/uvjeti_koristenja/</w:t>
      </w:r>
      <w:r w:rsidR="00AA189A">
        <w:rPr>
          <w:lang w:val="hr-HR"/>
        </w:rPr>
        <w:t xml:space="preserve"> , pristupljeno </w:t>
      </w:r>
      <w:r w:rsidR="00AA189A" w:rsidRPr="00F374FF">
        <w:rPr>
          <w:lang w:val="hr-HR"/>
        </w:rPr>
        <w:t>1. travnja 2014.</w:t>
      </w:r>
    </w:p>
    <w:p w:rsidR="00AA189A" w:rsidRPr="00AA189A" w:rsidRDefault="00100E21" w:rsidP="00100E21">
      <w:pPr>
        <w:pStyle w:val="ListParagraph"/>
        <w:numPr>
          <w:ilvl w:val="0"/>
          <w:numId w:val="31"/>
        </w:numPr>
        <w:spacing w:line="360" w:lineRule="auto"/>
        <w:ind w:left="567" w:hanging="425"/>
        <w:jc w:val="both"/>
        <w:rPr>
          <w:rFonts w:cs="Arial"/>
          <w:szCs w:val="22"/>
          <w:lang w:val="hr-HR"/>
        </w:rPr>
      </w:pPr>
      <w:r>
        <w:rPr>
          <w:lang w:val="hr-HR"/>
        </w:rPr>
        <w:t xml:space="preserve">Uvjeti korištenja portala Dnevno.hr, </w:t>
      </w:r>
      <w:r w:rsidR="00AA189A" w:rsidRPr="00AA189A">
        <w:rPr>
          <w:lang w:val="hr-HR"/>
        </w:rPr>
        <w:t>http://www.dnevno.hr/dnevno/5137-uvjeti-koristenja.html</w:t>
      </w:r>
      <w:r w:rsidR="00AA189A">
        <w:rPr>
          <w:lang w:val="hr-HR"/>
        </w:rPr>
        <w:t xml:space="preserve">, pristupljeno </w:t>
      </w:r>
      <w:r w:rsidR="00AA189A" w:rsidRPr="00F374FF">
        <w:rPr>
          <w:lang w:val="hr-HR"/>
        </w:rPr>
        <w:t>1. travnja 2014.</w:t>
      </w:r>
    </w:p>
    <w:p w:rsidR="00AA189A" w:rsidRPr="00AA189A" w:rsidRDefault="00AA189A" w:rsidP="00100E21">
      <w:pPr>
        <w:pStyle w:val="ListParagraph"/>
        <w:numPr>
          <w:ilvl w:val="0"/>
          <w:numId w:val="31"/>
        </w:numPr>
        <w:spacing w:line="360" w:lineRule="auto"/>
        <w:ind w:left="567" w:hanging="425"/>
        <w:jc w:val="both"/>
        <w:rPr>
          <w:rFonts w:cs="Arial"/>
          <w:szCs w:val="22"/>
          <w:lang w:val="hr-HR"/>
        </w:rPr>
      </w:pPr>
      <w:r w:rsidRPr="00AA189A">
        <w:rPr>
          <w:lang w:val="hr-HR"/>
        </w:rPr>
        <w:t>Dosta je gadosti, ukinuli smo komentiranje tekstova,</w:t>
      </w:r>
      <w:r w:rsidRPr="00AA189A">
        <w:rPr>
          <w:rFonts w:cs="Arial"/>
          <w:lang w:val="hr-HR"/>
        </w:rPr>
        <w:t xml:space="preserve"> http://danas.net.hr/hrvatska/dosta-je-gadosti-ukinuli-smo-komentiranje-tekstova,</w:t>
      </w:r>
      <w:r w:rsidRPr="00AA189A">
        <w:rPr>
          <w:rFonts w:cs="Arial"/>
        </w:rPr>
        <w:t xml:space="preserve"> </w:t>
      </w:r>
      <w:r w:rsidRPr="00AA189A">
        <w:rPr>
          <w:lang w:val="hr-HR"/>
        </w:rPr>
        <w:t>pristupljeno 1. travnja 2014.</w:t>
      </w:r>
    </w:p>
    <w:p w:rsidR="00AA189A" w:rsidRPr="00AA189A" w:rsidRDefault="00AA189A" w:rsidP="00100E21">
      <w:pPr>
        <w:pStyle w:val="ListParagraph"/>
        <w:numPr>
          <w:ilvl w:val="0"/>
          <w:numId w:val="31"/>
        </w:numPr>
        <w:spacing w:line="360" w:lineRule="auto"/>
        <w:ind w:left="567" w:hanging="425"/>
        <w:jc w:val="both"/>
        <w:rPr>
          <w:rFonts w:cs="Arial"/>
          <w:szCs w:val="22"/>
          <w:lang w:val="hr-HR"/>
        </w:rPr>
      </w:pPr>
      <w:r w:rsidRPr="00AA189A">
        <w:rPr>
          <w:lang w:val="hr-HR"/>
        </w:rPr>
        <w:lastRenderedPageBreak/>
        <w:t xml:space="preserve">Portali muku muče s uvredama i govorom mržnje u komentarima http://www.jutarnji.hr/portali-muku-muce-s-uvredama-i-mrznjom-u-komentarima/1138810/, pristupljeno 1. travnja 2014. </w:t>
      </w:r>
    </w:p>
    <w:p w:rsidR="00AA189A" w:rsidRPr="00D32EC1" w:rsidRDefault="00100E21" w:rsidP="00100E21">
      <w:pPr>
        <w:pStyle w:val="ListParagraph"/>
        <w:numPr>
          <w:ilvl w:val="0"/>
          <w:numId w:val="31"/>
        </w:numPr>
        <w:spacing w:line="360" w:lineRule="auto"/>
        <w:ind w:left="567" w:hanging="425"/>
        <w:jc w:val="both"/>
        <w:rPr>
          <w:rFonts w:cs="Arial"/>
          <w:szCs w:val="22"/>
          <w:lang w:val="hr-HR"/>
        </w:rPr>
      </w:pPr>
      <w:r>
        <w:rPr>
          <w:rFonts w:cs="Arial"/>
          <w:lang w:val="fr-FR"/>
        </w:rPr>
        <w:t>Registracijski obrazac portala Njuškalo, </w:t>
      </w:r>
      <w:r w:rsidR="00AA189A" w:rsidRPr="006818D3">
        <w:rPr>
          <w:rFonts w:cs="Arial"/>
          <w:lang w:val="fr-FR"/>
        </w:rPr>
        <w:t>https://www.njuskalo.hr/registracija/</w:t>
      </w:r>
      <w:r w:rsidR="00AA189A">
        <w:rPr>
          <w:rFonts w:cs="Arial"/>
          <w:lang w:val="fr-FR"/>
        </w:rPr>
        <w:t>, pristupljeno 24. travnja 2014.</w:t>
      </w:r>
    </w:p>
    <w:p w:rsidR="00A12BBB" w:rsidRDefault="00A12BBB" w:rsidP="00EC0D89">
      <w:pPr>
        <w:spacing w:line="360" w:lineRule="auto"/>
        <w:jc w:val="both"/>
        <w:rPr>
          <w:rFonts w:cs="Arial"/>
          <w:sz w:val="20"/>
          <w:szCs w:val="20"/>
          <w:lang w:val="hr-HR"/>
        </w:rPr>
      </w:pPr>
    </w:p>
    <w:p w:rsidR="008F0D23" w:rsidRPr="00B830BB" w:rsidRDefault="008F0D23" w:rsidP="00EC0D89">
      <w:pPr>
        <w:spacing w:line="360" w:lineRule="auto"/>
        <w:jc w:val="both"/>
        <w:rPr>
          <w:rFonts w:cs="Arial"/>
          <w:sz w:val="20"/>
          <w:szCs w:val="20"/>
          <w:lang w:val="hr-HR"/>
        </w:rPr>
      </w:pPr>
    </w:p>
    <w:p w:rsidR="00E30A47" w:rsidRPr="00EC0E63" w:rsidRDefault="00E30A47" w:rsidP="00EC0E63">
      <w:pPr>
        <w:pStyle w:val="ListParagraph"/>
        <w:numPr>
          <w:ilvl w:val="0"/>
          <w:numId w:val="18"/>
        </w:numPr>
        <w:spacing w:line="360" w:lineRule="auto"/>
        <w:jc w:val="both"/>
        <w:rPr>
          <w:rFonts w:cs="Arial"/>
          <w:b/>
          <w:szCs w:val="22"/>
          <w:lang w:val="hr-HR"/>
        </w:rPr>
      </w:pPr>
      <w:r w:rsidRPr="00EC0E63">
        <w:rPr>
          <w:rFonts w:cs="Arial"/>
          <w:b/>
          <w:szCs w:val="22"/>
          <w:lang w:val="hr-HR"/>
        </w:rPr>
        <w:t>Sudska praksa</w:t>
      </w:r>
    </w:p>
    <w:p w:rsidR="00E30A47" w:rsidRPr="00B8144F" w:rsidRDefault="00E30A47" w:rsidP="00B8144F">
      <w:pPr>
        <w:pStyle w:val="ListParagraph"/>
        <w:numPr>
          <w:ilvl w:val="1"/>
          <w:numId w:val="18"/>
        </w:numPr>
        <w:spacing w:line="360" w:lineRule="auto"/>
        <w:jc w:val="both"/>
        <w:rPr>
          <w:rFonts w:cs="Arial"/>
          <w:b/>
          <w:szCs w:val="22"/>
          <w:lang w:val="hr-HR"/>
        </w:rPr>
      </w:pPr>
      <w:r w:rsidRPr="00B8144F">
        <w:rPr>
          <w:rFonts w:cs="Arial"/>
          <w:b/>
          <w:szCs w:val="22"/>
          <w:lang w:val="hr-HR"/>
        </w:rPr>
        <w:t xml:space="preserve">Europski sud za ljudska prava </w:t>
      </w:r>
    </w:p>
    <w:p w:rsidR="00E30A47" w:rsidRPr="006A3195" w:rsidRDefault="00E30A47" w:rsidP="00100E21">
      <w:pPr>
        <w:pStyle w:val="ListParagraph"/>
        <w:numPr>
          <w:ilvl w:val="0"/>
          <w:numId w:val="32"/>
        </w:numPr>
        <w:spacing w:line="360" w:lineRule="auto"/>
        <w:ind w:left="567" w:hanging="425"/>
        <w:jc w:val="both"/>
        <w:rPr>
          <w:rFonts w:cs="Arial"/>
          <w:szCs w:val="22"/>
          <w:lang w:val="hr-HR"/>
        </w:rPr>
      </w:pPr>
      <w:r w:rsidRPr="006A3195">
        <w:rPr>
          <w:rFonts w:cs="Arial"/>
          <w:szCs w:val="22"/>
          <w:lang w:val="hr-HR"/>
        </w:rPr>
        <w:t>Delfi AS protiv Estonije, zahtjev broj  64569/09</w:t>
      </w:r>
      <w:r w:rsidR="005C0167" w:rsidRPr="006A3195">
        <w:rPr>
          <w:rFonts w:cs="Arial"/>
          <w:szCs w:val="22"/>
          <w:lang w:val="hr-HR"/>
        </w:rPr>
        <w:t>, presuda od 10</w:t>
      </w:r>
      <w:r w:rsidR="00C13E13" w:rsidRPr="006A3195">
        <w:rPr>
          <w:rFonts w:cs="Arial"/>
          <w:szCs w:val="22"/>
          <w:lang w:val="hr-HR"/>
        </w:rPr>
        <w:t>.</w:t>
      </w:r>
      <w:r w:rsidR="005C0167" w:rsidRPr="006A3195">
        <w:rPr>
          <w:rFonts w:cs="Arial"/>
          <w:szCs w:val="22"/>
          <w:lang w:val="hr-HR"/>
        </w:rPr>
        <w:t xml:space="preserve"> listopada 2013.</w:t>
      </w:r>
      <w:r w:rsidRPr="006A3195">
        <w:rPr>
          <w:rFonts w:cs="Arial"/>
          <w:szCs w:val="22"/>
          <w:lang w:val="hr-HR"/>
        </w:rPr>
        <w:t> </w:t>
      </w:r>
    </w:p>
    <w:p w:rsidR="00E30A47" w:rsidRDefault="00E30A47" w:rsidP="00100E21">
      <w:pPr>
        <w:pStyle w:val="ListParagraph"/>
        <w:numPr>
          <w:ilvl w:val="0"/>
          <w:numId w:val="32"/>
        </w:numPr>
        <w:spacing w:line="360" w:lineRule="auto"/>
        <w:ind w:left="567" w:hanging="425"/>
        <w:jc w:val="both"/>
        <w:rPr>
          <w:rFonts w:cs="Arial"/>
          <w:szCs w:val="22"/>
          <w:lang w:val="hr-HR"/>
        </w:rPr>
      </w:pPr>
      <w:r w:rsidRPr="006A3195">
        <w:rPr>
          <w:rFonts w:cs="Arial"/>
          <w:szCs w:val="22"/>
          <w:lang w:val="hr-HR"/>
        </w:rPr>
        <w:t>Editorial board of Pravoye Delo i Shtekel protiv Ukrajine, zahtjev broj 33014/05</w:t>
      </w:r>
      <w:r w:rsidR="005C0167" w:rsidRPr="006A3195">
        <w:rPr>
          <w:rFonts w:cs="Arial"/>
          <w:szCs w:val="22"/>
          <w:lang w:val="hr-HR"/>
        </w:rPr>
        <w:t>, presuda od 5</w:t>
      </w:r>
      <w:r w:rsidR="00C13E13" w:rsidRPr="006A3195">
        <w:rPr>
          <w:rFonts w:cs="Arial"/>
          <w:szCs w:val="22"/>
          <w:lang w:val="hr-HR"/>
        </w:rPr>
        <w:t>.</w:t>
      </w:r>
      <w:r w:rsidR="005C0167" w:rsidRPr="006A3195">
        <w:rPr>
          <w:rFonts w:cs="Arial"/>
          <w:szCs w:val="22"/>
          <w:lang w:val="hr-HR"/>
        </w:rPr>
        <w:t xml:space="preserve"> svibnja 2011.</w:t>
      </w:r>
    </w:p>
    <w:p w:rsidR="00CD3A0A" w:rsidRPr="006A3195" w:rsidRDefault="00CD3A0A" w:rsidP="00100E21">
      <w:pPr>
        <w:pStyle w:val="ListParagraph"/>
        <w:numPr>
          <w:ilvl w:val="0"/>
          <w:numId w:val="32"/>
        </w:numPr>
        <w:spacing w:line="360" w:lineRule="auto"/>
        <w:ind w:left="567" w:hanging="425"/>
        <w:jc w:val="both"/>
        <w:rPr>
          <w:rFonts w:cs="Arial"/>
          <w:szCs w:val="22"/>
          <w:lang w:val="hr-HR"/>
        </w:rPr>
      </w:pPr>
      <w:r w:rsidRPr="00CD3A0A">
        <w:rPr>
          <w:rFonts w:cs="Arial"/>
          <w:szCs w:val="22"/>
          <w:lang w:val="hr-HR"/>
        </w:rPr>
        <w:t>Erbakan protiv Turske, zahtjev broj 59405/00, paragraf 56., presuda od 6. srpnja 2006.</w:t>
      </w:r>
    </w:p>
    <w:p w:rsidR="00E30A47" w:rsidRPr="006A3195" w:rsidRDefault="00E30A47" w:rsidP="00100E21">
      <w:pPr>
        <w:pStyle w:val="ListParagraph"/>
        <w:numPr>
          <w:ilvl w:val="0"/>
          <w:numId w:val="32"/>
        </w:numPr>
        <w:spacing w:line="360" w:lineRule="auto"/>
        <w:ind w:left="567" w:hanging="425"/>
        <w:jc w:val="both"/>
        <w:rPr>
          <w:rFonts w:cs="Arial"/>
          <w:szCs w:val="22"/>
          <w:lang w:val="hr-HR"/>
        </w:rPr>
      </w:pPr>
      <w:r w:rsidRPr="006A3195">
        <w:rPr>
          <w:rFonts w:cs="Arial"/>
          <w:szCs w:val="22"/>
          <w:lang w:val="hr-HR"/>
        </w:rPr>
        <w:t>Gawęda protiv Poljske, zahtjev broj  26229/95</w:t>
      </w:r>
      <w:r w:rsidR="00B83BCC" w:rsidRPr="006A3195">
        <w:rPr>
          <w:rFonts w:cs="Arial"/>
          <w:szCs w:val="22"/>
          <w:lang w:val="hr-HR"/>
        </w:rPr>
        <w:t>, presuda od 14</w:t>
      </w:r>
      <w:r w:rsidR="00C13E13" w:rsidRPr="006A3195">
        <w:rPr>
          <w:rFonts w:cs="Arial"/>
          <w:szCs w:val="22"/>
          <w:lang w:val="hr-HR"/>
        </w:rPr>
        <w:t>.</w:t>
      </w:r>
      <w:r w:rsidR="00B83BCC" w:rsidRPr="006A3195">
        <w:rPr>
          <w:rFonts w:cs="Arial"/>
          <w:szCs w:val="22"/>
          <w:lang w:val="hr-HR"/>
        </w:rPr>
        <w:t xml:space="preserve"> ožujka 2002.</w:t>
      </w:r>
    </w:p>
    <w:p w:rsidR="00E30A47" w:rsidRPr="006A3195" w:rsidRDefault="00E30A47" w:rsidP="00100E21">
      <w:pPr>
        <w:pStyle w:val="ListParagraph"/>
        <w:numPr>
          <w:ilvl w:val="0"/>
          <w:numId w:val="32"/>
        </w:numPr>
        <w:spacing w:line="360" w:lineRule="auto"/>
        <w:ind w:left="567" w:hanging="425"/>
        <w:jc w:val="both"/>
        <w:rPr>
          <w:rFonts w:cs="Arial"/>
          <w:szCs w:val="22"/>
          <w:lang w:val="hr-HR"/>
        </w:rPr>
      </w:pPr>
      <w:r w:rsidRPr="006A3195">
        <w:rPr>
          <w:rFonts w:cs="Arial"/>
          <w:szCs w:val="22"/>
          <w:lang w:val="hr-HR"/>
        </w:rPr>
        <w:t xml:space="preserve">Goodwin protiv Ujedinjenog </w:t>
      </w:r>
      <w:r w:rsidR="00C6784F" w:rsidRPr="006A3195">
        <w:rPr>
          <w:rFonts w:cs="Arial"/>
          <w:szCs w:val="22"/>
          <w:lang w:val="hr-HR"/>
        </w:rPr>
        <w:t>K</w:t>
      </w:r>
      <w:r w:rsidRPr="006A3195">
        <w:rPr>
          <w:rFonts w:cs="Arial"/>
          <w:szCs w:val="22"/>
          <w:lang w:val="hr-HR"/>
        </w:rPr>
        <w:t>raljevstva, zahtjev broj 17488/90</w:t>
      </w:r>
      <w:r w:rsidR="00C6784F" w:rsidRPr="006A3195">
        <w:rPr>
          <w:rFonts w:cs="Arial"/>
          <w:szCs w:val="22"/>
          <w:lang w:val="hr-HR"/>
        </w:rPr>
        <w:t>, presuda od 27</w:t>
      </w:r>
      <w:r w:rsidR="00C13E13" w:rsidRPr="006A3195">
        <w:rPr>
          <w:rFonts w:cs="Arial"/>
          <w:szCs w:val="22"/>
          <w:lang w:val="hr-HR"/>
        </w:rPr>
        <w:t>.</w:t>
      </w:r>
      <w:r w:rsidR="00C6784F" w:rsidRPr="006A3195">
        <w:rPr>
          <w:rFonts w:cs="Arial"/>
          <w:szCs w:val="22"/>
          <w:lang w:val="hr-HR"/>
        </w:rPr>
        <w:t xml:space="preserve"> ožujka 1996.</w:t>
      </w:r>
    </w:p>
    <w:p w:rsidR="00E30A47" w:rsidRPr="006A3195" w:rsidRDefault="00E30A47" w:rsidP="00100E21">
      <w:pPr>
        <w:pStyle w:val="ListParagraph"/>
        <w:numPr>
          <w:ilvl w:val="0"/>
          <w:numId w:val="32"/>
        </w:numPr>
        <w:spacing w:line="360" w:lineRule="auto"/>
        <w:ind w:left="567" w:hanging="425"/>
        <w:jc w:val="both"/>
        <w:rPr>
          <w:rFonts w:cs="Arial"/>
          <w:szCs w:val="22"/>
          <w:lang w:val="hr-HR"/>
        </w:rPr>
      </w:pPr>
      <w:r w:rsidRPr="006A3195">
        <w:rPr>
          <w:rFonts w:cs="Arial"/>
          <w:szCs w:val="22"/>
          <w:lang w:val="hr-HR"/>
        </w:rPr>
        <w:t>Gunduz protiv Turske, zahtjev broj 35071/97</w:t>
      </w:r>
      <w:r w:rsidR="00C6784F" w:rsidRPr="006A3195">
        <w:rPr>
          <w:rFonts w:cs="Arial"/>
          <w:szCs w:val="22"/>
          <w:lang w:val="hr-HR"/>
        </w:rPr>
        <w:t>, presuda od 4</w:t>
      </w:r>
      <w:r w:rsidR="00C13E13" w:rsidRPr="006A3195">
        <w:rPr>
          <w:rFonts w:cs="Arial"/>
          <w:szCs w:val="22"/>
          <w:lang w:val="hr-HR"/>
        </w:rPr>
        <w:t>.</w:t>
      </w:r>
      <w:r w:rsidR="00C6784F" w:rsidRPr="006A3195">
        <w:rPr>
          <w:rFonts w:cs="Arial"/>
          <w:szCs w:val="22"/>
          <w:lang w:val="hr-HR"/>
        </w:rPr>
        <w:t xml:space="preserve"> prosinca 2003.</w:t>
      </w:r>
    </w:p>
    <w:p w:rsidR="00E30A47" w:rsidRPr="006A3195" w:rsidRDefault="00E30A47" w:rsidP="00100E21">
      <w:pPr>
        <w:pStyle w:val="ListParagraph"/>
        <w:numPr>
          <w:ilvl w:val="0"/>
          <w:numId w:val="32"/>
        </w:numPr>
        <w:spacing w:line="360" w:lineRule="auto"/>
        <w:ind w:left="567" w:hanging="425"/>
        <w:jc w:val="both"/>
        <w:rPr>
          <w:rFonts w:cs="Arial"/>
          <w:szCs w:val="22"/>
          <w:lang w:val="hr-HR"/>
        </w:rPr>
      </w:pPr>
      <w:r w:rsidRPr="006A3195">
        <w:rPr>
          <w:rFonts w:cs="Arial"/>
          <w:szCs w:val="22"/>
          <w:lang w:val="hr-HR"/>
        </w:rPr>
        <w:t>Handyside protiv Ujedinjenog Kraljevstva, zahtjev broj  5493/72</w:t>
      </w:r>
      <w:r w:rsidR="00C6784F" w:rsidRPr="006A3195">
        <w:rPr>
          <w:rFonts w:cs="Arial"/>
          <w:szCs w:val="22"/>
          <w:lang w:val="hr-HR"/>
        </w:rPr>
        <w:t>, presuda od 7</w:t>
      </w:r>
      <w:r w:rsidR="00C13E13" w:rsidRPr="006A3195">
        <w:rPr>
          <w:rFonts w:cs="Arial"/>
          <w:szCs w:val="22"/>
          <w:lang w:val="hr-HR"/>
        </w:rPr>
        <w:t>.</w:t>
      </w:r>
      <w:r w:rsidR="00C6784F" w:rsidRPr="006A3195">
        <w:rPr>
          <w:rFonts w:cs="Arial"/>
          <w:szCs w:val="22"/>
          <w:lang w:val="hr-HR"/>
        </w:rPr>
        <w:t xml:space="preserve"> prosinca 1976.</w:t>
      </w:r>
    </w:p>
    <w:p w:rsidR="00E30A47" w:rsidRPr="006A3195" w:rsidRDefault="00E30A47" w:rsidP="00100E21">
      <w:pPr>
        <w:pStyle w:val="ListParagraph"/>
        <w:numPr>
          <w:ilvl w:val="0"/>
          <w:numId w:val="32"/>
        </w:numPr>
        <w:spacing w:line="360" w:lineRule="auto"/>
        <w:ind w:left="567" w:hanging="425"/>
        <w:jc w:val="both"/>
        <w:rPr>
          <w:rFonts w:cs="Arial"/>
          <w:szCs w:val="22"/>
          <w:lang w:val="hr-HR"/>
        </w:rPr>
      </w:pPr>
      <w:r w:rsidRPr="006A3195">
        <w:rPr>
          <w:rFonts w:cs="Arial"/>
          <w:szCs w:val="22"/>
          <w:lang w:val="hr-HR"/>
        </w:rPr>
        <w:t>Jersild protiv Danske, zahtjev broj  15890/89</w:t>
      </w:r>
      <w:r w:rsidR="00C6784F" w:rsidRPr="006A3195">
        <w:rPr>
          <w:rFonts w:cs="Arial"/>
          <w:szCs w:val="22"/>
          <w:lang w:val="hr-HR"/>
        </w:rPr>
        <w:t>, presuda od 23</w:t>
      </w:r>
      <w:r w:rsidR="00C13E13" w:rsidRPr="006A3195">
        <w:rPr>
          <w:rFonts w:cs="Arial"/>
          <w:szCs w:val="22"/>
          <w:lang w:val="hr-HR"/>
        </w:rPr>
        <w:t>.</w:t>
      </w:r>
      <w:r w:rsidR="00C6784F" w:rsidRPr="006A3195">
        <w:rPr>
          <w:rFonts w:cs="Arial"/>
          <w:szCs w:val="22"/>
          <w:lang w:val="hr-HR"/>
        </w:rPr>
        <w:t xml:space="preserve"> rujna 1994.</w:t>
      </w:r>
    </w:p>
    <w:p w:rsidR="00E30A47" w:rsidRPr="006A3195" w:rsidRDefault="00E30A47" w:rsidP="00100E21">
      <w:pPr>
        <w:pStyle w:val="ListParagraph"/>
        <w:numPr>
          <w:ilvl w:val="0"/>
          <w:numId w:val="32"/>
        </w:numPr>
        <w:spacing w:line="360" w:lineRule="auto"/>
        <w:ind w:left="567" w:hanging="425"/>
        <w:jc w:val="both"/>
        <w:rPr>
          <w:rFonts w:cs="Arial"/>
          <w:szCs w:val="22"/>
          <w:lang w:val="hr-HR"/>
        </w:rPr>
      </w:pPr>
      <w:r w:rsidRPr="006A3195">
        <w:rPr>
          <w:rFonts w:cs="Arial"/>
          <w:szCs w:val="22"/>
          <w:lang w:val="hr-HR"/>
        </w:rPr>
        <w:t>Kafkaris protiv Cipra, zahtjev broj  21906/04</w:t>
      </w:r>
      <w:r w:rsidR="00C6784F" w:rsidRPr="006A3195">
        <w:rPr>
          <w:rFonts w:cs="Arial"/>
          <w:szCs w:val="22"/>
          <w:lang w:val="hr-HR"/>
        </w:rPr>
        <w:t>, presuda od 12</w:t>
      </w:r>
      <w:r w:rsidR="00C13E13" w:rsidRPr="006A3195">
        <w:rPr>
          <w:rFonts w:cs="Arial"/>
          <w:szCs w:val="22"/>
          <w:lang w:val="hr-HR"/>
        </w:rPr>
        <w:t>.</w:t>
      </w:r>
      <w:r w:rsidR="00C6784F" w:rsidRPr="006A3195">
        <w:rPr>
          <w:rFonts w:cs="Arial"/>
          <w:szCs w:val="22"/>
          <w:lang w:val="hr-HR"/>
        </w:rPr>
        <w:t xml:space="preserve"> veljače 2008.</w:t>
      </w:r>
    </w:p>
    <w:p w:rsidR="00E30A47" w:rsidRPr="006A3195" w:rsidRDefault="00E30A47" w:rsidP="00100E21">
      <w:pPr>
        <w:pStyle w:val="ListParagraph"/>
        <w:numPr>
          <w:ilvl w:val="0"/>
          <w:numId w:val="32"/>
        </w:numPr>
        <w:spacing w:line="360" w:lineRule="auto"/>
        <w:ind w:left="567" w:hanging="425"/>
        <w:jc w:val="both"/>
        <w:rPr>
          <w:rFonts w:cs="Arial"/>
          <w:szCs w:val="22"/>
          <w:lang w:val="hr-HR"/>
        </w:rPr>
      </w:pPr>
      <w:r w:rsidRPr="006A3195">
        <w:rPr>
          <w:rFonts w:cs="Arial"/>
          <w:szCs w:val="22"/>
          <w:lang w:val="hr-HR"/>
        </w:rPr>
        <w:t>K.U. protiv Finske, zahtjev broj  2872/02</w:t>
      </w:r>
      <w:r w:rsidR="00C6784F" w:rsidRPr="006A3195">
        <w:rPr>
          <w:rFonts w:cs="Arial"/>
          <w:szCs w:val="22"/>
          <w:lang w:val="hr-HR"/>
        </w:rPr>
        <w:t>, presuda od 2</w:t>
      </w:r>
      <w:r w:rsidR="00C13E13" w:rsidRPr="006A3195">
        <w:rPr>
          <w:rFonts w:cs="Arial"/>
          <w:szCs w:val="22"/>
          <w:lang w:val="hr-HR"/>
        </w:rPr>
        <w:t>.</w:t>
      </w:r>
      <w:r w:rsidR="00C6784F" w:rsidRPr="006A3195">
        <w:rPr>
          <w:rFonts w:cs="Arial"/>
          <w:szCs w:val="22"/>
          <w:lang w:val="hr-HR"/>
        </w:rPr>
        <w:t xml:space="preserve"> prosinca 2008.</w:t>
      </w:r>
    </w:p>
    <w:p w:rsidR="00EE7791" w:rsidRPr="006A3195" w:rsidRDefault="00EE7791" w:rsidP="00100E21">
      <w:pPr>
        <w:pStyle w:val="ListParagraph"/>
        <w:numPr>
          <w:ilvl w:val="0"/>
          <w:numId w:val="32"/>
        </w:numPr>
        <w:spacing w:line="360" w:lineRule="auto"/>
        <w:ind w:left="567" w:hanging="425"/>
        <w:jc w:val="both"/>
        <w:rPr>
          <w:rFonts w:cs="Arial"/>
          <w:szCs w:val="22"/>
          <w:lang w:val="hr-HR"/>
        </w:rPr>
      </w:pPr>
      <w:r w:rsidRPr="006A3195">
        <w:rPr>
          <w:rFonts w:cs="Arial"/>
          <w:szCs w:val="22"/>
          <w:lang w:val="hr-HR"/>
        </w:rPr>
        <w:t>Lawless protiv Irske (br. 3), zahtjev broj 332/57, presuda od 1. srpnja 1961.</w:t>
      </w:r>
    </w:p>
    <w:p w:rsidR="00E30A47" w:rsidRPr="006A3195" w:rsidRDefault="00E30A47" w:rsidP="00100E21">
      <w:pPr>
        <w:pStyle w:val="ListParagraph"/>
        <w:numPr>
          <w:ilvl w:val="0"/>
          <w:numId w:val="32"/>
        </w:numPr>
        <w:spacing w:line="360" w:lineRule="auto"/>
        <w:ind w:left="567" w:hanging="425"/>
        <w:jc w:val="both"/>
        <w:rPr>
          <w:rFonts w:cs="Arial"/>
          <w:szCs w:val="22"/>
          <w:lang w:val="hr-HR"/>
        </w:rPr>
      </w:pPr>
      <w:r w:rsidRPr="006A3195">
        <w:rPr>
          <w:rFonts w:cs="Arial"/>
          <w:szCs w:val="22"/>
          <w:lang w:val="hr-HR"/>
        </w:rPr>
        <w:t>Müller i drugi protiv Švicarske, zahtjev broj  10737/84</w:t>
      </w:r>
      <w:r w:rsidR="00C6784F" w:rsidRPr="006A3195">
        <w:rPr>
          <w:rFonts w:cs="Arial"/>
          <w:szCs w:val="22"/>
          <w:lang w:val="hr-HR"/>
        </w:rPr>
        <w:t>, presuda od 24</w:t>
      </w:r>
      <w:r w:rsidR="00C13E13" w:rsidRPr="006A3195">
        <w:rPr>
          <w:rFonts w:cs="Arial"/>
          <w:szCs w:val="22"/>
          <w:lang w:val="hr-HR"/>
        </w:rPr>
        <w:t>.</w:t>
      </w:r>
      <w:r w:rsidR="00C6784F" w:rsidRPr="006A3195">
        <w:rPr>
          <w:rFonts w:cs="Arial"/>
          <w:szCs w:val="22"/>
          <w:lang w:val="hr-HR"/>
        </w:rPr>
        <w:t xml:space="preserve"> svibnja 1988.</w:t>
      </w:r>
    </w:p>
    <w:p w:rsidR="00E30A47" w:rsidRPr="006A3195" w:rsidRDefault="00E30A47" w:rsidP="00100E21">
      <w:pPr>
        <w:pStyle w:val="ListParagraph"/>
        <w:numPr>
          <w:ilvl w:val="0"/>
          <w:numId w:val="32"/>
        </w:numPr>
        <w:spacing w:line="360" w:lineRule="auto"/>
        <w:ind w:left="567" w:hanging="425"/>
        <w:jc w:val="both"/>
        <w:rPr>
          <w:rFonts w:cs="Arial"/>
          <w:szCs w:val="22"/>
          <w:lang w:val="hr-HR"/>
        </w:rPr>
      </w:pPr>
      <w:r w:rsidRPr="006A3195">
        <w:rPr>
          <w:rFonts w:cs="Arial"/>
          <w:szCs w:val="22"/>
          <w:lang w:val="hr-HR"/>
        </w:rPr>
        <w:t xml:space="preserve">Observer i Guardian protiv Ujedinjenog Kraljevstva, </w:t>
      </w:r>
      <w:r w:rsidR="002E246F" w:rsidRPr="006A3195">
        <w:rPr>
          <w:rFonts w:cs="Arial"/>
          <w:szCs w:val="22"/>
          <w:lang w:val="hr-HR"/>
        </w:rPr>
        <w:t>zahtjev broj</w:t>
      </w:r>
      <w:r w:rsidRPr="006A3195">
        <w:rPr>
          <w:rFonts w:cs="Arial"/>
          <w:szCs w:val="22"/>
          <w:lang w:val="hr-HR"/>
        </w:rPr>
        <w:t xml:space="preserve"> 13585/88</w:t>
      </w:r>
      <w:r w:rsidR="00C6784F" w:rsidRPr="006A3195">
        <w:rPr>
          <w:rFonts w:cs="Arial"/>
          <w:szCs w:val="22"/>
          <w:lang w:val="hr-HR"/>
        </w:rPr>
        <w:t>, presuda od</w:t>
      </w:r>
      <w:r w:rsidR="002E246F" w:rsidRPr="006A3195">
        <w:rPr>
          <w:rFonts w:cs="Arial"/>
          <w:szCs w:val="22"/>
          <w:lang w:val="hr-HR"/>
        </w:rPr>
        <w:t xml:space="preserve"> 26</w:t>
      </w:r>
      <w:r w:rsidR="00C13E13" w:rsidRPr="006A3195">
        <w:rPr>
          <w:rFonts w:cs="Arial"/>
          <w:szCs w:val="22"/>
          <w:lang w:val="hr-HR"/>
        </w:rPr>
        <w:t>.</w:t>
      </w:r>
      <w:r w:rsidR="002E246F" w:rsidRPr="006A3195">
        <w:rPr>
          <w:rFonts w:cs="Arial"/>
          <w:szCs w:val="22"/>
          <w:lang w:val="hr-HR"/>
        </w:rPr>
        <w:t xml:space="preserve"> studenog 1991.</w:t>
      </w:r>
    </w:p>
    <w:p w:rsidR="00E30A47" w:rsidRPr="006A3195" w:rsidRDefault="00E30A47" w:rsidP="00100E21">
      <w:pPr>
        <w:pStyle w:val="ListParagraph"/>
        <w:numPr>
          <w:ilvl w:val="0"/>
          <w:numId w:val="32"/>
        </w:numPr>
        <w:spacing w:line="360" w:lineRule="auto"/>
        <w:ind w:left="567" w:hanging="425"/>
        <w:jc w:val="both"/>
        <w:rPr>
          <w:rFonts w:cs="Arial"/>
          <w:szCs w:val="22"/>
          <w:lang w:val="hr-HR"/>
        </w:rPr>
      </w:pPr>
      <w:r w:rsidRPr="006A3195">
        <w:rPr>
          <w:rFonts w:cs="Arial"/>
          <w:szCs w:val="22"/>
          <w:lang w:val="hr-HR"/>
        </w:rPr>
        <w:t>Surek protiv Turske (br. 4), zahtjev broj  24762/94</w:t>
      </w:r>
      <w:r w:rsidR="00C6784F" w:rsidRPr="006A3195">
        <w:rPr>
          <w:rFonts w:cs="Arial"/>
          <w:szCs w:val="22"/>
          <w:lang w:val="hr-HR"/>
        </w:rPr>
        <w:t>, presuda od</w:t>
      </w:r>
      <w:r w:rsidR="002E246F" w:rsidRPr="006A3195">
        <w:rPr>
          <w:rFonts w:cs="Arial"/>
          <w:szCs w:val="22"/>
          <w:lang w:val="hr-HR"/>
        </w:rPr>
        <w:t xml:space="preserve"> 8</w:t>
      </w:r>
      <w:r w:rsidR="00C13E13" w:rsidRPr="006A3195">
        <w:rPr>
          <w:rFonts w:cs="Arial"/>
          <w:szCs w:val="22"/>
          <w:lang w:val="hr-HR"/>
        </w:rPr>
        <w:t>.</w:t>
      </w:r>
      <w:r w:rsidR="002E246F" w:rsidRPr="006A3195">
        <w:rPr>
          <w:rFonts w:cs="Arial"/>
          <w:szCs w:val="22"/>
          <w:lang w:val="hr-HR"/>
        </w:rPr>
        <w:t xml:space="preserve"> srpnja 1999.</w:t>
      </w:r>
    </w:p>
    <w:p w:rsidR="00E30A47" w:rsidRPr="006A3195" w:rsidRDefault="00E30A47" w:rsidP="00100E21">
      <w:pPr>
        <w:pStyle w:val="ListParagraph"/>
        <w:numPr>
          <w:ilvl w:val="0"/>
          <w:numId w:val="32"/>
        </w:numPr>
        <w:spacing w:line="360" w:lineRule="auto"/>
        <w:ind w:left="567" w:hanging="425"/>
        <w:jc w:val="both"/>
        <w:rPr>
          <w:rFonts w:cs="Arial"/>
          <w:szCs w:val="22"/>
          <w:lang w:val="hr-HR"/>
        </w:rPr>
      </w:pPr>
      <w:r w:rsidRPr="006A3195">
        <w:rPr>
          <w:rFonts w:cs="Arial"/>
          <w:szCs w:val="22"/>
          <w:lang w:val="hr-HR"/>
        </w:rPr>
        <w:t>Yild</w:t>
      </w:r>
      <w:r w:rsidR="002E246F" w:rsidRPr="006A3195">
        <w:rPr>
          <w:rFonts w:cs="Arial"/>
          <w:szCs w:val="22"/>
          <w:lang w:val="hr-HR"/>
        </w:rPr>
        <w:t>i</w:t>
      </w:r>
      <w:r w:rsidRPr="006A3195">
        <w:rPr>
          <w:rFonts w:cs="Arial"/>
          <w:szCs w:val="22"/>
          <w:lang w:val="hr-HR"/>
        </w:rPr>
        <w:t>rim protiv Turske, zahtjev broj  3111/10</w:t>
      </w:r>
      <w:r w:rsidR="00C6784F" w:rsidRPr="006A3195">
        <w:rPr>
          <w:rFonts w:cs="Arial"/>
          <w:szCs w:val="22"/>
          <w:lang w:val="hr-HR"/>
        </w:rPr>
        <w:t>, presuda od</w:t>
      </w:r>
      <w:r w:rsidR="002E246F" w:rsidRPr="006A3195">
        <w:rPr>
          <w:rFonts w:cs="Arial"/>
          <w:szCs w:val="22"/>
          <w:lang w:val="hr-HR"/>
        </w:rPr>
        <w:t xml:space="preserve"> 18</w:t>
      </w:r>
      <w:r w:rsidR="00C13E13" w:rsidRPr="006A3195">
        <w:rPr>
          <w:rFonts w:cs="Arial"/>
          <w:szCs w:val="22"/>
          <w:lang w:val="hr-HR"/>
        </w:rPr>
        <w:t>.</w:t>
      </w:r>
      <w:r w:rsidR="002E246F" w:rsidRPr="006A3195">
        <w:rPr>
          <w:rFonts w:cs="Arial"/>
          <w:szCs w:val="22"/>
          <w:lang w:val="hr-HR"/>
        </w:rPr>
        <w:t xml:space="preserve"> prosinca 2012.</w:t>
      </w:r>
    </w:p>
    <w:p w:rsidR="00E30A47" w:rsidRPr="006A3195" w:rsidRDefault="00E30A47" w:rsidP="00100E21">
      <w:pPr>
        <w:pStyle w:val="ListParagraph"/>
        <w:numPr>
          <w:ilvl w:val="0"/>
          <w:numId w:val="32"/>
        </w:numPr>
        <w:spacing w:line="360" w:lineRule="auto"/>
        <w:ind w:left="567" w:hanging="425"/>
        <w:jc w:val="both"/>
        <w:rPr>
          <w:rFonts w:cs="Arial"/>
          <w:szCs w:val="22"/>
          <w:lang w:val="hr-HR"/>
        </w:rPr>
      </w:pPr>
      <w:r w:rsidRPr="006A3195">
        <w:rPr>
          <w:rFonts w:cs="Arial"/>
          <w:szCs w:val="22"/>
          <w:lang w:val="hr-HR"/>
        </w:rPr>
        <w:t>Odluka o nedopuštenosti Garaudy protiv Francuske, zahtjev broj 65831/01</w:t>
      </w:r>
      <w:r w:rsidR="00C6784F" w:rsidRPr="006A3195">
        <w:rPr>
          <w:rFonts w:cs="Arial"/>
          <w:szCs w:val="22"/>
          <w:lang w:val="hr-HR"/>
        </w:rPr>
        <w:t xml:space="preserve">, </w:t>
      </w:r>
      <w:r w:rsidR="00C13E13" w:rsidRPr="006A3195">
        <w:rPr>
          <w:rFonts w:cs="Arial"/>
          <w:szCs w:val="22"/>
          <w:lang w:val="hr-HR"/>
        </w:rPr>
        <w:t xml:space="preserve">odluka </w:t>
      </w:r>
      <w:r w:rsidR="00C6784F" w:rsidRPr="006A3195">
        <w:rPr>
          <w:rFonts w:cs="Arial"/>
          <w:szCs w:val="22"/>
          <w:lang w:val="hr-HR"/>
        </w:rPr>
        <w:t>od</w:t>
      </w:r>
      <w:r w:rsidR="00C13E13" w:rsidRPr="006A3195">
        <w:rPr>
          <w:rFonts w:cs="Arial"/>
          <w:szCs w:val="22"/>
          <w:lang w:val="hr-HR"/>
        </w:rPr>
        <w:t xml:space="preserve"> 24.</w:t>
      </w:r>
      <w:r w:rsidR="00EE7791" w:rsidRPr="006A3195">
        <w:rPr>
          <w:rFonts w:cs="Arial"/>
          <w:szCs w:val="22"/>
          <w:lang w:val="hr-HR"/>
        </w:rPr>
        <w:t xml:space="preserve"> </w:t>
      </w:r>
      <w:r w:rsidR="00C13E13" w:rsidRPr="006A3195">
        <w:rPr>
          <w:rFonts w:cs="Arial"/>
          <w:szCs w:val="22"/>
          <w:lang w:val="hr-HR"/>
        </w:rPr>
        <w:t>lipnja 2003.</w:t>
      </w:r>
    </w:p>
    <w:p w:rsidR="00E30A47" w:rsidRPr="006A3195" w:rsidRDefault="00E30A47" w:rsidP="00100E21">
      <w:pPr>
        <w:pStyle w:val="ListParagraph"/>
        <w:numPr>
          <w:ilvl w:val="0"/>
          <w:numId w:val="32"/>
        </w:numPr>
        <w:spacing w:line="360" w:lineRule="auto"/>
        <w:ind w:left="567" w:hanging="425"/>
        <w:jc w:val="both"/>
        <w:rPr>
          <w:rFonts w:cs="Arial"/>
          <w:szCs w:val="22"/>
          <w:lang w:val="hr-HR"/>
        </w:rPr>
      </w:pPr>
      <w:r w:rsidRPr="006A3195">
        <w:rPr>
          <w:rFonts w:cs="Arial"/>
          <w:szCs w:val="22"/>
          <w:lang w:val="hr-HR"/>
        </w:rPr>
        <w:t>Odluka o nedopuštenosti Glimmerveen and Hagenbeek protiv Nizozemske, predmeti broj 8348/78 i 8406/78</w:t>
      </w:r>
      <w:r w:rsidR="00C6784F" w:rsidRPr="006A3195">
        <w:rPr>
          <w:rFonts w:cs="Arial"/>
          <w:szCs w:val="22"/>
          <w:lang w:val="hr-HR"/>
        </w:rPr>
        <w:t xml:space="preserve">, </w:t>
      </w:r>
      <w:r w:rsidR="00C13E13" w:rsidRPr="006A3195">
        <w:rPr>
          <w:rFonts w:cs="Arial"/>
          <w:szCs w:val="22"/>
          <w:lang w:val="hr-HR"/>
        </w:rPr>
        <w:t>odluka</w:t>
      </w:r>
      <w:r w:rsidR="00C6784F" w:rsidRPr="006A3195">
        <w:rPr>
          <w:rFonts w:cs="Arial"/>
          <w:szCs w:val="22"/>
          <w:lang w:val="hr-HR"/>
        </w:rPr>
        <w:t xml:space="preserve"> od</w:t>
      </w:r>
      <w:r w:rsidR="00C13E13" w:rsidRPr="006A3195">
        <w:rPr>
          <w:rFonts w:cs="Arial"/>
          <w:szCs w:val="22"/>
          <w:lang w:val="hr-HR"/>
        </w:rPr>
        <w:t xml:space="preserve"> 11. listopada 1979.</w:t>
      </w:r>
    </w:p>
    <w:p w:rsidR="00E30A47" w:rsidRPr="006A3195" w:rsidRDefault="00E30A47" w:rsidP="00100E21">
      <w:pPr>
        <w:pStyle w:val="ListParagraph"/>
        <w:numPr>
          <w:ilvl w:val="0"/>
          <w:numId w:val="32"/>
        </w:numPr>
        <w:spacing w:line="360" w:lineRule="auto"/>
        <w:ind w:left="567" w:hanging="425"/>
        <w:jc w:val="both"/>
        <w:rPr>
          <w:rFonts w:cs="Arial"/>
          <w:szCs w:val="22"/>
          <w:lang w:val="hr-HR"/>
        </w:rPr>
      </w:pPr>
      <w:r w:rsidRPr="006A3195">
        <w:rPr>
          <w:rFonts w:cs="Arial"/>
          <w:szCs w:val="22"/>
          <w:lang w:val="hr-HR"/>
        </w:rPr>
        <w:t>Odluka o nedopuštenosti Neij and Sunde Kolmisoppi protiv Švedske, zahtjev broj 40397/12</w:t>
      </w:r>
      <w:r w:rsidR="00C6784F" w:rsidRPr="006A3195">
        <w:rPr>
          <w:rFonts w:cs="Arial"/>
          <w:szCs w:val="22"/>
          <w:lang w:val="hr-HR"/>
        </w:rPr>
        <w:t xml:space="preserve">, </w:t>
      </w:r>
      <w:r w:rsidR="00C13E13" w:rsidRPr="006A3195">
        <w:rPr>
          <w:rFonts w:cs="Arial"/>
          <w:szCs w:val="22"/>
          <w:lang w:val="hr-HR"/>
        </w:rPr>
        <w:t>odluka</w:t>
      </w:r>
      <w:r w:rsidR="00C6784F" w:rsidRPr="006A3195">
        <w:rPr>
          <w:rFonts w:cs="Arial"/>
          <w:szCs w:val="22"/>
          <w:lang w:val="hr-HR"/>
        </w:rPr>
        <w:t xml:space="preserve"> od</w:t>
      </w:r>
      <w:r w:rsidR="00C13E13" w:rsidRPr="006A3195">
        <w:rPr>
          <w:rFonts w:cs="Arial"/>
          <w:szCs w:val="22"/>
          <w:lang w:val="hr-HR"/>
        </w:rPr>
        <w:t xml:space="preserve"> 19. veljače 2013.</w:t>
      </w:r>
    </w:p>
    <w:p w:rsidR="00E30A47" w:rsidRPr="006A3195" w:rsidRDefault="00E30A47" w:rsidP="00100E21">
      <w:pPr>
        <w:pStyle w:val="ListParagraph"/>
        <w:numPr>
          <w:ilvl w:val="0"/>
          <w:numId w:val="32"/>
        </w:numPr>
        <w:spacing w:line="360" w:lineRule="auto"/>
        <w:ind w:left="567" w:hanging="425"/>
        <w:jc w:val="both"/>
        <w:rPr>
          <w:rFonts w:cs="Arial"/>
          <w:szCs w:val="22"/>
          <w:lang w:val="hr-HR"/>
        </w:rPr>
      </w:pPr>
      <w:r w:rsidRPr="006A3195">
        <w:rPr>
          <w:rFonts w:cs="Arial"/>
          <w:szCs w:val="22"/>
          <w:lang w:val="hr-HR"/>
        </w:rPr>
        <w:t xml:space="preserve">Odluka o nedopuštenosti Norwood protiv Ujedinjenog Kraljevstva, </w:t>
      </w:r>
      <w:r w:rsidR="00C6784F" w:rsidRPr="006A3195">
        <w:rPr>
          <w:rFonts w:cs="Arial"/>
          <w:szCs w:val="22"/>
          <w:lang w:val="hr-HR"/>
        </w:rPr>
        <w:t xml:space="preserve">zahtjev broj </w:t>
      </w:r>
      <w:r w:rsidRPr="006A3195">
        <w:rPr>
          <w:rFonts w:cs="Arial"/>
          <w:szCs w:val="22"/>
          <w:lang w:val="hr-HR"/>
        </w:rPr>
        <w:t>23131/03</w:t>
      </w:r>
      <w:r w:rsidR="00C6784F" w:rsidRPr="006A3195">
        <w:rPr>
          <w:rFonts w:cs="Arial"/>
          <w:szCs w:val="22"/>
          <w:lang w:val="hr-HR"/>
        </w:rPr>
        <w:t xml:space="preserve">, </w:t>
      </w:r>
      <w:r w:rsidR="00C13E13" w:rsidRPr="006A3195">
        <w:rPr>
          <w:rFonts w:cs="Arial"/>
          <w:szCs w:val="22"/>
          <w:lang w:val="hr-HR"/>
        </w:rPr>
        <w:t>odluka</w:t>
      </w:r>
      <w:r w:rsidR="00C6784F" w:rsidRPr="006A3195">
        <w:rPr>
          <w:rFonts w:cs="Arial"/>
          <w:szCs w:val="22"/>
          <w:lang w:val="hr-HR"/>
        </w:rPr>
        <w:t xml:space="preserve"> od</w:t>
      </w:r>
      <w:r w:rsidR="00C13E13" w:rsidRPr="006A3195">
        <w:rPr>
          <w:rFonts w:cs="Arial"/>
          <w:szCs w:val="22"/>
          <w:lang w:val="hr-HR"/>
        </w:rPr>
        <w:t xml:space="preserve"> 16. studeni 2004.</w:t>
      </w:r>
    </w:p>
    <w:p w:rsidR="00E30A47" w:rsidRPr="006A3195" w:rsidRDefault="00E30A47" w:rsidP="00100E21">
      <w:pPr>
        <w:pStyle w:val="ListParagraph"/>
        <w:numPr>
          <w:ilvl w:val="0"/>
          <w:numId w:val="32"/>
        </w:numPr>
        <w:spacing w:line="360" w:lineRule="auto"/>
        <w:ind w:left="567" w:hanging="425"/>
        <w:jc w:val="both"/>
        <w:rPr>
          <w:rFonts w:cs="Arial"/>
          <w:szCs w:val="22"/>
          <w:lang w:val="hr-HR"/>
        </w:rPr>
      </w:pPr>
      <w:r w:rsidRPr="006A3195">
        <w:rPr>
          <w:rFonts w:cs="Arial"/>
          <w:szCs w:val="22"/>
          <w:lang w:val="hr-HR"/>
        </w:rPr>
        <w:lastRenderedPageBreak/>
        <w:t>Odluka o nedopuštenosti Perrin protiv Ujedinjenog Kraljevstva</w:t>
      </w:r>
      <w:r w:rsidR="00C6784F" w:rsidRPr="006A3195">
        <w:rPr>
          <w:rFonts w:cs="Arial"/>
          <w:szCs w:val="22"/>
          <w:lang w:val="hr-HR"/>
        </w:rPr>
        <w:t>, odluka od</w:t>
      </w:r>
      <w:r w:rsidR="00C13E13" w:rsidRPr="006A3195">
        <w:rPr>
          <w:rFonts w:cs="Arial"/>
          <w:szCs w:val="22"/>
          <w:lang w:val="hr-HR"/>
        </w:rPr>
        <w:t xml:space="preserve"> 18. listopada 2005.</w:t>
      </w:r>
    </w:p>
    <w:p w:rsidR="00E30A47" w:rsidRPr="006A3195" w:rsidRDefault="00E30A47" w:rsidP="00100E21">
      <w:pPr>
        <w:pStyle w:val="ListParagraph"/>
        <w:numPr>
          <w:ilvl w:val="0"/>
          <w:numId w:val="32"/>
        </w:numPr>
        <w:spacing w:line="360" w:lineRule="auto"/>
        <w:ind w:left="567" w:hanging="425"/>
        <w:jc w:val="both"/>
        <w:rPr>
          <w:rFonts w:cs="Arial"/>
          <w:szCs w:val="22"/>
          <w:lang w:val="hr-HR"/>
        </w:rPr>
      </w:pPr>
      <w:r w:rsidRPr="006A3195">
        <w:rPr>
          <w:rFonts w:cs="Arial"/>
          <w:szCs w:val="22"/>
          <w:lang w:val="hr-HR"/>
        </w:rPr>
        <w:t>Odluka o nedop</w:t>
      </w:r>
      <w:r w:rsidR="00C6784F" w:rsidRPr="006A3195">
        <w:rPr>
          <w:rFonts w:cs="Arial"/>
          <w:szCs w:val="22"/>
          <w:lang w:val="hr-HR"/>
        </w:rPr>
        <w:t xml:space="preserve">uštenosti Rujak protiv Hrvatske, odluka od </w:t>
      </w:r>
      <w:r w:rsidR="00C13E13" w:rsidRPr="006A3195">
        <w:rPr>
          <w:rFonts w:cs="Arial"/>
          <w:szCs w:val="22"/>
          <w:lang w:val="hr-HR"/>
        </w:rPr>
        <w:t>2. listopada 2012.</w:t>
      </w:r>
    </w:p>
    <w:p w:rsidR="00E30A47" w:rsidRPr="006A3195" w:rsidRDefault="00E30A47" w:rsidP="00100E21">
      <w:pPr>
        <w:pStyle w:val="ListParagraph"/>
        <w:numPr>
          <w:ilvl w:val="0"/>
          <w:numId w:val="32"/>
        </w:numPr>
        <w:spacing w:line="360" w:lineRule="auto"/>
        <w:ind w:left="567" w:hanging="425"/>
        <w:jc w:val="both"/>
        <w:rPr>
          <w:rFonts w:cs="Arial"/>
          <w:szCs w:val="22"/>
          <w:lang w:val="hr-HR"/>
        </w:rPr>
      </w:pPr>
      <w:r w:rsidRPr="006A3195">
        <w:rPr>
          <w:rFonts w:cs="Arial"/>
          <w:szCs w:val="22"/>
          <w:lang w:val="hr-HR"/>
        </w:rPr>
        <w:t>Odluka o nedopuštenosti Schimanek protiv Austrije, zahtjev broj 32307/96</w:t>
      </w:r>
      <w:r w:rsidR="00C6784F" w:rsidRPr="006A3195">
        <w:rPr>
          <w:rFonts w:cs="Arial"/>
          <w:szCs w:val="22"/>
          <w:lang w:val="hr-HR"/>
        </w:rPr>
        <w:t>, odluka od</w:t>
      </w:r>
      <w:r w:rsidR="00C13E13" w:rsidRPr="006A3195">
        <w:rPr>
          <w:rFonts w:cs="Arial"/>
          <w:szCs w:val="22"/>
          <w:lang w:val="hr-HR"/>
        </w:rPr>
        <w:t xml:space="preserve"> 1. veljače 2000.</w:t>
      </w:r>
    </w:p>
    <w:p w:rsidR="00E30A47" w:rsidRPr="00B8144F" w:rsidRDefault="00E30A47" w:rsidP="00B8144F">
      <w:pPr>
        <w:pStyle w:val="ListParagraph"/>
        <w:numPr>
          <w:ilvl w:val="1"/>
          <w:numId w:val="18"/>
        </w:numPr>
        <w:spacing w:line="360" w:lineRule="auto"/>
        <w:jc w:val="both"/>
        <w:rPr>
          <w:rFonts w:cs="Arial"/>
          <w:szCs w:val="22"/>
          <w:lang w:val="hr-HR"/>
        </w:rPr>
      </w:pPr>
      <w:r w:rsidRPr="00B8144F">
        <w:rPr>
          <w:rFonts w:cs="Arial"/>
          <w:b/>
          <w:szCs w:val="22"/>
          <w:lang w:val="hr-HR"/>
        </w:rPr>
        <w:t>Europski sud pravde</w:t>
      </w:r>
    </w:p>
    <w:p w:rsidR="00E30A47" w:rsidRPr="00B830BB" w:rsidRDefault="00E30A47" w:rsidP="00100E21">
      <w:pPr>
        <w:pStyle w:val="ListParagraph"/>
        <w:numPr>
          <w:ilvl w:val="0"/>
          <w:numId w:val="33"/>
        </w:numPr>
        <w:spacing w:line="360" w:lineRule="auto"/>
        <w:ind w:left="567" w:hanging="425"/>
        <w:jc w:val="both"/>
        <w:rPr>
          <w:rFonts w:cs="Arial"/>
          <w:szCs w:val="22"/>
          <w:lang w:val="hr-HR"/>
        </w:rPr>
      </w:pPr>
      <w:r w:rsidRPr="00B830BB">
        <w:rPr>
          <w:rFonts w:cs="Arial"/>
          <w:szCs w:val="22"/>
          <w:lang w:val="hr-HR"/>
        </w:rPr>
        <w:t>C-352/85 Bond van Adverteerders i drugi protiv Nizozemske</w:t>
      </w:r>
    </w:p>
    <w:p w:rsidR="00E30A47" w:rsidRDefault="00E30A47" w:rsidP="00100E21">
      <w:pPr>
        <w:pStyle w:val="ListParagraph"/>
        <w:numPr>
          <w:ilvl w:val="0"/>
          <w:numId w:val="33"/>
        </w:numPr>
        <w:spacing w:line="360" w:lineRule="auto"/>
        <w:ind w:left="567" w:hanging="425"/>
        <w:jc w:val="both"/>
        <w:rPr>
          <w:rFonts w:cs="Arial"/>
          <w:szCs w:val="22"/>
          <w:lang w:val="hr-HR"/>
        </w:rPr>
      </w:pPr>
      <w:r w:rsidRPr="00B830BB">
        <w:rPr>
          <w:rFonts w:cs="Arial"/>
          <w:szCs w:val="22"/>
          <w:lang w:val="hr-HR"/>
        </w:rPr>
        <w:t>C-157/99 B.S.M. Geraets-Smits i Stichting Ziekenfonds VGZ i H.T.M. Peerbooms protiv Stichting CZ Groep Zorgverzekeringen</w:t>
      </w:r>
    </w:p>
    <w:p w:rsidR="00E30A47" w:rsidRDefault="00E30A47" w:rsidP="00E30A47">
      <w:pPr>
        <w:spacing w:line="360" w:lineRule="auto"/>
        <w:jc w:val="both"/>
        <w:rPr>
          <w:rFonts w:cs="Arial"/>
          <w:szCs w:val="22"/>
          <w:lang w:val="hr-HR"/>
        </w:rPr>
      </w:pPr>
    </w:p>
    <w:p w:rsidR="00E30A47" w:rsidRPr="00B8144F" w:rsidRDefault="0061137B" w:rsidP="00B8144F">
      <w:pPr>
        <w:pStyle w:val="ListParagraph"/>
        <w:numPr>
          <w:ilvl w:val="1"/>
          <w:numId w:val="18"/>
        </w:numPr>
        <w:spacing w:line="360" w:lineRule="auto"/>
        <w:jc w:val="both"/>
        <w:rPr>
          <w:rFonts w:cs="Arial"/>
          <w:b/>
          <w:szCs w:val="22"/>
          <w:lang w:val="hr-HR"/>
        </w:rPr>
      </w:pPr>
      <w:r w:rsidRPr="00B8144F">
        <w:rPr>
          <w:rFonts w:cs="Arial"/>
          <w:b/>
          <w:szCs w:val="22"/>
          <w:lang w:val="hr-HR"/>
        </w:rPr>
        <w:t>Hrvatska sudska praksa</w:t>
      </w:r>
      <w:r w:rsidR="00E30A47" w:rsidRPr="00B8144F">
        <w:rPr>
          <w:rFonts w:cs="Arial"/>
          <w:b/>
          <w:szCs w:val="22"/>
          <w:lang w:val="hr-HR"/>
        </w:rPr>
        <w:t xml:space="preserve"> </w:t>
      </w:r>
    </w:p>
    <w:p w:rsidR="00E30A47" w:rsidRPr="0065255F" w:rsidRDefault="0061137B" w:rsidP="00100E21">
      <w:pPr>
        <w:pStyle w:val="ListParagraph"/>
        <w:numPr>
          <w:ilvl w:val="0"/>
          <w:numId w:val="34"/>
        </w:numPr>
        <w:spacing w:line="360" w:lineRule="auto"/>
        <w:ind w:left="567" w:hanging="425"/>
        <w:jc w:val="both"/>
        <w:rPr>
          <w:rFonts w:cs="Arial"/>
          <w:szCs w:val="22"/>
          <w:lang w:val="hr-HR"/>
        </w:rPr>
      </w:pPr>
      <w:r>
        <w:rPr>
          <w:lang w:val="hr-HR"/>
        </w:rPr>
        <w:t xml:space="preserve">Presuda Vrhovnog suda, </w:t>
      </w:r>
      <w:r w:rsidR="00E30A47" w:rsidRPr="00D32EC1">
        <w:rPr>
          <w:lang w:val="hr-HR"/>
        </w:rPr>
        <w:t xml:space="preserve">Kzz-34-09-2, od 27. listopada 2009., presuda dostupna na: </w:t>
      </w:r>
      <w:hyperlink r:id="rId58" w:history="1">
        <w:r w:rsidR="00E30A47" w:rsidRPr="00D32EC1">
          <w:rPr>
            <w:lang w:val="hr-HR"/>
          </w:rPr>
          <w:t>http://www.vsrh.hr/CustomPages/Static/HRV/Files/VSRH_Kzz-34-09-2.pdf</w:t>
        </w:r>
      </w:hyperlink>
    </w:p>
    <w:p w:rsidR="0065255F" w:rsidRPr="0061137B" w:rsidRDefault="0065255F" w:rsidP="00100E21">
      <w:pPr>
        <w:pStyle w:val="ListParagraph"/>
        <w:numPr>
          <w:ilvl w:val="0"/>
          <w:numId w:val="34"/>
        </w:numPr>
        <w:spacing w:line="360" w:lineRule="auto"/>
        <w:ind w:left="567" w:hanging="425"/>
        <w:jc w:val="both"/>
        <w:rPr>
          <w:rFonts w:cs="Arial"/>
          <w:szCs w:val="22"/>
          <w:lang w:val="hr-HR"/>
        </w:rPr>
      </w:pPr>
      <w:r>
        <w:rPr>
          <w:lang w:val="hr-HR"/>
        </w:rPr>
        <w:t xml:space="preserve">Presuda Vrhovnog suda, </w:t>
      </w:r>
      <w:r w:rsidRPr="00F02D11">
        <w:rPr>
          <w:lang w:val="hr-HR"/>
        </w:rPr>
        <w:t>Gž 38/2011-2</w:t>
      </w:r>
      <w:r>
        <w:rPr>
          <w:lang w:val="hr-HR"/>
        </w:rPr>
        <w:t>, od 7. ožujka 2012.</w:t>
      </w:r>
    </w:p>
    <w:p w:rsidR="0061137B" w:rsidRPr="00B830BB" w:rsidRDefault="0061137B" w:rsidP="00100E21">
      <w:pPr>
        <w:pStyle w:val="ListParagraph"/>
        <w:numPr>
          <w:ilvl w:val="0"/>
          <w:numId w:val="34"/>
        </w:numPr>
        <w:spacing w:line="360" w:lineRule="auto"/>
        <w:ind w:left="567" w:hanging="425"/>
        <w:jc w:val="both"/>
        <w:rPr>
          <w:rFonts w:cs="Arial"/>
          <w:szCs w:val="22"/>
          <w:lang w:val="hr-HR"/>
        </w:rPr>
      </w:pPr>
      <w:r>
        <w:rPr>
          <w:lang w:val="hr-HR"/>
        </w:rPr>
        <w:t>Presuda Županijskog</w:t>
      </w:r>
      <w:r w:rsidRPr="00B10B25">
        <w:rPr>
          <w:lang w:val="hr-HR"/>
        </w:rPr>
        <w:t xml:space="preserve"> sud</w:t>
      </w:r>
      <w:r>
        <w:rPr>
          <w:lang w:val="hr-HR"/>
        </w:rPr>
        <w:t>a</w:t>
      </w:r>
      <w:r w:rsidRPr="00B10B25">
        <w:rPr>
          <w:lang w:val="hr-HR"/>
        </w:rPr>
        <w:t xml:space="preserve"> u Varaždinu, Gž-3123/11-2,</w:t>
      </w:r>
      <w:r>
        <w:rPr>
          <w:lang w:val="hr-HR"/>
        </w:rPr>
        <w:t xml:space="preserve"> od</w:t>
      </w:r>
      <w:r w:rsidRPr="00B10B25">
        <w:rPr>
          <w:lang w:val="hr-HR"/>
        </w:rPr>
        <w:t xml:space="preserve"> 25. listopada 2011.</w:t>
      </w:r>
    </w:p>
    <w:p w:rsidR="00F76DC5" w:rsidRDefault="00F76DC5" w:rsidP="00EA72B8">
      <w:pPr>
        <w:spacing w:line="360" w:lineRule="auto"/>
        <w:jc w:val="both"/>
        <w:rPr>
          <w:rFonts w:cs="Arial"/>
          <w:szCs w:val="22"/>
          <w:lang w:val="hr-HR"/>
        </w:rPr>
      </w:pPr>
    </w:p>
    <w:p w:rsidR="00E30A47" w:rsidRPr="00B8144F" w:rsidRDefault="00E30A47" w:rsidP="00B8144F">
      <w:pPr>
        <w:pStyle w:val="ListParagraph"/>
        <w:numPr>
          <w:ilvl w:val="1"/>
          <w:numId w:val="18"/>
        </w:numPr>
        <w:spacing w:line="360" w:lineRule="auto"/>
        <w:jc w:val="both"/>
        <w:rPr>
          <w:rFonts w:cs="Arial"/>
          <w:b/>
          <w:szCs w:val="22"/>
          <w:lang w:val="hr-HR"/>
        </w:rPr>
      </w:pPr>
      <w:r w:rsidRPr="00B8144F">
        <w:rPr>
          <w:rFonts w:cs="Arial"/>
          <w:b/>
          <w:szCs w:val="22"/>
          <w:lang w:val="hr-HR"/>
        </w:rPr>
        <w:t>Strana praksa</w:t>
      </w:r>
    </w:p>
    <w:p w:rsidR="00E30A47" w:rsidRPr="00D32EC1" w:rsidRDefault="00E30A47" w:rsidP="00100E21">
      <w:pPr>
        <w:pStyle w:val="ListParagraph"/>
        <w:numPr>
          <w:ilvl w:val="0"/>
          <w:numId w:val="35"/>
        </w:numPr>
        <w:spacing w:line="360" w:lineRule="auto"/>
        <w:ind w:left="567"/>
        <w:jc w:val="both"/>
        <w:rPr>
          <w:lang w:val="hr-HR"/>
        </w:rPr>
      </w:pPr>
      <w:r w:rsidRPr="00D32EC1">
        <w:rPr>
          <w:lang w:val="hr-HR"/>
        </w:rPr>
        <w:t xml:space="preserve">Tamiz v Google Inc [2013] EWCA Civ 68 (14 February 2013) </w:t>
      </w:r>
    </w:p>
    <w:p w:rsidR="00E30A47" w:rsidRDefault="00E30A47" w:rsidP="00100E21">
      <w:pPr>
        <w:pStyle w:val="ListParagraph"/>
        <w:numPr>
          <w:ilvl w:val="0"/>
          <w:numId w:val="35"/>
        </w:numPr>
        <w:spacing w:line="360" w:lineRule="auto"/>
        <w:ind w:left="567"/>
        <w:jc w:val="both"/>
        <w:rPr>
          <w:rFonts w:cs="Arial"/>
          <w:szCs w:val="22"/>
          <w:lang w:val="hr-HR"/>
        </w:rPr>
      </w:pPr>
      <w:r w:rsidRPr="00D32EC1">
        <w:rPr>
          <w:rFonts w:cs="Arial"/>
          <w:szCs w:val="22"/>
          <w:lang w:val="hr-HR"/>
        </w:rPr>
        <w:t>United States Court of Appeals, Ninth Circuit. - 433 F.3d 1199, Yahoo! Inc. v. LICRA and UEJF</w:t>
      </w:r>
    </w:p>
    <w:p w:rsidR="00E30A47" w:rsidRDefault="00E30A47" w:rsidP="00EA72B8">
      <w:pPr>
        <w:spacing w:line="360" w:lineRule="auto"/>
        <w:jc w:val="both"/>
        <w:rPr>
          <w:rFonts w:cs="Arial"/>
          <w:szCs w:val="22"/>
          <w:lang w:val="hr-HR"/>
        </w:rPr>
      </w:pPr>
    </w:p>
    <w:p w:rsidR="00BB138D" w:rsidRDefault="00BB138D" w:rsidP="00EA72B8">
      <w:pPr>
        <w:spacing w:line="360" w:lineRule="auto"/>
        <w:jc w:val="both"/>
        <w:rPr>
          <w:rFonts w:cs="Arial"/>
          <w:szCs w:val="22"/>
          <w:lang w:val="hr-HR"/>
        </w:rPr>
      </w:pPr>
    </w:p>
    <w:p w:rsidR="00BB138D" w:rsidRDefault="00BB138D" w:rsidP="00EA72B8">
      <w:pPr>
        <w:spacing w:line="360" w:lineRule="auto"/>
        <w:jc w:val="both"/>
        <w:rPr>
          <w:rFonts w:cs="Arial"/>
          <w:szCs w:val="22"/>
          <w:lang w:val="hr-HR"/>
        </w:rPr>
      </w:pPr>
    </w:p>
    <w:p w:rsidR="00BB138D" w:rsidRDefault="00BB138D" w:rsidP="00EA72B8">
      <w:pPr>
        <w:spacing w:line="360" w:lineRule="auto"/>
        <w:jc w:val="both"/>
        <w:rPr>
          <w:rFonts w:cs="Arial"/>
          <w:szCs w:val="22"/>
          <w:lang w:val="hr-HR"/>
        </w:rPr>
      </w:pPr>
    </w:p>
    <w:p w:rsidR="00BB138D" w:rsidRDefault="00BB138D" w:rsidP="00EA72B8">
      <w:pPr>
        <w:spacing w:line="360" w:lineRule="auto"/>
        <w:jc w:val="both"/>
        <w:rPr>
          <w:rFonts w:cs="Arial"/>
          <w:szCs w:val="22"/>
          <w:lang w:val="hr-HR"/>
        </w:rPr>
      </w:pPr>
    </w:p>
    <w:p w:rsidR="00BB138D" w:rsidRDefault="00BB138D" w:rsidP="00EA72B8">
      <w:pPr>
        <w:spacing w:line="360" w:lineRule="auto"/>
        <w:jc w:val="both"/>
        <w:rPr>
          <w:rFonts w:cs="Arial"/>
          <w:szCs w:val="22"/>
          <w:lang w:val="hr-HR"/>
        </w:rPr>
      </w:pPr>
    </w:p>
    <w:p w:rsidR="00BB138D" w:rsidRDefault="00BB138D" w:rsidP="00EA72B8">
      <w:pPr>
        <w:spacing w:line="360" w:lineRule="auto"/>
        <w:jc w:val="both"/>
        <w:rPr>
          <w:rFonts w:cs="Arial"/>
          <w:szCs w:val="22"/>
          <w:lang w:val="hr-HR"/>
        </w:rPr>
      </w:pPr>
    </w:p>
    <w:p w:rsidR="00BB138D" w:rsidRDefault="00BB138D" w:rsidP="00EA72B8">
      <w:pPr>
        <w:spacing w:line="360" w:lineRule="auto"/>
        <w:jc w:val="both"/>
        <w:rPr>
          <w:rFonts w:cs="Arial"/>
          <w:szCs w:val="22"/>
          <w:lang w:val="hr-HR"/>
        </w:rPr>
      </w:pPr>
    </w:p>
    <w:p w:rsidR="009E6626" w:rsidRDefault="009E6626" w:rsidP="00EA72B8">
      <w:pPr>
        <w:spacing w:line="360" w:lineRule="auto"/>
        <w:jc w:val="both"/>
        <w:rPr>
          <w:rFonts w:cs="Arial"/>
          <w:szCs w:val="22"/>
          <w:lang w:val="hr-HR"/>
        </w:rPr>
      </w:pPr>
    </w:p>
    <w:p w:rsidR="00BB138D" w:rsidRDefault="00BB138D" w:rsidP="00EA72B8">
      <w:pPr>
        <w:spacing w:line="360" w:lineRule="auto"/>
        <w:jc w:val="both"/>
        <w:rPr>
          <w:rFonts w:cs="Arial"/>
          <w:szCs w:val="22"/>
          <w:lang w:val="hr-HR"/>
        </w:rPr>
      </w:pPr>
    </w:p>
    <w:p w:rsidR="00BB138D" w:rsidRDefault="00BB138D" w:rsidP="00EA72B8">
      <w:pPr>
        <w:spacing w:line="360" w:lineRule="auto"/>
        <w:jc w:val="both"/>
        <w:rPr>
          <w:rFonts w:cs="Arial"/>
          <w:szCs w:val="22"/>
          <w:lang w:val="hr-HR"/>
        </w:rPr>
      </w:pPr>
    </w:p>
    <w:p w:rsidR="00BB138D" w:rsidRDefault="00BB138D" w:rsidP="00EA72B8">
      <w:pPr>
        <w:spacing w:line="360" w:lineRule="auto"/>
        <w:jc w:val="both"/>
        <w:rPr>
          <w:rFonts w:cs="Arial"/>
          <w:szCs w:val="22"/>
          <w:lang w:val="hr-HR"/>
        </w:rPr>
      </w:pPr>
    </w:p>
    <w:p w:rsidR="00BB138D" w:rsidRDefault="00BB138D" w:rsidP="00EA72B8">
      <w:pPr>
        <w:spacing w:line="360" w:lineRule="auto"/>
        <w:jc w:val="both"/>
        <w:rPr>
          <w:rFonts w:cs="Arial"/>
          <w:szCs w:val="22"/>
          <w:lang w:val="hr-HR"/>
        </w:rPr>
      </w:pPr>
    </w:p>
    <w:p w:rsidR="00BB138D" w:rsidRDefault="00BB138D" w:rsidP="00EA72B8">
      <w:pPr>
        <w:spacing w:line="360" w:lineRule="auto"/>
        <w:jc w:val="both"/>
        <w:rPr>
          <w:rFonts w:cs="Arial"/>
          <w:szCs w:val="22"/>
          <w:lang w:val="hr-HR"/>
        </w:rPr>
      </w:pPr>
    </w:p>
    <w:p w:rsidR="00BB138D" w:rsidRDefault="00BB138D" w:rsidP="00EA72B8">
      <w:pPr>
        <w:spacing w:line="360" w:lineRule="auto"/>
        <w:jc w:val="both"/>
        <w:rPr>
          <w:rFonts w:cs="Arial"/>
          <w:szCs w:val="22"/>
          <w:lang w:val="hr-HR"/>
        </w:rPr>
      </w:pPr>
    </w:p>
    <w:p w:rsidR="00BB138D" w:rsidRDefault="00BB138D" w:rsidP="00EA72B8">
      <w:pPr>
        <w:spacing w:line="360" w:lineRule="auto"/>
        <w:jc w:val="both"/>
        <w:rPr>
          <w:rFonts w:cs="Arial"/>
          <w:szCs w:val="22"/>
          <w:lang w:val="hr-HR"/>
        </w:rPr>
      </w:pPr>
    </w:p>
    <w:p w:rsidR="00BB138D" w:rsidRDefault="00BB138D" w:rsidP="00EA72B8">
      <w:pPr>
        <w:spacing w:line="360" w:lineRule="auto"/>
        <w:jc w:val="both"/>
        <w:rPr>
          <w:rFonts w:cs="Arial"/>
          <w:szCs w:val="22"/>
          <w:lang w:val="hr-HR"/>
        </w:rPr>
      </w:pPr>
    </w:p>
    <w:p w:rsidR="006F7B6C" w:rsidRPr="006F7B6C" w:rsidRDefault="006F7B6C" w:rsidP="006F7B6C">
      <w:pPr>
        <w:pStyle w:val="Heading1"/>
        <w:rPr>
          <w:rFonts w:cs="Arial"/>
          <w:lang w:val="hr-HR"/>
        </w:rPr>
      </w:pPr>
      <w:bookmarkStart w:id="310" w:name="_Toc386567270"/>
      <w:bookmarkStart w:id="311" w:name="_Toc386619662"/>
      <w:r w:rsidRPr="006F7B6C">
        <w:rPr>
          <w:rFonts w:cs="Arial"/>
          <w:lang w:val="hr-HR"/>
        </w:rPr>
        <w:lastRenderedPageBreak/>
        <w:t>SAŽETAK</w:t>
      </w:r>
      <w:bookmarkEnd w:id="310"/>
      <w:bookmarkEnd w:id="311"/>
    </w:p>
    <w:p w:rsidR="006F7B6C" w:rsidRDefault="006F7B6C" w:rsidP="00977047">
      <w:pPr>
        <w:spacing w:line="360" w:lineRule="auto"/>
        <w:rPr>
          <w:rFonts w:cs="Arial"/>
          <w:szCs w:val="22"/>
          <w:lang w:val="hr-HR"/>
        </w:rPr>
      </w:pPr>
    </w:p>
    <w:p w:rsidR="006F7B6C" w:rsidRDefault="004D5465" w:rsidP="004D5465">
      <w:pPr>
        <w:spacing w:line="360" w:lineRule="auto"/>
        <w:jc w:val="both"/>
        <w:rPr>
          <w:rFonts w:cs="Arial"/>
          <w:szCs w:val="22"/>
          <w:lang w:val="hr-HR"/>
        </w:rPr>
      </w:pPr>
      <w:r>
        <w:rPr>
          <w:rFonts w:cs="Arial"/>
          <w:szCs w:val="22"/>
          <w:lang w:val="hr-HR"/>
        </w:rPr>
        <w:t xml:space="preserve">Iako ne postoji definicija govora mržnje, većina ga lako prepoznaje. Ono je oživotvorenje ideje o diskriminaciji te je potrebno odrediti granicu između prava na izražavanje i zabrane diskriminacije.  Razvojem tehnologije, dominantan medij za njegov prijenos postao je internet. </w:t>
      </w:r>
      <w:r w:rsidR="000A347D">
        <w:rPr>
          <w:rFonts w:cs="Arial"/>
          <w:szCs w:val="22"/>
          <w:lang w:val="hr-HR"/>
        </w:rPr>
        <w:t xml:space="preserve">Nažalost, i dalje </w:t>
      </w:r>
      <w:r>
        <w:rPr>
          <w:rFonts w:cs="Arial"/>
          <w:szCs w:val="22"/>
          <w:lang w:val="hr-HR"/>
        </w:rPr>
        <w:t xml:space="preserve">postoji </w:t>
      </w:r>
      <w:r w:rsidR="00BD7989" w:rsidRPr="00BD7989">
        <w:rPr>
          <w:rFonts w:cs="Arial"/>
          <w:szCs w:val="22"/>
          <w:lang w:val="hr-HR"/>
        </w:rPr>
        <w:t>disperziranost</w:t>
      </w:r>
      <w:r w:rsidR="00BD7989">
        <w:rPr>
          <w:rFonts w:cs="Arial"/>
          <w:szCs w:val="22"/>
          <w:lang w:val="hr-HR"/>
        </w:rPr>
        <w:t xml:space="preserve"> </w:t>
      </w:r>
      <w:r w:rsidR="00655E2F">
        <w:rPr>
          <w:rFonts w:cs="Arial"/>
          <w:szCs w:val="22"/>
          <w:lang w:val="hr-HR"/>
        </w:rPr>
        <w:t>pravnih izvora, nedovoljna regulacija</w:t>
      </w:r>
      <w:r>
        <w:rPr>
          <w:rFonts w:cs="Arial"/>
          <w:szCs w:val="22"/>
          <w:lang w:val="hr-HR"/>
        </w:rPr>
        <w:t xml:space="preserve"> u nacionalnom zakonodavstvu te oskudna strana i nacionalna </w:t>
      </w:r>
      <w:r w:rsidR="003D1D06">
        <w:rPr>
          <w:rFonts w:cs="Arial"/>
          <w:szCs w:val="22"/>
          <w:lang w:val="hr-HR"/>
        </w:rPr>
        <w:t>sudska</w:t>
      </w:r>
      <w:r>
        <w:rPr>
          <w:rFonts w:cs="Arial"/>
          <w:szCs w:val="22"/>
          <w:lang w:val="hr-HR"/>
        </w:rPr>
        <w:t xml:space="preserve"> praksa</w:t>
      </w:r>
      <w:r w:rsidR="000A347D">
        <w:rPr>
          <w:rFonts w:cs="Arial"/>
          <w:szCs w:val="22"/>
          <w:lang w:val="hr-HR"/>
        </w:rPr>
        <w:t xml:space="preserve">. Proučavanjem globalnih, regionalnih i nacionalnih pravnih izvora te sudske prakse, utvrđujući </w:t>
      </w:r>
      <w:r>
        <w:rPr>
          <w:rFonts w:cs="Arial"/>
          <w:szCs w:val="22"/>
          <w:lang w:val="hr-HR"/>
        </w:rPr>
        <w:t xml:space="preserve">zakonitosti i načela, </w:t>
      </w:r>
      <w:r w:rsidR="00BD7989">
        <w:rPr>
          <w:rFonts w:cs="Arial"/>
          <w:szCs w:val="22"/>
          <w:lang w:val="hr-HR"/>
        </w:rPr>
        <w:t>nastojat ćemo ponuditi odgovore o</w:t>
      </w:r>
      <w:r w:rsidR="006739F0">
        <w:rPr>
          <w:rFonts w:cs="Arial"/>
          <w:szCs w:val="22"/>
          <w:lang w:val="hr-HR"/>
        </w:rPr>
        <w:t xml:space="preserve"> balansiranju navedenih ljudskih prava,</w:t>
      </w:r>
      <w:r w:rsidR="00BD7989">
        <w:rPr>
          <w:rFonts w:cs="Arial"/>
          <w:szCs w:val="22"/>
          <w:lang w:val="hr-HR"/>
        </w:rPr>
        <w:t xml:space="preserve"> subjektima odgovornim za govor mržnje na internetu, vrstama odgovornosti te problema</w:t>
      </w:r>
      <w:r w:rsidR="003D1D06">
        <w:rPr>
          <w:rFonts w:cs="Arial"/>
          <w:szCs w:val="22"/>
          <w:lang w:val="hr-HR"/>
        </w:rPr>
        <w:t>ti</w:t>
      </w:r>
      <w:r w:rsidR="001D0725">
        <w:rPr>
          <w:rFonts w:cs="Arial"/>
          <w:szCs w:val="22"/>
          <w:lang w:val="hr-HR"/>
        </w:rPr>
        <w:t>c</w:t>
      </w:r>
      <w:r w:rsidR="00BD7989">
        <w:rPr>
          <w:rFonts w:cs="Arial"/>
          <w:szCs w:val="22"/>
          <w:lang w:val="hr-HR"/>
        </w:rPr>
        <w:t xml:space="preserve">i određivanja jurisdikcije. </w:t>
      </w:r>
    </w:p>
    <w:p w:rsidR="006F7B6C" w:rsidRDefault="006F7B6C" w:rsidP="00977047">
      <w:pPr>
        <w:spacing w:line="360" w:lineRule="auto"/>
        <w:rPr>
          <w:rFonts w:cs="Arial"/>
          <w:szCs w:val="22"/>
          <w:lang w:val="hr-HR"/>
        </w:rPr>
      </w:pPr>
    </w:p>
    <w:p w:rsidR="006F7B6C" w:rsidRDefault="006F7B6C" w:rsidP="00977047">
      <w:pPr>
        <w:spacing w:line="360" w:lineRule="auto"/>
        <w:rPr>
          <w:rFonts w:cs="Arial"/>
          <w:szCs w:val="22"/>
          <w:lang w:val="hr-HR"/>
        </w:rPr>
      </w:pPr>
      <w:r>
        <w:rPr>
          <w:rFonts w:cs="Arial"/>
          <w:szCs w:val="22"/>
          <w:lang w:val="hr-HR"/>
        </w:rPr>
        <w:t xml:space="preserve">Ključne riječi: govor mržnje na internetu, pravo na izražavanje, zabrana diskriminacije, </w:t>
      </w:r>
      <w:r w:rsidR="00710BBB">
        <w:rPr>
          <w:rFonts w:cs="Arial"/>
          <w:szCs w:val="22"/>
          <w:lang w:val="hr-HR"/>
        </w:rPr>
        <w:t xml:space="preserve">zaštita ljudskih prava, </w:t>
      </w:r>
      <w:r>
        <w:rPr>
          <w:rFonts w:cs="Arial"/>
          <w:szCs w:val="22"/>
          <w:lang w:val="hr-HR"/>
        </w:rPr>
        <w:t>odgovornost posrednika</w:t>
      </w:r>
      <w:r w:rsidR="00710BBB">
        <w:rPr>
          <w:rFonts w:cs="Arial"/>
          <w:szCs w:val="22"/>
          <w:lang w:val="hr-HR"/>
        </w:rPr>
        <w:t>, kaznena odgovornost, jurisdikcija.</w:t>
      </w:r>
      <w:r>
        <w:rPr>
          <w:rFonts w:cs="Arial"/>
          <w:szCs w:val="22"/>
          <w:lang w:val="hr-HR"/>
        </w:rPr>
        <w:t xml:space="preserve"> </w:t>
      </w:r>
    </w:p>
    <w:p w:rsidR="006F7B6C" w:rsidRDefault="006F7B6C" w:rsidP="00977047">
      <w:pPr>
        <w:spacing w:line="360" w:lineRule="auto"/>
        <w:rPr>
          <w:rFonts w:cs="Arial"/>
          <w:szCs w:val="22"/>
          <w:lang w:val="hr-HR"/>
        </w:rPr>
      </w:pPr>
    </w:p>
    <w:p w:rsidR="00710BBB" w:rsidRDefault="00710BBB" w:rsidP="00977047">
      <w:pPr>
        <w:spacing w:line="360" w:lineRule="auto"/>
        <w:rPr>
          <w:rFonts w:cs="Arial"/>
          <w:szCs w:val="22"/>
          <w:lang w:val="hr-HR"/>
        </w:rPr>
      </w:pPr>
    </w:p>
    <w:p w:rsidR="00BB138D" w:rsidRDefault="00BB138D" w:rsidP="00977047">
      <w:pPr>
        <w:spacing w:line="360" w:lineRule="auto"/>
        <w:rPr>
          <w:rFonts w:cs="Arial"/>
          <w:szCs w:val="22"/>
          <w:lang w:val="hr-HR"/>
        </w:rPr>
      </w:pPr>
    </w:p>
    <w:p w:rsidR="006F7B6C" w:rsidRDefault="006F7B6C" w:rsidP="00977047">
      <w:pPr>
        <w:spacing w:line="360" w:lineRule="auto"/>
        <w:rPr>
          <w:rFonts w:cs="Arial"/>
          <w:szCs w:val="22"/>
          <w:lang w:val="hr-HR"/>
        </w:rPr>
      </w:pPr>
    </w:p>
    <w:p w:rsidR="006F7B6C" w:rsidRPr="006F7B6C" w:rsidRDefault="006F7B6C" w:rsidP="006F7B6C">
      <w:pPr>
        <w:pStyle w:val="Heading1"/>
        <w:rPr>
          <w:rFonts w:cs="Arial"/>
          <w:lang w:val="hr-HR"/>
        </w:rPr>
      </w:pPr>
      <w:bookmarkStart w:id="312" w:name="_Toc386567271"/>
      <w:bookmarkStart w:id="313" w:name="_Toc386619663"/>
      <w:r w:rsidRPr="006F7B6C">
        <w:rPr>
          <w:rFonts w:cs="Arial"/>
          <w:lang w:val="hr-HR"/>
        </w:rPr>
        <w:t>SUMMARY</w:t>
      </w:r>
      <w:bookmarkEnd w:id="312"/>
      <w:bookmarkEnd w:id="313"/>
    </w:p>
    <w:p w:rsidR="006F7B6C" w:rsidRDefault="006F7B6C" w:rsidP="00977047">
      <w:pPr>
        <w:spacing w:line="360" w:lineRule="auto"/>
        <w:rPr>
          <w:rFonts w:cs="Arial"/>
          <w:szCs w:val="22"/>
          <w:lang w:val="hr-HR"/>
        </w:rPr>
      </w:pPr>
    </w:p>
    <w:p w:rsidR="006F7B6C" w:rsidRDefault="004D5465" w:rsidP="000A347D">
      <w:pPr>
        <w:spacing w:line="360" w:lineRule="auto"/>
        <w:jc w:val="both"/>
        <w:rPr>
          <w:rFonts w:cs="Arial"/>
          <w:szCs w:val="22"/>
          <w:lang w:val="hr-HR"/>
        </w:rPr>
      </w:pPr>
      <w:r>
        <w:rPr>
          <w:rFonts w:cs="Arial"/>
          <w:szCs w:val="22"/>
          <w:lang w:val="hr-HR"/>
        </w:rPr>
        <w:t>Even</w:t>
      </w:r>
      <w:r w:rsidR="003D1D06">
        <w:rPr>
          <w:rFonts w:cs="Arial"/>
          <w:szCs w:val="22"/>
          <w:lang w:val="hr-HR"/>
        </w:rPr>
        <w:t xml:space="preserve"> </w:t>
      </w:r>
      <w:r w:rsidR="002C6AEB">
        <w:rPr>
          <w:rFonts w:cs="Arial"/>
          <w:szCs w:val="22"/>
          <w:lang w:val="hr-HR"/>
        </w:rPr>
        <w:t>though there is no definition of</w:t>
      </w:r>
      <w:r>
        <w:rPr>
          <w:rFonts w:cs="Arial"/>
          <w:szCs w:val="22"/>
          <w:lang w:val="hr-HR"/>
        </w:rPr>
        <w:t xml:space="preserve"> the hate speech, </w:t>
      </w:r>
      <w:r w:rsidR="0020677D">
        <w:rPr>
          <w:rFonts w:cs="Arial"/>
          <w:szCs w:val="22"/>
          <w:lang w:val="hr-HR"/>
        </w:rPr>
        <w:t xml:space="preserve">the </w:t>
      </w:r>
      <w:r>
        <w:rPr>
          <w:rFonts w:cs="Arial"/>
          <w:szCs w:val="22"/>
          <w:lang w:val="hr-HR"/>
        </w:rPr>
        <w:t xml:space="preserve">majority can easily recognize one. Hate speech is a </w:t>
      </w:r>
      <w:r w:rsidR="003D1D06">
        <w:rPr>
          <w:rFonts w:cs="Arial"/>
          <w:szCs w:val="22"/>
          <w:lang w:val="hr-HR"/>
        </w:rPr>
        <w:t>materialization</w:t>
      </w:r>
      <w:r>
        <w:rPr>
          <w:rFonts w:cs="Arial"/>
          <w:szCs w:val="22"/>
          <w:lang w:val="hr-HR"/>
        </w:rPr>
        <w:t xml:space="preserve"> of the idea of discrimination and therefore it is necessary to draw a line between the freedom of expression and the right not to be discriminated against. </w:t>
      </w:r>
      <w:r w:rsidR="00E55624">
        <w:rPr>
          <w:rFonts w:cs="Arial"/>
          <w:szCs w:val="22"/>
          <w:lang w:val="hr-HR"/>
        </w:rPr>
        <w:t>Unfortunatel</w:t>
      </w:r>
      <w:r w:rsidR="006739F0">
        <w:rPr>
          <w:rFonts w:cs="Arial"/>
          <w:szCs w:val="22"/>
          <w:lang w:val="hr-HR"/>
        </w:rPr>
        <w:t>y</w:t>
      </w:r>
      <w:r w:rsidR="00BD7989">
        <w:rPr>
          <w:rFonts w:cs="Arial"/>
          <w:szCs w:val="22"/>
          <w:lang w:val="hr-HR"/>
        </w:rPr>
        <w:t xml:space="preserve">, </w:t>
      </w:r>
      <w:r w:rsidR="006739F0">
        <w:rPr>
          <w:rFonts w:cs="Arial"/>
          <w:szCs w:val="22"/>
          <w:lang w:val="hr-HR"/>
        </w:rPr>
        <w:t xml:space="preserve">legal sources are still </w:t>
      </w:r>
      <w:r w:rsidR="006739F0" w:rsidRPr="006739F0">
        <w:rPr>
          <w:rFonts w:cs="Arial"/>
          <w:szCs w:val="22"/>
          <w:lang w:val="hr-HR"/>
        </w:rPr>
        <w:t>scattered</w:t>
      </w:r>
      <w:r w:rsidR="006739F0">
        <w:rPr>
          <w:rFonts w:cs="Arial"/>
          <w:szCs w:val="22"/>
          <w:lang w:val="hr-HR"/>
        </w:rPr>
        <w:t xml:space="preserve">, </w:t>
      </w:r>
      <w:r w:rsidR="00655E2F">
        <w:rPr>
          <w:rFonts w:cs="Arial"/>
          <w:szCs w:val="22"/>
          <w:lang w:val="hr-HR"/>
        </w:rPr>
        <w:t xml:space="preserve">national legislation is insufficiently </w:t>
      </w:r>
      <w:r w:rsidR="00BD7989">
        <w:rPr>
          <w:rFonts w:cs="Arial"/>
          <w:szCs w:val="22"/>
          <w:lang w:val="hr-HR"/>
        </w:rPr>
        <w:t>regulated and the case law of foreig</w:t>
      </w:r>
      <w:r w:rsidR="002333B7">
        <w:rPr>
          <w:rFonts w:cs="Arial"/>
          <w:szCs w:val="22"/>
          <w:lang w:val="hr-HR"/>
        </w:rPr>
        <w:t>n and national courts is scarce</w:t>
      </w:r>
      <w:r w:rsidR="006739F0">
        <w:rPr>
          <w:rFonts w:cs="Arial"/>
          <w:szCs w:val="22"/>
          <w:lang w:val="hr-HR"/>
        </w:rPr>
        <w:t xml:space="preserve">. Analysing global, regional and national legal </w:t>
      </w:r>
      <w:r w:rsidR="003D1D06">
        <w:rPr>
          <w:rFonts w:cs="Arial"/>
          <w:szCs w:val="22"/>
          <w:lang w:val="hr-HR"/>
        </w:rPr>
        <w:t>sourc</w:t>
      </w:r>
      <w:r w:rsidR="006739F0">
        <w:rPr>
          <w:rFonts w:cs="Arial"/>
          <w:szCs w:val="22"/>
          <w:lang w:val="hr-HR"/>
        </w:rPr>
        <w:t>es as well as case law, and</w:t>
      </w:r>
      <w:r w:rsidR="00BD7989">
        <w:rPr>
          <w:rFonts w:cs="Arial"/>
          <w:szCs w:val="22"/>
          <w:lang w:val="hr-HR"/>
        </w:rPr>
        <w:t xml:space="preserve"> </w:t>
      </w:r>
      <w:r w:rsidR="001D0725">
        <w:rPr>
          <w:rFonts w:cs="Arial"/>
          <w:szCs w:val="22"/>
          <w:lang w:val="hr-HR"/>
        </w:rPr>
        <w:t>by detecting certain principles and patter</w:t>
      </w:r>
      <w:r w:rsidR="00E55624">
        <w:rPr>
          <w:rFonts w:cs="Arial"/>
          <w:szCs w:val="22"/>
          <w:lang w:val="hr-HR"/>
        </w:rPr>
        <w:t>n</w:t>
      </w:r>
      <w:r w:rsidR="001D0725">
        <w:rPr>
          <w:rFonts w:cs="Arial"/>
          <w:szCs w:val="22"/>
          <w:lang w:val="hr-HR"/>
        </w:rPr>
        <w:t>s, we will try to</w:t>
      </w:r>
      <w:r w:rsidR="003B177D">
        <w:rPr>
          <w:rFonts w:cs="Arial"/>
          <w:szCs w:val="22"/>
          <w:lang w:val="hr-HR"/>
        </w:rPr>
        <w:t xml:space="preserve"> provide answ</w:t>
      </w:r>
      <w:r w:rsidR="002F11EA">
        <w:rPr>
          <w:rFonts w:cs="Arial"/>
          <w:szCs w:val="22"/>
          <w:lang w:val="hr-HR"/>
        </w:rPr>
        <w:t>er</w:t>
      </w:r>
      <w:r w:rsidR="001D0725">
        <w:rPr>
          <w:rFonts w:cs="Arial"/>
          <w:szCs w:val="22"/>
          <w:lang w:val="hr-HR"/>
        </w:rPr>
        <w:t xml:space="preserve">s on the </w:t>
      </w:r>
      <w:r w:rsidR="006739F0">
        <w:rPr>
          <w:rFonts w:cs="Arial"/>
          <w:szCs w:val="22"/>
          <w:lang w:val="hr-HR"/>
        </w:rPr>
        <w:t>i</w:t>
      </w:r>
      <w:r w:rsidR="00655E2F">
        <w:rPr>
          <w:rFonts w:cs="Arial"/>
          <w:szCs w:val="22"/>
          <w:lang w:val="hr-HR"/>
        </w:rPr>
        <w:t>ssues of balancing of conflicting</w:t>
      </w:r>
      <w:r w:rsidR="006739F0">
        <w:rPr>
          <w:rFonts w:cs="Arial"/>
          <w:szCs w:val="22"/>
          <w:lang w:val="hr-HR"/>
        </w:rPr>
        <w:t xml:space="preserve"> human rights, </w:t>
      </w:r>
      <w:r w:rsidR="001D0725">
        <w:rPr>
          <w:rFonts w:cs="Arial"/>
          <w:szCs w:val="22"/>
          <w:lang w:val="hr-HR"/>
        </w:rPr>
        <w:t xml:space="preserve">subjects responsible for the online hate speech, sorts of liability and the issue of jurisdiction determination. </w:t>
      </w:r>
    </w:p>
    <w:p w:rsidR="006F7B6C" w:rsidRDefault="006F7B6C" w:rsidP="007E34B5">
      <w:pPr>
        <w:spacing w:line="360" w:lineRule="auto"/>
        <w:jc w:val="both"/>
        <w:rPr>
          <w:rFonts w:cs="Arial"/>
          <w:szCs w:val="22"/>
          <w:lang w:val="hr-HR"/>
        </w:rPr>
      </w:pPr>
    </w:p>
    <w:p w:rsidR="006F7B6C" w:rsidRDefault="006F7B6C" w:rsidP="007E34B5">
      <w:pPr>
        <w:spacing w:line="360" w:lineRule="auto"/>
        <w:jc w:val="both"/>
        <w:rPr>
          <w:rFonts w:cs="Arial"/>
          <w:szCs w:val="22"/>
          <w:lang w:val="hr-HR"/>
        </w:rPr>
      </w:pPr>
    </w:p>
    <w:p w:rsidR="006F7B6C" w:rsidRDefault="006F7B6C" w:rsidP="007E34B5">
      <w:pPr>
        <w:spacing w:line="360" w:lineRule="auto"/>
        <w:jc w:val="both"/>
        <w:rPr>
          <w:rFonts w:cs="Arial"/>
          <w:szCs w:val="22"/>
          <w:lang w:val="hr-HR"/>
        </w:rPr>
      </w:pPr>
      <w:r>
        <w:rPr>
          <w:rFonts w:cs="Arial"/>
          <w:szCs w:val="22"/>
          <w:lang w:val="hr-HR"/>
        </w:rPr>
        <w:t xml:space="preserve">Key words: online hate speech, freedom of expression, right not to be discriminated against, </w:t>
      </w:r>
      <w:r w:rsidR="00710BBB">
        <w:rPr>
          <w:rFonts w:cs="Arial"/>
          <w:szCs w:val="22"/>
          <w:lang w:val="hr-HR"/>
        </w:rPr>
        <w:t xml:space="preserve">human rights protection, </w:t>
      </w:r>
      <w:r>
        <w:rPr>
          <w:rFonts w:cs="Arial"/>
          <w:szCs w:val="22"/>
          <w:lang w:val="hr-HR"/>
        </w:rPr>
        <w:t>intermediary liability</w:t>
      </w:r>
      <w:r w:rsidR="00710BBB">
        <w:rPr>
          <w:rFonts w:cs="Arial"/>
          <w:szCs w:val="22"/>
          <w:lang w:val="hr-HR"/>
        </w:rPr>
        <w:t xml:space="preserve">, criminal liability, jurisdiction. </w:t>
      </w:r>
    </w:p>
    <w:sectPr w:rsidR="006F7B6C" w:rsidSect="00DA7F30">
      <w:footerReference w:type="default" r:id="rId59"/>
      <w:pgSz w:w="11906" w:h="16838"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AF0" w:rsidRDefault="00C83AF0" w:rsidP="00022011">
      <w:r>
        <w:separator/>
      </w:r>
    </w:p>
  </w:endnote>
  <w:endnote w:type="continuationSeparator" w:id="0">
    <w:p w:rsidR="00C83AF0" w:rsidRDefault="00C83AF0" w:rsidP="0002201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B6C" w:rsidRDefault="00761B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B6C" w:rsidRPr="00911815" w:rsidRDefault="00761B6C">
    <w:pPr>
      <w:pStyle w:val="Footer"/>
      <w:jc w:val="right"/>
      <w:rPr>
        <w:rFonts w:cs="Arial"/>
        <w:szCs w:val="22"/>
      </w:rPr>
    </w:pPr>
  </w:p>
  <w:p w:rsidR="00761B6C" w:rsidRPr="00911815" w:rsidRDefault="00761B6C" w:rsidP="006E2922">
    <w:pPr>
      <w:pStyle w:val="Footer"/>
      <w:rPr>
        <w:rFonts w:cs="Arial"/>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Arial"/>
        <w:szCs w:val="22"/>
      </w:rPr>
      <w:id w:val="7436272"/>
      <w:docPartObj>
        <w:docPartGallery w:val="Page Numbers (Bottom of Page)"/>
        <w:docPartUnique/>
      </w:docPartObj>
    </w:sdtPr>
    <w:sdtContent>
      <w:p w:rsidR="00761B6C" w:rsidRPr="00911815" w:rsidRDefault="00B079FB">
        <w:pPr>
          <w:pStyle w:val="Footer"/>
          <w:jc w:val="right"/>
          <w:rPr>
            <w:rFonts w:cs="Arial"/>
            <w:szCs w:val="22"/>
          </w:rPr>
        </w:pPr>
        <w:r w:rsidRPr="006C0634">
          <w:rPr>
            <w:rFonts w:cs="Arial"/>
            <w:szCs w:val="22"/>
          </w:rPr>
          <w:fldChar w:fldCharType="begin"/>
        </w:r>
        <w:r w:rsidR="00761B6C" w:rsidRPr="006C0634">
          <w:rPr>
            <w:rFonts w:cs="Arial"/>
            <w:szCs w:val="22"/>
          </w:rPr>
          <w:instrText xml:space="preserve"> PAGE   \* MERGEFORMAT </w:instrText>
        </w:r>
        <w:r w:rsidRPr="006C0634">
          <w:rPr>
            <w:rFonts w:cs="Arial"/>
            <w:szCs w:val="22"/>
          </w:rPr>
          <w:fldChar w:fldCharType="separate"/>
        </w:r>
        <w:r w:rsidR="0085665F">
          <w:rPr>
            <w:rFonts w:cs="Arial"/>
            <w:noProof/>
            <w:szCs w:val="22"/>
          </w:rPr>
          <w:t>16</w:t>
        </w:r>
        <w:r w:rsidRPr="006C0634">
          <w:rPr>
            <w:rFonts w:cs="Arial"/>
            <w:noProof/>
            <w:szCs w:val="22"/>
          </w:rPr>
          <w:fldChar w:fldCharType="end"/>
        </w:r>
      </w:p>
    </w:sdtContent>
  </w:sdt>
  <w:p w:rsidR="00761B6C" w:rsidRDefault="00761B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AF0" w:rsidRDefault="00C83AF0" w:rsidP="00022011">
      <w:r>
        <w:separator/>
      </w:r>
    </w:p>
  </w:footnote>
  <w:footnote w:type="continuationSeparator" w:id="0">
    <w:p w:rsidR="00C83AF0" w:rsidRDefault="00C83AF0" w:rsidP="00022011">
      <w:r>
        <w:continuationSeparator/>
      </w:r>
    </w:p>
  </w:footnote>
  <w:footnote w:id="1">
    <w:p w:rsidR="00761B6C" w:rsidRPr="008F0DC9" w:rsidRDefault="00761B6C" w:rsidP="00DA0BC8">
      <w:pPr>
        <w:pStyle w:val="FootnoteText"/>
        <w:spacing w:line="360" w:lineRule="auto"/>
        <w:rPr>
          <w:lang w:val="hr-HR"/>
        </w:rPr>
      </w:pPr>
      <w:r>
        <w:rPr>
          <w:rStyle w:val="FootnoteReference"/>
        </w:rPr>
        <w:footnoteRef/>
      </w:r>
      <w:r>
        <w:t xml:space="preserve"> </w:t>
      </w:r>
      <w:r w:rsidRPr="008F0DC9">
        <w:t xml:space="preserve">Opća deklaracija o ljudskim pravima, usvojena i proklamirana rezolucijom Generalne skupštine Ujedinjenih naroda 217A (III) </w:t>
      </w:r>
      <w:proofErr w:type="gramStart"/>
      <w:r w:rsidRPr="008F0DC9">
        <w:t>od</w:t>
      </w:r>
      <w:proofErr w:type="gramEnd"/>
      <w:r w:rsidRPr="008F0DC9">
        <w:t xml:space="preserve"> 10. </w:t>
      </w:r>
      <w:proofErr w:type="gramStart"/>
      <w:r w:rsidRPr="008F0DC9">
        <w:t>prosinca</w:t>
      </w:r>
      <w:proofErr w:type="gramEnd"/>
      <w:r w:rsidRPr="008F0DC9">
        <w:t xml:space="preserve"> 1948., ratificirana Sl. l. br. 7/1971., tekst deklaracije dostupan je na: http:</w:t>
      </w:r>
      <w:r>
        <w:t>//www.un.org/en/documents/udhr/</w:t>
      </w:r>
      <w:r w:rsidRPr="008F0DC9">
        <w:t xml:space="preserve">, pristupljeno 24. </w:t>
      </w:r>
      <w:proofErr w:type="gramStart"/>
      <w:r w:rsidRPr="008F0DC9">
        <w:t>travnja</w:t>
      </w:r>
      <w:proofErr w:type="gramEnd"/>
      <w:r w:rsidRPr="008F0DC9">
        <w:t xml:space="preserve"> 2014.</w:t>
      </w:r>
    </w:p>
  </w:footnote>
  <w:footnote w:id="2">
    <w:p w:rsidR="00761B6C" w:rsidRPr="00D6416E" w:rsidRDefault="00761B6C" w:rsidP="00DA0BC8">
      <w:pPr>
        <w:pStyle w:val="FootnoteText"/>
        <w:spacing w:line="360" w:lineRule="auto"/>
        <w:rPr>
          <w:lang w:val="hr-HR"/>
        </w:rPr>
      </w:pPr>
      <w:r>
        <w:rPr>
          <w:rStyle w:val="FootnoteReference"/>
        </w:rPr>
        <w:footnoteRef/>
      </w:r>
      <w:r w:rsidRPr="00D6416E">
        <w:rPr>
          <w:lang w:val="hr-HR"/>
        </w:rPr>
        <w:t xml:space="preserve"> </w:t>
      </w:r>
      <w:proofErr w:type="gramStart"/>
      <w:r>
        <w:t>Zabrana</w:t>
      </w:r>
      <w:r w:rsidRPr="00D6416E">
        <w:rPr>
          <w:lang w:val="hr-HR"/>
        </w:rPr>
        <w:t xml:space="preserve"> </w:t>
      </w:r>
      <w:r>
        <w:t>diskriminacije</w:t>
      </w:r>
      <w:r w:rsidRPr="00D6416E">
        <w:rPr>
          <w:lang w:val="hr-HR"/>
        </w:rPr>
        <w:t xml:space="preserve"> </w:t>
      </w:r>
      <w:r>
        <w:t>u</w:t>
      </w:r>
      <w:r w:rsidRPr="00D6416E">
        <w:rPr>
          <w:lang w:val="hr-HR"/>
        </w:rPr>
        <w:t xml:space="preserve"> </w:t>
      </w:r>
      <w:r>
        <w:t>skladu</w:t>
      </w:r>
      <w:r w:rsidRPr="00D6416E">
        <w:rPr>
          <w:lang w:val="hr-HR"/>
        </w:rPr>
        <w:t xml:space="preserve"> </w:t>
      </w:r>
      <w:r>
        <w:t>s</w:t>
      </w:r>
      <w:r w:rsidRPr="00D6416E">
        <w:rPr>
          <w:lang w:val="hr-HR"/>
        </w:rPr>
        <w:t xml:space="preserve"> </w:t>
      </w:r>
      <w:r>
        <w:t>Europskom</w:t>
      </w:r>
      <w:r w:rsidRPr="00D6416E">
        <w:rPr>
          <w:lang w:val="hr-HR"/>
        </w:rPr>
        <w:t xml:space="preserve"> </w:t>
      </w:r>
      <w:r>
        <w:t>konvencijom</w:t>
      </w:r>
      <w:r w:rsidRPr="00D6416E">
        <w:rPr>
          <w:lang w:val="hr-HR"/>
        </w:rPr>
        <w:t xml:space="preserve"> </w:t>
      </w:r>
      <w:r>
        <w:t>o</w:t>
      </w:r>
      <w:r w:rsidRPr="00D6416E">
        <w:rPr>
          <w:lang w:val="hr-HR"/>
        </w:rPr>
        <w:t xml:space="preserve"> </w:t>
      </w:r>
      <w:r>
        <w:t>ljudskim</w:t>
      </w:r>
      <w:r w:rsidRPr="00D6416E">
        <w:rPr>
          <w:lang w:val="hr-HR"/>
        </w:rPr>
        <w:t xml:space="preserve"> </w:t>
      </w:r>
      <w:r>
        <w:t>pravima</w:t>
      </w:r>
      <w:r w:rsidRPr="00D6416E">
        <w:rPr>
          <w:lang w:val="hr-HR"/>
        </w:rPr>
        <w:t xml:space="preserve"> (č</w:t>
      </w:r>
      <w:r>
        <w:t>lanak</w:t>
      </w:r>
      <w:r w:rsidRPr="00D6416E">
        <w:rPr>
          <w:lang w:val="hr-HR"/>
        </w:rPr>
        <w:t xml:space="preserve"> 14.)</w:t>
      </w:r>
      <w:proofErr w:type="gramEnd"/>
      <w:r w:rsidRPr="00D6416E">
        <w:rPr>
          <w:lang w:val="hr-HR"/>
        </w:rPr>
        <w:t xml:space="preserve"> - </w:t>
      </w:r>
      <w:r>
        <w:t>Priru</w:t>
      </w:r>
      <w:r w:rsidRPr="00D6416E">
        <w:rPr>
          <w:lang w:val="hr-HR"/>
        </w:rPr>
        <w:t>č</w:t>
      </w:r>
      <w:r>
        <w:t>nik</w:t>
      </w:r>
      <w:r w:rsidRPr="00D6416E">
        <w:rPr>
          <w:lang w:val="hr-HR"/>
        </w:rPr>
        <w:t xml:space="preserve"> </w:t>
      </w:r>
      <w:r>
        <w:t>za</w:t>
      </w:r>
      <w:r w:rsidRPr="00D6416E">
        <w:rPr>
          <w:lang w:val="hr-HR"/>
        </w:rPr>
        <w:t xml:space="preserve"> </w:t>
      </w:r>
      <w:r>
        <w:t>odvjetnike</w:t>
      </w:r>
      <w:r w:rsidRPr="00D6416E">
        <w:rPr>
          <w:lang w:val="hr-HR"/>
        </w:rPr>
        <w:t xml:space="preserve">, </w:t>
      </w:r>
      <w:r>
        <w:t>Interights</w:t>
      </w:r>
      <w:r w:rsidRPr="00D6416E">
        <w:rPr>
          <w:lang w:val="hr-HR"/>
        </w:rPr>
        <w:t xml:space="preserve">, 2006., </w:t>
      </w:r>
      <w:proofErr w:type="gramStart"/>
      <w:r>
        <w:t>str</w:t>
      </w:r>
      <w:r w:rsidRPr="00D6416E">
        <w:rPr>
          <w:lang w:val="hr-HR"/>
        </w:rPr>
        <w:t>. 5.</w:t>
      </w:r>
      <w:proofErr w:type="gramEnd"/>
    </w:p>
  </w:footnote>
  <w:footnote w:id="3">
    <w:p w:rsidR="00761B6C" w:rsidRPr="00C3637F" w:rsidRDefault="00761B6C">
      <w:pPr>
        <w:pStyle w:val="FootnoteText"/>
        <w:rPr>
          <w:lang w:val="hr-HR"/>
        </w:rPr>
      </w:pPr>
      <w:r>
        <w:rPr>
          <w:rStyle w:val="FootnoteReference"/>
        </w:rPr>
        <w:footnoteRef/>
      </w:r>
      <w:r>
        <w:t xml:space="preserve"> </w:t>
      </w:r>
      <w:r w:rsidRPr="00C3637F">
        <w:rPr>
          <w:i/>
          <w:lang w:val="hr-HR"/>
        </w:rPr>
        <w:t>Erbakan protiv Turske</w:t>
      </w:r>
      <w:r>
        <w:rPr>
          <w:lang w:val="hr-HR"/>
        </w:rPr>
        <w:t>, zahtjev broj 59405/00, presuda od 6. srpnja 2006.,</w:t>
      </w:r>
      <w:r w:rsidRPr="00FA6ED9">
        <w:rPr>
          <w:lang w:val="hr-HR"/>
        </w:rPr>
        <w:t xml:space="preserve"> </w:t>
      </w:r>
      <w:r>
        <w:rPr>
          <w:lang w:val="hr-HR"/>
        </w:rPr>
        <w:t>paragraf 56.</w:t>
      </w:r>
    </w:p>
  </w:footnote>
  <w:footnote w:id="4">
    <w:p w:rsidR="00761B6C" w:rsidRPr="00CA73E2" w:rsidRDefault="00761B6C" w:rsidP="00DA0BC8">
      <w:pPr>
        <w:pStyle w:val="FootnoteText"/>
        <w:spacing w:line="360" w:lineRule="auto"/>
        <w:rPr>
          <w:lang w:val="hr-HR"/>
        </w:rPr>
      </w:pPr>
      <w:r w:rsidRPr="00CA73E2">
        <w:rPr>
          <w:rStyle w:val="FootnoteReference"/>
          <w:rFonts w:cs="Arial"/>
        </w:rPr>
        <w:footnoteRef/>
      </w:r>
      <w:r w:rsidRPr="00D6416E">
        <w:rPr>
          <w:lang w:val="hr-HR"/>
        </w:rPr>
        <w:t xml:space="preserve"> </w:t>
      </w:r>
      <w:r w:rsidRPr="00CA73E2">
        <w:rPr>
          <w:rFonts w:cs="Arial"/>
          <w:lang w:val="hr-HR"/>
        </w:rPr>
        <w:t xml:space="preserve">Kregar, Josip; Pravno javnosti je reći, str. 3., dostupno na: </w:t>
      </w:r>
      <w:hyperlink r:id="rId1" w:history="1">
        <w:r w:rsidRPr="002B673D">
          <w:rPr>
            <w:rFonts w:cs="Arial"/>
            <w:lang w:val="hr-HR"/>
          </w:rPr>
          <w:t>http://www.pravo.unizg.hr/_download/repository/Kregar_Pravo_javnosti_je_reci.doc</w:t>
        </w:r>
      </w:hyperlink>
      <w:r w:rsidRPr="002B673D">
        <w:rPr>
          <w:rFonts w:cs="Arial"/>
          <w:lang w:val="hr-HR"/>
        </w:rPr>
        <w:t>, pristupljeno 16. ožujka 2014.</w:t>
      </w:r>
      <w:r w:rsidRPr="00D6416E">
        <w:rPr>
          <w:lang w:val="hr-HR"/>
        </w:rPr>
        <w:t xml:space="preserve"> </w:t>
      </w:r>
    </w:p>
  </w:footnote>
  <w:footnote w:id="5">
    <w:p w:rsidR="00761B6C" w:rsidRPr="00C6269B" w:rsidRDefault="00761B6C" w:rsidP="00DA0BC8">
      <w:pPr>
        <w:spacing w:line="360" w:lineRule="auto"/>
        <w:rPr>
          <w:rFonts w:cs="Arial"/>
          <w:sz w:val="18"/>
          <w:szCs w:val="18"/>
          <w:lang w:val="hr-HR"/>
        </w:rPr>
      </w:pPr>
      <w:r w:rsidRPr="00C6269B">
        <w:rPr>
          <w:rStyle w:val="FootnoteReference"/>
          <w:rFonts w:cs="Arial"/>
        </w:rPr>
        <w:footnoteRef/>
      </w:r>
      <w:r w:rsidRPr="00C6269B">
        <w:rPr>
          <w:rFonts w:cs="Arial"/>
          <w:sz w:val="18"/>
          <w:szCs w:val="18"/>
          <w:vertAlign w:val="superscript"/>
          <w:lang w:val="hr-HR"/>
        </w:rPr>
        <w:t xml:space="preserve"> </w:t>
      </w:r>
      <w:r w:rsidRPr="00F04F35">
        <w:rPr>
          <w:rFonts w:cs="Arial"/>
          <w:sz w:val="20"/>
          <w:szCs w:val="20"/>
          <w:lang w:val="hr-HR"/>
        </w:rPr>
        <w:t xml:space="preserve">Europska konvencija o zaštiti ljudskih prava i temeljnih sloboda (NN </w:t>
      </w:r>
      <w:r>
        <w:rPr>
          <w:rFonts w:cs="Arial"/>
          <w:sz w:val="20"/>
          <w:szCs w:val="20"/>
          <w:lang w:val="hr-HR"/>
        </w:rPr>
        <w:t xml:space="preserve">- </w:t>
      </w:r>
      <w:r w:rsidRPr="00F04F35">
        <w:rPr>
          <w:rFonts w:cs="Arial"/>
          <w:sz w:val="20"/>
          <w:szCs w:val="20"/>
          <w:lang w:val="hr-HR"/>
        </w:rPr>
        <w:t>MU18/97, 6/99, 14/02, 13/03, 9/05, 1/06, 2/10)</w:t>
      </w:r>
      <w:r>
        <w:rPr>
          <w:rFonts w:cs="Arial"/>
          <w:sz w:val="20"/>
          <w:szCs w:val="20"/>
          <w:lang w:val="hr-HR"/>
        </w:rPr>
        <w:t>.</w:t>
      </w:r>
    </w:p>
  </w:footnote>
  <w:footnote w:id="6">
    <w:p w:rsidR="00761B6C" w:rsidRPr="0092007F" w:rsidRDefault="00761B6C" w:rsidP="0092007F">
      <w:pPr>
        <w:pStyle w:val="FootnoteText"/>
        <w:spacing w:line="360" w:lineRule="auto"/>
        <w:rPr>
          <w:lang w:val="hr-HR"/>
        </w:rPr>
      </w:pPr>
      <w:r>
        <w:rPr>
          <w:rStyle w:val="FootnoteReference"/>
        </w:rPr>
        <w:footnoteRef/>
      </w:r>
      <w:r>
        <w:t xml:space="preserve"> </w:t>
      </w:r>
      <w:r w:rsidRPr="0092007F">
        <w:rPr>
          <w:lang w:val="hr-HR"/>
        </w:rPr>
        <w:t>Izvješće pučke pravobraniteljice za 2013., str. 122., dostupno na: http://www.ombudsman.hr/dodaci/Izvje%C5%A1%C4%87e%20pu%C4%8Dke%20pravobraniteljice%20%20za%202013..pdf, pristupljeno 5. travnja 2014.</w:t>
      </w:r>
    </w:p>
  </w:footnote>
  <w:footnote w:id="7">
    <w:p w:rsidR="00761B6C" w:rsidRPr="00870891" w:rsidRDefault="00761B6C" w:rsidP="00870891">
      <w:pPr>
        <w:spacing w:line="360" w:lineRule="auto"/>
        <w:rPr>
          <w:rFonts w:cs="Arial"/>
          <w:sz w:val="20"/>
          <w:szCs w:val="20"/>
          <w:lang w:val="hr-HR"/>
        </w:rPr>
      </w:pPr>
      <w:r w:rsidRPr="00870891">
        <w:rPr>
          <w:rFonts w:cs="Arial"/>
          <w:sz w:val="20"/>
          <w:szCs w:val="20"/>
          <w:vertAlign w:val="superscript"/>
          <w:lang w:val="hr-HR"/>
        </w:rPr>
        <w:footnoteRef/>
      </w:r>
      <w:r w:rsidRPr="00870891">
        <w:rPr>
          <w:rFonts w:cs="Arial"/>
          <w:sz w:val="20"/>
          <w:szCs w:val="20"/>
          <w:lang w:val="hr-HR"/>
        </w:rPr>
        <w:t xml:space="preserve"> P</w:t>
      </w:r>
      <w:r>
        <w:rPr>
          <w:rFonts w:cs="Arial"/>
          <w:sz w:val="20"/>
          <w:szCs w:val="20"/>
          <w:lang w:val="hr-HR"/>
        </w:rPr>
        <w:t xml:space="preserve">rema: Gisbert, Rafael Bustos;  </w:t>
      </w:r>
      <w:r w:rsidRPr="00870891">
        <w:rPr>
          <w:rFonts w:cs="Arial"/>
          <w:sz w:val="20"/>
          <w:szCs w:val="20"/>
          <w:lang w:val="hr-HR"/>
        </w:rPr>
        <w:t>The Right to Freedom of Expression in a Democr</w:t>
      </w:r>
      <w:r>
        <w:rPr>
          <w:rFonts w:cs="Arial"/>
          <w:sz w:val="20"/>
          <w:szCs w:val="20"/>
          <w:lang w:val="hr-HR"/>
        </w:rPr>
        <w:t>atic Society (Art. 10 ECHR), u</w:t>
      </w:r>
      <w:r w:rsidRPr="00870891">
        <w:rPr>
          <w:rFonts w:cs="Arial"/>
          <w:sz w:val="20"/>
          <w:szCs w:val="20"/>
          <w:lang w:val="hr-HR"/>
        </w:rPr>
        <w:t>: Garcia Roca,Santolaya (ur.), Europe of Rights: A Compendium on the European Convention of Human Rights, str. 372.</w:t>
      </w:r>
    </w:p>
  </w:footnote>
  <w:footnote w:id="8">
    <w:p w:rsidR="00761B6C" w:rsidRPr="00870891" w:rsidRDefault="00761B6C" w:rsidP="00870891">
      <w:pPr>
        <w:pStyle w:val="FootnoteText"/>
        <w:spacing w:line="360" w:lineRule="auto"/>
        <w:rPr>
          <w:rFonts w:cs="Arial"/>
          <w:lang w:val="hr-HR"/>
        </w:rPr>
      </w:pPr>
      <w:r w:rsidRPr="00870891">
        <w:rPr>
          <w:rFonts w:cs="Arial"/>
          <w:vertAlign w:val="superscript"/>
          <w:lang w:val="hr-HR"/>
        </w:rPr>
        <w:footnoteRef/>
      </w:r>
      <w:r w:rsidRPr="00870891">
        <w:rPr>
          <w:rFonts w:cs="Arial"/>
          <w:lang w:val="hr-HR"/>
        </w:rPr>
        <w:t xml:space="preserve"> </w:t>
      </w:r>
      <w:r w:rsidRPr="009613F4">
        <w:rPr>
          <w:rFonts w:cs="Arial"/>
          <w:i/>
          <w:lang w:val="hr-HR"/>
        </w:rPr>
        <w:t>Handyside protiv Ujedinjenog Kraljevstva</w:t>
      </w:r>
      <w:r w:rsidRPr="00870891">
        <w:rPr>
          <w:rFonts w:cs="Arial"/>
          <w:lang w:val="hr-HR"/>
        </w:rPr>
        <w:t xml:space="preserve">, </w:t>
      </w:r>
      <w:r>
        <w:rPr>
          <w:rFonts w:cs="Arial"/>
          <w:lang w:val="hr-HR"/>
        </w:rPr>
        <w:t xml:space="preserve">zahtjev broj </w:t>
      </w:r>
      <w:r w:rsidRPr="00870891">
        <w:rPr>
          <w:rFonts w:cs="Arial"/>
          <w:lang w:val="hr-HR"/>
        </w:rPr>
        <w:t xml:space="preserve"> 5493/72, </w:t>
      </w:r>
      <w:r w:rsidRPr="00C6784F">
        <w:rPr>
          <w:rFonts w:cs="Arial"/>
          <w:lang w:val="hr-HR"/>
        </w:rPr>
        <w:t>presuda od 7</w:t>
      </w:r>
      <w:r>
        <w:rPr>
          <w:rFonts w:cs="Arial"/>
          <w:lang w:val="hr-HR"/>
        </w:rPr>
        <w:t>.</w:t>
      </w:r>
      <w:r w:rsidRPr="00C6784F">
        <w:rPr>
          <w:rFonts w:cs="Arial"/>
          <w:lang w:val="hr-HR"/>
        </w:rPr>
        <w:t xml:space="preserve"> prosinca 1976., </w:t>
      </w:r>
      <w:r w:rsidRPr="00870891">
        <w:rPr>
          <w:rFonts w:cs="Arial"/>
          <w:lang w:val="hr-HR"/>
        </w:rPr>
        <w:t xml:space="preserve">paragraf 49, kasnije ponovljeno i u </w:t>
      </w:r>
      <w:r>
        <w:rPr>
          <w:rFonts w:cs="Arial"/>
          <w:lang w:val="hr-HR"/>
        </w:rPr>
        <w:t>O</w:t>
      </w:r>
      <w:r w:rsidRPr="009613F4">
        <w:rPr>
          <w:rFonts w:cs="Arial"/>
          <w:i/>
          <w:lang w:val="hr-HR"/>
        </w:rPr>
        <w:t>dluci o nedopuštenosti Vladimir Rujak protiv Hrvatske</w:t>
      </w:r>
      <w:r w:rsidRPr="00870891">
        <w:rPr>
          <w:rFonts w:cs="Arial"/>
          <w:lang w:val="hr-HR"/>
        </w:rPr>
        <w:t>. Odluk</w:t>
      </w:r>
      <w:r>
        <w:rPr>
          <w:rFonts w:cs="Arial"/>
          <w:lang w:val="hr-HR"/>
        </w:rPr>
        <w:t>u</w:t>
      </w:r>
      <w:r w:rsidRPr="00870891">
        <w:rPr>
          <w:rFonts w:cs="Arial"/>
          <w:lang w:val="hr-HR"/>
        </w:rPr>
        <w:t xml:space="preserve"> o nedopuštenosti </w:t>
      </w:r>
      <w:r>
        <w:rPr>
          <w:rFonts w:cs="Arial"/>
          <w:lang w:val="hr-HR"/>
        </w:rPr>
        <w:t xml:space="preserve">Sud će donijeti ako podnesak ne ispunjava materijalne (meritum ne podliježe zaštiti prema Konvenciji) ili formalne kriterije (prekršen rok, neiskorišteni pravni lijekovi, itd). Više o dopuštenosti u: Practical Guide on Admisibility Criteria, Vijeće Europe/Europski sud za ljudska prava, 2011. </w:t>
      </w:r>
      <w:r w:rsidRPr="00870891">
        <w:rPr>
          <w:rFonts w:cs="Arial"/>
          <w:lang w:val="hr-HR"/>
        </w:rPr>
        <w:t xml:space="preserve">U posljednje vrijeme takvim </w:t>
      </w:r>
      <w:r>
        <w:rPr>
          <w:rFonts w:cs="Arial"/>
          <w:lang w:val="hr-HR"/>
        </w:rPr>
        <w:t>se</w:t>
      </w:r>
      <w:r w:rsidRPr="00870891">
        <w:rPr>
          <w:rFonts w:cs="Arial"/>
          <w:lang w:val="hr-HR"/>
        </w:rPr>
        <w:t xml:space="preserve"> odlukama zamjera nedostatak pravnog objašnjenja i činjenica da su razlozi za nedopustivost, u pravilu</w:t>
      </w:r>
      <w:r>
        <w:rPr>
          <w:rFonts w:cs="Arial"/>
          <w:lang w:val="hr-HR"/>
        </w:rPr>
        <w:t>,</w:t>
      </w:r>
      <w:r w:rsidRPr="00870891">
        <w:rPr>
          <w:rFonts w:cs="Arial"/>
          <w:lang w:val="hr-HR"/>
        </w:rPr>
        <w:t xml:space="preserve"> formalne odnosno proceduralne naravi. Vidi više u: Gerards, Janneke; Inadmisibility Decisions of</w:t>
      </w:r>
      <w:r>
        <w:rPr>
          <w:rFonts w:cs="Arial"/>
          <w:lang w:val="hr-HR"/>
        </w:rPr>
        <w:t xml:space="preserve"> </w:t>
      </w:r>
      <w:r w:rsidRPr="00870891">
        <w:rPr>
          <w:rFonts w:cs="Arial"/>
          <w:lang w:val="hr-HR"/>
        </w:rPr>
        <w:t>the European Court of Human Rights: A Critique of</w:t>
      </w:r>
      <w:r>
        <w:rPr>
          <w:rFonts w:cs="Arial"/>
          <w:lang w:val="hr-HR"/>
        </w:rPr>
        <w:t xml:space="preserve"> </w:t>
      </w:r>
      <w:r w:rsidRPr="00870891">
        <w:rPr>
          <w:rFonts w:cs="Arial"/>
          <w:lang w:val="hr-HR"/>
        </w:rPr>
        <w:t xml:space="preserve">the Lack of Reasoning, in: Human Rights Law Review, 2014, str. 7. </w:t>
      </w:r>
    </w:p>
  </w:footnote>
  <w:footnote w:id="9">
    <w:p w:rsidR="00761B6C" w:rsidRPr="00870891" w:rsidRDefault="00761B6C" w:rsidP="00870891">
      <w:pPr>
        <w:pStyle w:val="FootnoteText"/>
        <w:spacing w:line="360" w:lineRule="auto"/>
        <w:rPr>
          <w:rFonts w:cs="Arial"/>
          <w:lang w:val="hr-HR"/>
        </w:rPr>
      </w:pPr>
      <w:r w:rsidRPr="00870891">
        <w:rPr>
          <w:rFonts w:cs="Arial"/>
          <w:vertAlign w:val="superscript"/>
          <w:lang w:val="hr-HR"/>
        </w:rPr>
        <w:footnoteRef/>
      </w:r>
      <w:r w:rsidRPr="00870891">
        <w:rPr>
          <w:rFonts w:cs="Arial"/>
          <w:lang w:val="hr-HR"/>
        </w:rPr>
        <w:t xml:space="preserve"> Weber, Anne; Manual on hate speech, stranica 19., dostupan na: </w:t>
      </w:r>
      <w:hyperlink r:id="rId2" w:history="1">
        <w:r w:rsidRPr="00870891">
          <w:rPr>
            <w:rFonts w:cs="Arial"/>
            <w:lang w:val="hr-HR"/>
          </w:rPr>
          <w:t>http://www.coe.int/t/dghl/standardsetting/hrpolicy/Publications/Hate_Speech_EN.pdf</w:t>
        </w:r>
      </w:hyperlink>
      <w:r w:rsidRPr="00870891">
        <w:rPr>
          <w:rFonts w:cs="Arial"/>
          <w:lang w:val="hr-HR"/>
        </w:rPr>
        <w:t>, pristupljeno 15. ožujka 2014.</w:t>
      </w:r>
      <w:r w:rsidRPr="00870891">
        <w:rPr>
          <w:rFonts w:cs="Arial"/>
        </w:rPr>
        <w:t xml:space="preserve"> </w:t>
      </w:r>
    </w:p>
  </w:footnote>
  <w:footnote w:id="10">
    <w:p w:rsidR="00761B6C" w:rsidRPr="007316F1" w:rsidRDefault="00761B6C" w:rsidP="00870891">
      <w:pPr>
        <w:pStyle w:val="FootnoteText"/>
        <w:spacing w:line="360" w:lineRule="auto"/>
        <w:rPr>
          <w:rFonts w:cs="Arial"/>
          <w:lang w:val="hr-HR"/>
        </w:rPr>
      </w:pPr>
      <w:r w:rsidRPr="00870891">
        <w:rPr>
          <w:rStyle w:val="FootnoteReference"/>
          <w:rFonts w:cs="Arial"/>
        </w:rPr>
        <w:footnoteRef/>
      </w:r>
      <w:r w:rsidRPr="007316F1">
        <w:rPr>
          <w:lang w:val="hr-HR"/>
        </w:rPr>
        <w:t xml:space="preserve"> </w:t>
      </w:r>
      <w:r w:rsidRPr="00DA0BC8">
        <w:rPr>
          <w:i/>
          <w:lang w:val="fr-FR"/>
        </w:rPr>
        <w:t>K</w:t>
      </w:r>
      <w:r w:rsidRPr="007316F1">
        <w:rPr>
          <w:i/>
          <w:lang w:val="hr-HR"/>
        </w:rPr>
        <w:t>.</w:t>
      </w:r>
      <w:r w:rsidRPr="00DA0BC8">
        <w:rPr>
          <w:i/>
          <w:lang w:val="fr-FR"/>
        </w:rPr>
        <w:t>U</w:t>
      </w:r>
      <w:r w:rsidRPr="007316F1">
        <w:rPr>
          <w:i/>
          <w:lang w:val="hr-HR"/>
        </w:rPr>
        <w:t xml:space="preserve">. </w:t>
      </w:r>
      <w:r w:rsidRPr="00DA0BC8">
        <w:rPr>
          <w:i/>
          <w:lang w:val="fr-FR"/>
        </w:rPr>
        <w:t>protiv</w:t>
      </w:r>
      <w:r w:rsidRPr="007316F1">
        <w:rPr>
          <w:i/>
          <w:lang w:val="hr-HR"/>
        </w:rPr>
        <w:t xml:space="preserve"> </w:t>
      </w:r>
      <w:r w:rsidRPr="00DA0BC8">
        <w:rPr>
          <w:i/>
          <w:lang w:val="fr-FR"/>
        </w:rPr>
        <w:t>Finske</w:t>
      </w:r>
      <w:r w:rsidRPr="007316F1">
        <w:rPr>
          <w:lang w:val="hr-HR"/>
        </w:rPr>
        <w:t xml:space="preserve">, </w:t>
      </w:r>
      <w:r>
        <w:rPr>
          <w:lang w:val="fr-FR"/>
        </w:rPr>
        <w:t>zahtjev</w:t>
      </w:r>
      <w:r w:rsidRPr="007316F1">
        <w:rPr>
          <w:lang w:val="hr-HR"/>
        </w:rPr>
        <w:t xml:space="preserve"> </w:t>
      </w:r>
      <w:r w:rsidRPr="00C6784F">
        <w:rPr>
          <w:lang w:val="hr-HR"/>
        </w:rPr>
        <w:t>broj</w:t>
      </w:r>
      <w:r w:rsidRPr="007316F1">
        <w:rPr>
          <w:lang w:val="hr-HR"/>
        </w:rPr>
        <w:t xml:space="preserve">  2872/02,</w:t>
      </w:r>
      <w:r>
        <w:rPr>
          <w:lang w:val="hr-HR"/>
        </w:rPr>
        <w:t xml:space="preserve"> </w:t>
      </w:r>
      <w:r w:rsidRPr="00C6784F">
        <w:rPr>
          <w:lang w:val="hr-HR"/>
        </w:rPr>
        <w:t>presuda od 2</w:t>
      </w:r>
      <w:r>
        <w:rPr>
          <w:lang w:val="hr-HR"/>
        </w:rPr>
        <w:t>.</w:t>
      </w:r>
      <w:r w:rsidRPr="00C6784F">
        <w:rPr>
          <w:lang w:val="hr-HR"/>
        </w:rPr>
        <w:t xml:space="preserve"> prosinca 2008.,</w:t>
      </w:r>
      <w:r w:rsidRPr="007316F1">
        <w:rPr>
          <w:lang w:val="hr-HR"/>
        </w:rPr>
        <w:t xml:space="preserve"> </w:t>
      </w:r>
      <w:r w:rsidRPr="00C6784F">
        <w:rPr>
          <w:lang w:val="hr-HR"/>
        </w:rPr>
        <w:t>paragraf</w:t>
      </w:r>
      <w:r w:rsidRPr="007316F1">
        <w:rPr>
          <w:lang w:val="hr-HR"/>
        </w:rPr>
        <w:t xml:space="preserve"> 49</w:t>
      </w:r>
      <w:r>
        <w:rPr>
          <w:lang w:val="hr-HR"/>
        </w:rPr>
        <w:t>.</w:t>
      </w:r>
    </w:p>
  </w:footnote>
  <w:footnote w:id="11">
    <w:p w:rsidR="00761B6C" w:rsidRPr="00FB4126" w:rsidRDefault="00761B6C" w:rsidP="00870891">
      <w:pPr>
        <w:pStyle w:val="FootnoteText"/>
        <w:spacing w:line="360" w:lineRule="auto"/>
        <w:rPr>
          <w:lang w:val="hr-HR"/>
        </w:rPr>
      </w:pPr>
      <w:r>
        <w:rPr>
          <w:rStyle w:val="FootnoteReference"/>
        </w:rPr>
        <w:footnoteRef/>
      </w:r>
      <w:r>
        <w:t xml:space="preserve"> </w:t>
      </w:r>
      <w:r>
        <w:rPr>
          <w:lang w:val="hr-HR"/>
        </w:rPr>
        <w:t xml:space="preserve">Za još jedan prikaz različitih stajališta o ovom pitanju vidi: </w:t>
      </w:r>
      <w:r w:rsidRPr="00FB4126">
        <w:rPr>
          <w:lang w:val="hr-HR"/>
        </w:rPr>
        <w:t>Dutton, William; Dopatka, Anna; Hills, Michael; Law, Ginette; Nash, Vistoria; Freedom of connection – Freedom of expression The Changing Legal and Regulatory Ecology Shaping the Internet</w:t>
      </w:r>
      <w:r>
        <w:rPr>
          <w:lang w:val="hr-HR"/>
        </w:rPr>
        <w:t>, str. 61.</w:t>
      </w:r>
    </w:p>
  </w:footnote>
  <w:footnote w:id="12">
    <w:p w:rsidR="00761B6C" w:rsidRPr="00E342A9" w:rsidRDefault="00761B6C" w:rsidP="00E342A9">
      <w:pPr>
        <w:pStyle w:val="FootnoteText"/>
        <w:spacing w:line="360" w:lineRule="auto"/>
        <w:rPr>
          <w:lang w:val="hr-HR"/>
        </w:rPr>
      </w:pPr>
      <w:r>
        <w:rPr>
          <w:rStyle w:val="FootnoteReference"/>
        </w:rPr>
        <w:footnoteRef/>
      </w:r>
      <w:r w:rsidRPr="0066355E">
        <w:rPr>
          <w:lang w:val="hr-HR"/>
        </w:rPr>
        <w:t xml:space="preserve"> </w:t>
      </w:r>
      <w:r>
        <w:rPr>
          <w:lang w:val="hr-HR"/>
        </w:rPr>
        <w:t>Temeljem zauzimanja Posebnog izvjestitelja, navedeno je bilo predmetom rada Vijeća Ministara prilikom donošenja Deklaracije o slobodi komuniciranja na internetu (</w:t>
      </w:r>
      <w:r w:rsidRPr="0044317F">
        <w:rPr>
          <w:lang w:val="hr-HR"/>
        </w:rPr>
        <w:t xml:space="preserve">više </w:t>
      </w:r>
      <w:r w:rsidRPr="0044317F">
        <w:rPr>
          <w:i/>
          <w:lang w:val="hr-HR"/>
        </w:rPr>
        <w:t>infra ad</w:t>
      </w:r>
      <w:r w:rsidRPr="0044317F">
        <w:rPr>
          <w:lang w:val="hr-HR"/>
        </w:rPr>
        <w:t>.</w:t>
      </w:r>
      <w:r>
        <w:rPr>
          <w:lang w:val="hr-HR"/>
        </w:rPr>
        <w:t xml:space="preserve"> </w:t>
      </w:r>
      <w:r w:rsidRPr="0044317F">
        <w:rPr>
          <w:lang w:val="hr-HR"/>
        </w:rPr>
        <w:t>3</w:t>
      </w:r>
      <w:r>
        <w:rPr>
          <w:lang w:val="hr-HR"/>
        </w:rPr>
        <w:t xml:space="preserve">.2.4.3), Komentar načela Deklaracije, dostupan na: </w:t>
      </w:r>
      <w:r w:rsidRPr="00E342A9">
        <w:rPr>
          <w:lang w:val="hr-HR"/>
        </w:rPr>
        <w:t>http://www.coe.int/t/informationsociety/documents/Freedom%20of%20communication%20on%20the%20Internet_en.pdf</w:t>
      </w:r>
      <w:r>
        <w:rPr>
          <w:lang w:val="hr-HR"/>
        </w:rPr>
        <w:t xml:space="preserve">, str. 8. </w:t>
      </w:r>
    </w:p>
  </w:footnote>
  <w:footnote w:id="13">
    <w:p w:rsidR="00761B6C" w:rsidRPr="00D010DC" w:rsidRDefault="00761B6C" w:rsidP="00870891">
      <w:pPr>
        <w:pStyle w:val="FootnoteText"/>
        <w:spacing w:line="360" w:lineRule="auto"/>
        <w:rPr>
          <w:lang w:val="hr-HR"/>
        </w:rPr>
      </w:pPr>
      <w:r w:rsidRPr="00D010DC">
        <w:rPr>
          <w:rStyle w:val="FootnoteReference"/>
          <w:rFonts w:cs="Arial"/>
        </w:rPr>
        <w:footnoteRef/>
      </w:r>
      <w:r w:rsidRPr="00057189">
        <w:rPr>
          <w:rFonts w:cs="Arial"/>
          <w:lang w:val="hr-HR"/>
        </w:rPr>
        <w:t xml:space="preserve"> </w:t>
      </w:r>
      <w:r w:rsidRPr="00D010DC">
        <w:rPr>
          <w:rFonts w:cs="Arial"/>
          <w:lang w:val="hr-HR"/>
        </w:rPr>
        <w:t>Izvješće UN-ovog posebnog izvjestitelja za promoviranje i zaštitu prava na slobodu mišljenja i izražavanja, Frank La Rue od 16. svibnja 2011.,</w:t>
      </w:r>
      <w:r>
        <w:rPr>
          <w:rFonts w:cs="Arial"/>
          <w:lang w:val="hr-HR"/>
        </w:rPr>
        <w:t xml:space="preserve"> str. 10. dostupno na: </w:t>
      </w:r>
      <w:r w:rsidRPr="00451690">
        <w:rPr>
          <w:rFonts w:cs="Arial"/>
          <w:lang w:val="hr-HR"/>
        </w:rPr>
        <w:t>http://www2.ohchr.org/english/bodies/hrcouncil/docs/17session/A.HRC.17.27_en.pdf</w:t>
      </w:r>
      <w:r w:rsidRPr="00D010DC">
        <w:rPr>
          <w:rFonts w:cs="Arial"/>
          <w:lang w:val="hr-HR"/>
        </w:rPr>
        <w:t xml:space="preserve">, pristupljeno 24. travnja 2014.  </w:t>
      </w:r>
    </w:p>
  </w:footnote>
  <w:footnote w:id="14">
    <w:p w:rsidR="00761B6C" w:rsidRPr="00C6784F" w:rsidRDefault="00761B6C" w:rsidP="002E7478">
      <w:pPr>
        <w:pStyle w:val="FootnoteText"/>
        <w:spacing w:line="360" w:lineRule="auto"/>
        <w:rPr>
          <w:rFonts w:cs="Arial"/>
          <w:szCs w:val="22"/>
          <w:lang w:val="hr-HR"/>
        </w:rPr>
      </w:pPr>
      <w:r>
        <w:rPr>
          <w:rStyle w:val="FootnoteReference"/>
        </w:rPr>
        <w:footnoteRef/>
      </w:r>
      <w:r w:rsidRPr="0066355E">
        <w:rPr>
          <w:lang w:val="hr-HR"/>
        </w:rPr>
        <w:t xml:space="preserve"> </w:t>
      </w:r>
      <w:r w:rsidRPr="00F0031B">
        <w:rPr>
          <w:rFonts w:cs="Arial"/>
          <w:i/>
          <w:szCs w:val="22"/>
          <w:lang w:val="hr-HR"/>
        </w:rPr>
        <w:t xml:space="preserve">Goodwin protiv Ujedinjenog </w:t>
      </w:r>
      <w:r>
        <w:rPr>
          <w:rFonts w:cs="Arial"/>
          <w:i/>
          <w:szCs w:val="22"/>
          <w:lang w:val="hr-HR"/>
        </w:rPr>
        <w:t>K</w:t>
      </w:r>
      <w:r w:rsidRPr="00F0031B">
        <w:rPr>
          <w:rFonts w:cs="Arial"/>
          <w:i/>
          <w:szCs w:val="22"/>
          <w:lang w:val="hr-HR"/>
        </w:rPr>
        <w:t>raljevstva</w:t>
      </w:r>
      <w:r>
        <w:rPr>
          <w:rFonts w:cs="Arial"/>
          <w:szCs w:val="22"/>
          <w:lang w:val="hr-HR"/>
        </w:rPr>
        <w:t xml:space="preserve">, zahtjev broj  17488/90, </w:t>
      </w:r>
      <w:r w:rsidRPr="00C6784F">
        <w:rPr>
          <w:rFonts w:cs="Arial"/>
          <w:szCs w:val="22"/>
          <w:lang w:val="hr-HR"/>
        </w:rPr>
        <w:t>presuda od 27</w:t>
      </w:r>
      <w:r>
        <w:rPr>
          <w:rFonts w:cs="Arial"/>
          <w:szCs w:val="22"/>
          <w:lang w:val="hr-HR"/>
        </w:rPr>
        <w:t>.</w:t>
      </w:r>
      <w:r w:rsidRPr="00C6784F">
        <w:rPr>
          <w:rFonts w:cs="Arial"/>
          <w:szCs w:val="22"/>
          <w:lang w:val="hr-HR"/>
        </w:rPr>
        <w:t xml:space="preserve"> ožujka 1996.,</w:t>
      </w:r>
      <w:r>
        <w:rPr>
          <w:rFonts w:cs="Arial"/>
          <w:szCs w:val="22"/>
          <w:lang w:val="hr-HR"/>
        </w:rPr>
        <w:t xml:space="preserve"> paragraf 39.  </w:t>
      </w:r>
    </w:p>
  </w:footnote>
  <w:footnote w:id="15">
    <w:p w:rsidR="00761B6C" w:rsidRPr="00C86DCE" w:rsidRDefault="00761B6C" w:rsidP="002E7478">
      <w:pPr>
        <w:pStyle w:val="FootnoteText"/>
        <w:spacing w:line="360" w:lineRule="auto"/>
        <w:rPr>
          <w:lang w:val="hr-HR"/>
        </w:rPr>
      </w:pPr>
      <w:r>
        <w:rPr>
          <w:rStyle w:val="FootnoteReference"/>
        </w:rPr>
        <w:footnoteRef/>
      </w:r>
      <w:r>
        <w:t xml:space="preserve"> Castendyk, Oliver; Dommering, E.J.; Scheuer, Alexander; </w:t>
      </w:r>
      <w:r>
        <w:rPr>
          <w:lang w:val="hr-HR"/>
        </w:rPr>
        <w:t xml:space="preserve">European Media Law; Kluwer Law International, </w:t>
      </w:r>
      <w:proofErr w:type="gramStart"/>
      <w:r>
        <w:rPr>
          <w:lang w:val="hr-HR"/>
        </w:rPr>
        <w:t>2008.,</w:t>
      </w:r>
      <w:proofErr w:type="gramEnd"/>
      <w:r>
        <w:rPr>
          <w:lang w:val="hr-HR"/>
        </w:rPr>
        <w:t xml:space="preserve"> str. 66. </w:t>
      </w:r>
    </w:p>
  </w:footnote>
  <w:footnote w:id="16">
    <w:p w:rsidR="00761B6C" w:rsidRPr="002A462B" w:rsidRDefault="00761B6C" w:rsidP="002E7478">
      <w:pPr>
        <w:pStyle w:val="FootnoteText"/>
        <w:spacing w:line="360" w:lineRule="auto"/>
        <w:rPr>
          <w:lang w:val="hr-HR"/>
        </w:rPr>
      </w:pPr>
      <w:r>
        <w:rPr>
          <w:rStyle w:val="FootnoteReference"/>
        </w:rPr>
        <w:footnoteRef/>
      </w:r>
      <w:r>
        <w:t xml:space="preserve"> </w:t>
      </w:r>
      <w:r>
        <w:rPr>
          <w:lang w:val="hr-HR"/>
        </w:rPr>
        <w:t xml:space="preserve">Vidi: Arai-Takahashi, Yutaka; The Margin of Appreciation Doctrine and the Principle of Proportionality in the Jurisprudence of the ECHR, Intersentia 2001., str. 131. </w:t>
      </w:r>
    </w:p>
  </w:footnote>
  <w:footnote w:id="17">
    <w:p w:rsidR="00761B6C" w:rsidRPr="00842D8A" w:rsidRDefault="00761B6C" w:rsidP="00C86DCE">
      <w:pPr>
        <w:pStyle w:val="FootnoteText"/>
        <w:spacing w:line="360" w:lineRule="auto"/>
        <w:rPr>
          <w:lang w:val="hr-HR"/>
        </w:rPr>
      </w:pPr>
      <w:r>
        <w:rPr>
          <w:rStyle w:val="FootnoteReference"/>
        </w:rPr>
        <w:footnoteRef/>
      </w:r>
      <w:r>
        <w:t xml:space="preserve"> </w:t>
      </w:r>
      <w:r>
        <w:rPr>
          <w:lang w:val="hr-HR"/>
        </w:rPr>
        <w:t>Van Noorloos, Marloes; Hate Speech Revisited, Intersentia, 2011., str. 64.</w:t>
      </w:r>
    </w:p>
  </w:footnote>
  <w:footnote w:id="18">
    <w:p w:rsidR="00761B6C" w:rsidRPr="00D6416E" w:rsidRDefault="00761B6C" w:rsidP="007E2C58">
      <w:pPr>
        <w:pStyle w:val="FootnoteText"/>
        <w:spacing w:line="360" w:lineRule="auto"/>
        <w:rPr>
          <w:lang w:val="hr-HR"/>
        </w:rPr>
      </w:pPr>
      <w:r>
        <w:rPr>
          <w:rStyle w:val="FootnoteReference"/>
        </w:rPr>
        <w:footnoteRef/>
      </w:r>
      <w:r w:rsidRPr="00D6416E">
        <w:rPr>
          <w:lang w:val="hr-HR"/>
        </w:rPr>
        <w:t xml:space="preserve"> </w:t>
      </w:r>
      <w:r>
        <w:t>Op</w:t>
      </w:r>
      <w:r w:rsidRPr="00D6416E">
        <w:rPr>
          <w:lang w:val="hr-HR"/>
        </w:rPr>
        <w:t>ć</w:t>
      </w:r>
      <w:r>
        <w:t>a</w:t>
      </w:r>
      <w:r w:rsidRPr="00D6416E">
        <w:rPr>
          <w:lang w:val="hr-HR"/>
        </w:rPr>
        <w:t xml:space="preserve"> </w:t>
      </w:r>
      <w:r>
        <w:t>deklaracija</w:t>
      </w:r>
      <w:r w:rsidRPr="00D6416E">
        <w:rPr>
          <w:lang w:val="hr-HR"/>
        </w:rPr>
        <w:t xml:space="preserve"> </w:t>
      </w:r>
      <w:r>
        <w:t>o</w:t>
      </w:r>
      <w:r w:rsidRPr="00D6416E">
        <w:rPr>
          <w:lang w:val="hr-HR"/>
        </w:rPr>
        <w:t xml:space="preserve"> </w:t>
      </w:r>
      <w:r>
        <w:t>ljudskim</w:t>
      </w:r>
      <w:r w:rsidRPr="00D6416E">
        <w:rPr>
          <w:lang w:val="hr-HR"/>
        </w:rPr>
        <w:t xml:space="preserve"> </w:t>
      </w:r>
      <w:r>
        <w:t>pravima</w:t>
      </w:r>
      <w:r w:rsidRPr="00D6416E">
        <w:rPr>
          <w:lang w:val="hr-HR"/>
        </w:rPr>
        <w:t xml:space="preserve">, </w:t>
      </w:r>
      <w:r>
        <w:t>usvojena</w:t>
      </w:r>
      <w:r w:rsidRPr="00D6416E">
        <w:rPr>
          <w:lang w:val="hr-HR"/>
        </w:rPr>
        <w:t xml:space="preserve"> </w:t>
      </w:r>
      <w:r>
        <w:t>i</w:t>
      </w:r>
      <w:r w:rsidRPr="00D6416E">
        <w:rPr>
          <w:lang w:val="hr-HR"/>
        </w:rPr>
        <w:t xml:space="preserve"> </w:t>
      </w:r>
      <w:r>
        <w:t>proklamirana</w:t>
      </w:r>
      <w:r w:rsidRPr="00D6416E">
        <w:rPr>
          <w:lang w:val="hr-HR"/>
        </w:rPr>
        <w:t xml:space="preserve"> </w:t>
      </w:r>
      <w:r>
        <w:t>rezolucijom</w:t>
      </w:r>
      <w:r w:rsidRPr="00D6416E">
        <w:rPr>
          <w:lang w:val="hr-HR"/>
        </w:rPr>
        <w:t xml:space="preserve"> </w:t>
      </w:r>
      <w:r>
        <w:t>Generalne</w:t>
      </w:r>
      <w:r w:rsidRPr="00D6416E">
        <w:rPr>
          <w:lang w:val="hr-HR"/>
        </w:rPr>
        <w:t xml:space="preserve"> </w:t>
      </w:r>
      <w:r>
        <w:t>skup</w:t>
      </w:r>
      <w:r w:rsidRPr="00D6416E">
        <w:rPr>
          <w:lang w:val="hr-HR"/>
        </w:rPr>
        <w:t>š</w:t>
      </w:r>
      <w:r>
        <w:t>tine</w:t>
      </w:r>
      <w:r w:rsidRPr="00D6416E">
        <w:rPr>
          <w:lang w:val="hr-HR"/>
        </w:rPr>
        <w:t xml:space="preserve"> </w:t>
      </w:r>
      <w:r>
        <w:t>Ujedinjenih</w:t>
      </w:r>
      <w:r w:rsidRPr="00D6416E">
        <w:rPr>
          <w:lang w:val="hr-HR"/>
        </w:rPr>
        <w:t xml:space="preserve"> </w:t>
      </w:r>
      <w:r>
        <w:t>naroda</w:t>
      </w:r>
      <w:r w:rsidRPr="00D6416E">
        <w:rPr>
          <w:lang w:val="hr-HR"/>
        </w:rPr>
        <w:t xml:space="preserve"> 217</w:t>
      </w:r>
      <w:r>
        <w:t>A</w:t>
      </w:r>
      <w:r w:rsidRPr="00D6416E">
        <w:rPr>
          <w:lang w:val="hr-HR"/>
        </w:rPr>
        <w:t xml:space="preserve"> (</w:t>
      </w:r>
      <w:r>
        <w:t>III</w:t>
      </w:r>
      <w:r w:rsidRPr="00D6416E">
        <w:rPr>
          <w:lang w:val="hr-HR"/>
        </w:rPr>
        <w:t xml:space="preserve">) </w:t>
      </w:r>
      <w:proofErr w:type="gramStart"/>
      <w:r>
        <w:t>od</w:t>
      </w:r>
      <w:proofErr w:type="gramEnd"/>
      <w:r w:rsidRPr="00D6416E">
        <w:rPr>
          <w:lang w:val="hr-HR"/>
        </w:rPr>
        <w:t xml:space="preserve"> 10. </w:t>
      </w:r>
      <w:proofErr w:type="gramStart"/>
      <w:r>
        <w:t>prosinca</w:t>
      </w:r>
      <w:proofErr w:type="gramEnd"/>
      <w:r w:rsidRPr="00D6416E">
        <w:rPr>
          <w:lang w:val="hr-HR"/>
        </w:rPr>
        <w:t xml:space="preserve"> 1948., </w:t>
      </w:r>
      <w:r>
        <w:t>ratificirana</w:t>
      </w:r>
      <w:r w:rsidRPr="00D6416E">
        <w:rPr>
          <w:lang w:val="hr-HR"/>
        </w:rPr>
        <w:t xml:space="preserve"> </w:t>
      </w:r>
      <w:r>
        <w:t>Sl</w:t>
      </w:r>
      <w:r w:rsidRPr="00D6416E">
        <w:rPr>
          <w:lang w:val="hr-HR"/>
        </w:rPr>
        <w:t xml:space="preserve">. </w:t>
      </w:r>
      <w:r>
        <w:t>l</w:t>
      </w:r>
      <w:r w:rsidRPr="00D6416E">
        <w:rPr>
          <w:lang w:val="hr-HR"/>
        </w:rPr>
        <w:t xml:space="preserve">. </w:t>
      </w:r>
      <w:r>
        <w:t>br</w:t>
      </w:r>
      <w:r w:rsidRPr="00D6416E">
        <w:rPr>
          <w:lang w:val="hr-HR"/>
        </w:rPr>
        <w:t xml:space="preserve">. 7/1971., </w:t>
      </w:r>
      <w:r>
        <w:t>tekst</w:t>
      </w:r>
      <w:r w:rsidRPr="00D6416E">
        <w:rPr>
          <w:lang w:val="hr-HR"/>
        </w:rPr>
        <w:t xml:space="preserve"> </w:t>
      </w:r>
      <w:r>
        <w:t>deklaracije</w:t>
      </w:r>
      <w:r w:rsidRPr="00D6416E">
        <w:rPr>
          <w:lang w:val="hr-HR"/>
        </w:rPr>
        <w:t xml:space="preserve"> </w:t>
      </w:r>
      <w:r>
        <w:t>dostupan</w:t>
      </w:r>
      <w:r w:rsidRPr="00D6416E">
        <w:rPr>
          <w:lang w:val="hr-HR"/>
        </w:rPr>
        <w:t xml:space="preserve"> </w:t>
      </w:r>
      <w:r>
        <w:t>je</w:t>
      </w:r>
      <w:r w:rsidRPr="00D6416E">
        <w:rPr>
          <w:lang w:val="hr-HR"/>
        </w:rPr>
        <w:t xml:space="preserve"> </w:t>
      </w:r>
      <w:r>
        <w:t>na</w:t>
      </w:r>
      <w:r w:rsidRPr="00D6416E">
        <w:rPr>
          <w:lang w:val="hr-HR"/>
        </w:rPr>
        <w:t xml:space="preserve">: </w:t>
      </w:r>
      <w:r w:rsidRPr="00283268">
        <w:t>http</w:t>
      </w:r>
      <w:r w:rsidRPr="00D6416E">
        <w:rPr>
          <w:lang w:val="hr-HR"/>
        </w:rPr>
        <w:t>://</w:t>
      </w:r>
      <w:r w:rsidRPr="00283268">
        <w:t>www</w:t>
      </w:r>
      <w:r w:rsidRPr="00D6416E">
        <w:rPr>
          <w:lang w:val="hr-HR"/>
        </w:rPr>
        <w:t>.</w:t>
      </w:r>
      <w:r w:rsidRPr="00283268">
        <w:t>un</w:t>
      </w:r>
      <w:r w:rsidRPr="00D6416E">
        <w:rPr>
          <w:lang w:val="hr-HR"/>
        </w:rPr>
        <w:t>.</w:t>
      </w:r>
      <w:r w:rsidRPr="00283268">
        <w:t>org</w:t>
      </w:r>
      <w:r w:rsidRPr="00D6416E">
        <w:rPr>
          <w:lang w:val="hr-HR"/>
        </w:rPr>
        <w:t>/</w:t>
      </w:r>
      <w:r w:rsidRPr="00283268">
        <w:t>en</w:t>
      </w:r>
      <w:r w:rsidRPr="00D6416E">
        <w:rPr>
          <w:lang w:val="hr-HR"/>
        </w:rPr>
        <w:t>/</w:t>
      </w:r>
      <w:r w:rsidRPr="00283268">
        <w:t>documents</w:t>
      </w:r>
      <w:r w:rsidRPr="00D6416E">
        <w:rPr>
          <w:lang w:val="hr-HR"/>
        </w:rPr>
        <w:t>/</w:t>
      </w:r>
      <w:r w:rsidRPr="00283268">
        <w:t>udhr</w:t>
      </w:r>
      <w:r w:rsidRPr="00D6416E">
        <w:rPr>
          <w:lang w:val="hr-HR"/>
        </w:rPr>
        <w:t xml:space="preserve">/ , </w:t>
      </w:r>
      <w:r>
        <w:t>pristupljeno</w:t>
      </w:r>
      <w:r w:rsidRPr="00D6416E">
        <w:rPr>
          <w:lang w:val="hr-HR"/>
        </w:rPr>
        <w:t xml:space="preserve"> 24. </w:t>
      </w:r>
      <w:proofErr w:type="gramStart"/>
      <w:r>
        <w:t>travnja</w:t>
      </w:r>
      <w:proofErr w:type="gramEnd"/>
      <w:r w:rsidRPr="00D6416E">
        <w:rPr>
          <w:lang w:val="hr-HR"/>
        </w:rPr>
        <w:t xml:space="preserve"> 2014.</w:t>
      </w:r>
    </w:p>
  </w:footnote>
  <w:footnote w:id="19">
    <w:p w:rsidR="00761B6C" w:rsidRPr="00D6416E" w:rsidRDefault="00761B6C" w:rsidP="007E2C58">
      <w:pPr>
        <w:pStyle w:val="FootnoteText"/>
        <w:spacing w:line="360" w:lineRule="auto"/>
        <w:rPr>
          <w:lang w:val="hr-HR"/>
        </w:rPr>
      </w:pPr>
      <w:r>
        <w:rPr>
          <w:rStyle w:val="FootnoteReference"/>
        </w:rPr>
        <w:footnoteRef/>
      </w:r>
      <w:r w:rsidRPr="00D6416E">
        <w:rPr>
          <w:lang w:val="hr-HR"/>
        </w:rPr>
        <w:t xml:space="preserve"> </w:t>
      </w:r>
      <w:r>
        <w:t>Me</w:t>
      </w:r>
      <w:r w:rsidRPr="00D6416E">
        <w:rPr>
          <w:lang w:val="hr-HR"/>
        </w:rPr>
        <w:t>đ</w:t>
      </w:r>
      <w:r>
        <w:t>unarodni</w:t>
      </w:r>
      <w:r w:rsidRPr="00D6416E">
        <w:rPr>
          <w:lang w:val="hr-HR"/>
        </w:rPr>
        <w:t xml:space="preserve"> </w:t>
      </w:r>
      <w:r>
        <w:t>pakt</w:t>
      </w:r>
      <w:r w:rsidRPr="00D6416E">
        <w:rPr>
          <w:lang w:val="hr-HR"/>
        </w:rPr>
        <w:t xml:space="preserve"> </w:t>
      </w:r>
      <w:r>
        <w:t>o</w:t>
      </w:r>
      <w:r w:rsidRPr="00D6416E">
        <w:rPr>
          <w:lang w:val="hr-HR"/>
        </w:rPr>
        <w:t xml:space="preserve"> </w:t>
      </w:r>
      <w:r>
        <w:t>gra</w:t>
      </w:r>
      <w:r w:rsidRPr="00D6416E">
        <w:rPr>
          <w:lang w:val="hr-HR"/>
        </w:rPr>
        <w:t>đ</w:t>
      </w:r>
      <w:r>
        <w:t>anskim</w:t>
      </w:r>
      <w:r w:rsidRPr="00D6416E">
        <w:rPr>
          <w:lang w:val="hr-HR"/>
        </w:rPr>
        <w:t xml:space="preserve"> </w:t>
      </w:r>
      <w:r>
        <w:t>i</w:t>
      </w:r>
      <w:r w:rsidRPr="00D6416E">
        <w:rPr>
          <w:lang w:val="hr-HR"/>
        </w:rPr>
        <w:t xml:space="preserve"> </w:t>
      </w:r>
      <w:r>
        <w:t>politi</w:t>
      </w:r>
      <w:r w:rsidRPr="00D6416E">
        <w:rPr>
          <w:lang w:val="hr-HR"/>
        </w:rPr>
        <w:t>č</w:t>
      </w:r>
      <w:r>
        <w:t>kim</w:t>
      </w:r>
      <w:r w:rsidRPr="00D6416E">
        <w:rPr>
          <w:lang w:val="hr-HR"/>
        </w:rPr>
        <w:t xml:space="preserve"> </w:t>
      </w:r>
      <w:r>
        <w:t>pravima</w:t>
      </w:r>
      <w:r w:rsidRPr="00D6416E">
        <w:rPr>
          <w:lang w:val="hr-HR"/>
        </w:rPr>
        <w:t xml:space="preserve"> </w:t>
      </w:r>
      <w:r>
        <w:t>usvojen</w:t>
      </w:r>
      <w:r w:rsidRPr="00D6416E">
        <w:rPr>
          <w:lang w:val="hr-HR"/>
        </w:rPr>
        <w:t xml:space="preserve"> </w:t>
      </w:r>
      <w:proofErr w:type="gramStart"/>
      <w:r>
        <w:t>na</w:t>
      </w:r>
      <w:proofErr w:type="gramEnd"/>
      <w:r w:rsidRPr="00D6416E">
        <w:rPr>
          <w:lang w:val="hr-HR"/>
        </w:rPr>
        <w:t xml:space="preserve"> </w:t>
      </w:r>
      <w:r>
        <w:t>Op</w:t>
      </w:r>
      <w:r w:rsidRPr="00D6416E">
        <w:rPr>
          <w:lang w:val="hr-HR"/>
        </w:rPr>
        <w:t>ć</w:t>
      </w:r>
      <w:r>
        <w:t>oj</w:t>
      </w:r>
      <w:r w:rsidRPr="00D6416E">
        <w:rPr>
          <w:lang w:val="hr-HR"/>
        </w:rPr>
        <w:t xml:space="preserve"> </w:t>
      </w:r>
      <w:r>
        <w:t>skup</w:t>
      </w:r>
      <w:r w:rsidRPr="00D6416E">
        <w:rPr>
          <w:lang w:val="hr-HR"/>
        </w:rPr>
        <w:t>š</w:t>
      </w:r>
      <w:r>
        <w:t>tini</w:t>
      </w:r>
      <w:r w:rsidRPr="00D6416E">
        <w:rPr>
          <w:lang w:val="hr-HR"/>
        </w:rPr>
        <w:t xml:space="preserve"> </w:t>
      </w:r>
      <w:r>
        <w:t>Ujedinjenih</w:t>
      </w:r>
      <w:r w:rsidRPr="00D6416E">
        <w:rPr>
          <w:lang w:val="hr-HR"/>
        </w:rPr>
        <w:t xml:space="preserve"> </w:t>
      </w:r>
      <w:r>
        <w:t>naroda</w:t>
      </w:r>
      <w:r w:rsidRPr="00D6416E">
        <w:rPr>
          <w:lang w:val="hr-HR"/>
        </w:rPr>
        <w:t xml:space="preserve">, 16. </w:t>
      </w:r>
      <w:proofErr w:type="gramStart"/>
      <w:r>
        <w:t>prosinca</w:t>
      </w:r>
      <w:proofErr w:type="gramEnd"/>
      <w:r w:rsidRPr="00D6416E">
        <w:rPr>
          <w:lang w:val="hr-HR"/>
        </w:rPr>
        <w:t xml:space="preserve"> 1966. </w:t>
      </w:r>
      <w:proofErr w:type="gramStart"/>
      <w:r>
        <w:t>godine</w:t>
      </w:r>
      <w:proofErr w:type="gramEnd"/>
      <w:r w:rsidRPr="00D6416E">
        <w:rPr>
          <w:lang w:val="hr-HR"/>
        </w:rPr>
        <w:t xml:space="preserve"> (</w:t>
      </w:r>
      <w:r>
        <w:t>rezolucija</w:t>
      </w:r>
      <w:r w:rsidRPr="00D6416E">
        <w:rPr>
          <w:lang w:val="hr-HR"/>
        </w:rPr>
        <w:t xml:space="preserve"> </w:t>
      </w:r>
      <w:r>
        <w:t>br</w:t>
      </w:r>
      <w:r w:rsidRPr="00D6416E">
        <w:rPr>
          <w:lang w:val="hr-HR"/>
        </w:rPr>
        <w:t xml:space="preserve">. 2200 </w:t>
      </w:r>
      <w:r>
        <w:t>A</w:t>
      </w:r>
      <w:r w:rsidRPr="00D6416E">
        <w:rPr>
          <w:lang w:val="hr-HR"/>
        </w:rPr>
        <w:t xml:space="preserve"> /</w:t>
      </w:r>
      <w:r>
        <w:t>XXI</w:t>
      </w:r>
      <w:r w:rsidRPr="00D6416E">
        <w:rPr>
          <w:lang w:val="hr-HR"/>
        </w:rPr>
        <w:t xml:space="preserve">/), </w:t>
      </w:r>
      <w:r>
        <w:t>stupio</w:t>
      </w:r>
      <w:r w:rsidRPr="00D6416E">
        <w:rPr>
          <w:lang w:val="hr-HR"/>
        </w:rPr>
        <w:t xml:space="preserve"> </w:t>
      </w:r>
      <w:r>
        <w:t>na</w:t>
      </w:r>
      <w:r w:rsidRPr="00D6416E">
        <w:rPr>
          <w:lang w:val="hr-HR"/>
        </w:rPr>
        <w:t xml:space="preserve"> </w:t>
      </w:r>
      <w:r>
        <w:t>snagu</w:t>
      </w:r>
      <w:r w:rsidRPr="00D6416E">
        <w:rPr>
          <w:lang w:val="hr-HR"/>
        </w:rPr>
        <w:t xml:space="preserve"> 23. </w:t>
      </w:r>
      <w:proofErr w:type="gramStart"/>
      <w:r>
        <w:t>o</w:t>
      </w:r>
      <w:r w:rsidRPr="00D6416E">
        <w:rPr>
          <w:lang w:val="hr-HR"/>
        </w:rPr>
        <w:t>ž</w:t>
      </w:r>
      <w:r>
        <w:t>ujka</w:t>
      </w:r>
      <w:proofErr w:type="gramEnd"/>
      <w:r w:rsidRPr="00D6416E">
        <w:rPr>
          <w:lang w:val="hr-HR"/>
        </w:rPr>
        <w:t xml:space="preserve"> 1976. </w:t>
      </w:r>
      <w:proofErr w:type="gramStart"/>
      <w:r>
        <w:t>godine</w:t>
      </w:r>
      <w:proofErr w:type="gramEnd"/>
      <w:r w:rsidRPr="00D6416E">
        <w:rPr>
          <w:lang w:val="hr-HR"/>
        </w:rPr>
        <w:t xml:space="preserve">; </w:t>
      </w:r>
      <w:r>
        <w:rPr>
          <w:lang w:val="hr-HR"/>
        </w:rPr>
        <w:t xml:space="preserve">tekst pakta dostupan je na sljedećem linku: </w:t>
      </w:r>
      <w:r w:rsidRPr="00451690">
        <w:rPr>
          <w:lang w:val="hr-HR"/>
        </w:rPr>
        <w:t>http://www.uljppnm.vlada.hr/images/pdf/medjunarodni/medjunarodni_pakt_o_gradjanskim_i_politickim_pravima.pdf</w:t>
      </w:r>
      <w:r>
        <w:rPr>
          <w:lang w:val="hr-HR"/>
        </w:rPr>
        <w:t>, pristupljeno 23. travnja 2014.</w:t>
      </w:r>
    </w:p>
  </w:footnote>
  <w:footnote w:id="20">
    <w:p w:rsidR="00761B6C" w:rsidRPr="00EF41D8" w:rsidRDefault="00761B6C" w:rsidP="00870891">
      <w:pPr>
        <w:pStyle w:val="FootnoteText"/>
        <w:spacing w:line="360" w:lineRule="auto"/>
      </w:pPr>
      <w:r>
        <w:rPr>
          <w:rStyle w:val="FootnoteReference"/>
        </w:rPr>
        <w:footnoteRef/>
      </w:r>
      <w:r>
        <w:t xml:space="preserve"> General Comment No. 11: Prohibition of propaganda for war and inciting national, racial or religious hatred (Art. 20): 29/07/1983.</w:t>
      </w:r>
      <w:r>
        <w:rPr>
          <w:lang w:val="hr-HR"/>
        </w:rPr>
        <w:t xml:space="preserve">; tekst komentara dostupan je </w:t>
      </w:r>
      <w:proofErr w:type="gramStart"/>
      <w:r>
        <w:rPr>
          <w:lang w:val="hr-HR"/>
        </w:rPr>
        <w:t>na</w:t>
      </w:r>
      <w:proofErr w:type="gramEnd"/>
      <w:r>
        <w:rPr>
          <w:lang w:val="hr-HR"/>
        </w:rPr>
        <w:t xml:space="preserve">: </w:t>
      </w:r>
      <w:r w:rsidRPr="00451690">
        <w:rPr>
          <w:lang w:val="hr-HR"/>
        </w:rPr>
        <w:t>http://www.ohchr.org/Documents/Issues/Opinion/CCPRGeneralCommentNo11.pdf</w:t>
      </w:r>
      <w:r>
        <w:rPr>
          <w:lang w:val="hr-HR"/>
        </w:rPr>
        <w:t>, pristupljeno 23. travnja 2014.</w:t>
      </w:r>
    </w:p>
  </w:footnote>
  <w:footnote w:id="21">
    <w:p w:rsidR="00761B6C" w:rsidRPr="00B339F3" w:rsidRDefault="00761B6C" w:rsidP="007E2C58">
      <w:pPr>
        <w:pStyle w:val="FootnoteText"/>
        <w:spacing w:line="360" w:lineRule="auto"/>
      </w:pPr>
      <w:r>
        <w:rPr>
          <w:rStyle w:val="FootnoteReference"/>
        </w:rPr>
        <w:footnoteRef/>
      </w:r>
      <w:r>
        <w:t xml:space="preserve"> </w:t>
      </w:r>
      <w:proofErr w:type="gramStart"/>
      <w:r>
        <w:t>Međunarodna konvencija o ukidanju svih oblika rasne diskriminacije, 1966, Zbirka međunarodnih ugovora država članica Ujedinjenih naroda (United Nations Treaty Series), sv.</w:t>
      </w:r>
      <w:proofErr w:type="gramEnd"/>
      <w:r>
        <w:t xml:space="preserve"> 660, str. </w:t>
      </w:r>
      <w:proofErr w:type="gramStart"/>
      <w:r>
        <w:t>195.,</w:t>
      </w:r>
      <w:proofErr w:type="gramEnd"/>
      <w:r>
        <w:t xml:space="preserve"> tekst konvencije dostupan je na:  </w:t>
      </w:r>
      <w:r w:rsidRPr="00451690">
        <w:t>http://www.uljppnm.vlada.hr/images/pdf/medjunarodni/medjunarodna_konvencija_o_ukidanju_svih_oblika_rasne_diskriminacije.pdf</w:t>
      </w:r>
      <w:r>
        <w:t xml:space="preserve">, pristupljeno 23. </w:t>
      </w:r>
      <w:proofErr w:type="gramStart"/>
      <w:r>
        <w:t>travnja</w:t>
      </w:r>
      <w:proofErr w:type="gramEnd"/>
      <w:r>
        <w:t xml:space="preserve"> 2014.</w:t>
      </w:r>
    </w:p>
  </w:footnote>
  <w:footnote w:id="22">
    <w:p w:rsidR="00761B6C" w:rsidRPr="00E31805" w:rsidRDefault="00761B6C" w:rsidP="00741F25">
      <w:pPr>
        <w:pStyle w:val="FootnoteText"/>
        <w:spacing w:line="360" w:lineRule="auto"/>
        <w:rPr>
          <w:rFonts w:cs="Arial"/>
          <w:lang w:val="hr-HR"/>
        </w:rPr>
      </w:pPr>
      <w:r w:rsidRPr="00E31805">
        <w:rPr>
          <w:rStyle w:val="FootnoteReference"/>
        </w:rPr>
        <w:footnoteRef/>
      </w:r>
      <w:r w:rsidRPr="00E31805">
        <w:rPr>
          <w:lang w:val="hr-HR"/>
        </w:rPr>
        <w:t xml:space="preserve"> </w:t>
      </w:r>
      <w:r w:rsidRPr="00B830BB">
        <w:t>Prva rezolucija Vijeća ljudskih prava UN-</w:t>
      </w:r>
      <w:proofErr w:type="gramStart"/>
      <w:r w:rsidRPr="00B830BB">
        <w:t>a</w:t>
      </w:r>
      <w:proofErr w:type="gramEnd"/>
      <w:r w:rsidRPr="00B830BB">
        <w:t xml:space="preserve"> o promociji, zaštiti i uživanju ljudskih prava na </w:t>
      </w:r>
      <w:r>
        <w:t>internetu,</w:t>
      </w:r>
      <w:r w:rsidRPr="00E31805">
        <w:rPr>
          <w:lang w:val="hr-HR"/>
        </w:rPr>
        <w:t xml:space="preserve"> </w:t>
      </w:r>
      <w:r>
        <w:rPr>
          <w:lang w:val="hr-HR"/>
        </w:rPr>
        <w:t xml:space="preserve">tekst je </w:t>
      </w:r>
      <w:r w:rsidRPr="00E31805">
        <w:rPr>
          <w:lang w:val="hr-HR"/>
        </w:rPr>
        <w:t xml:space="preserve">dostupan na sljedećem linku: </w:t>
      </w:r>
      <w:r w:rsidRPr="00451690">
        <w:t>http</w:t>
      </w:r>
      <w:r w:rsidRPr="00451690">
        <w:rPr>
          <w:lang w:val="hr-HR"/>
        </w:rPr>
        <w:t>://</w:t>
      </w:r>
      <w:r w:rsidRPr="00451690">
        <w:t>globalnetworkinitiative</w:t>
      </w:r>
      <w:r w:rsidRPr="00451690">
        <w:rPr>
          <w:lang w:val="hr-HR"/>
        </w:rPr>
        <w:t>.</w:t>
      </w:r>
      <w:r w:rsidRPr="00451690">
        <w:t>org</w:t>
      </w:r>
      <w:r w:rsidRPr="00451690">
        <w:rPr>
          <w:lang w:val="hr-HR"/>
        </w:rPr>
        <w:t>/</w:t>
      </w:r>
      <w:r w:rsidRPr="00451690">
        <w:t>sites</w:t>
      </w:r>
      <w:r w:rsidRPr="00451690">
        <w:rPr>
          <w:lang w:val="hr-HR"/>
        </w:rPr>
        <w:t>/</w:t>
      </w:r>
      <w:r w:rsidRPr="00451690">
        <w:t>default</w:t>
      </w:r>
      <w:r w:rsidRPr="00451690">
        <w:rPr>
          <w:lang w:val="hr-HR"/>
        </w:rPr>
        <w:t>/</w:t>
      </w:r>
      <w:r w:rsidRPr="00451690">
        <w:t>files</w:t>
      </w:r>
      <w:r w:rsidRPr="00451690">
        <w:rPr>
          <w:lang w:val="hr-HR"/>
        </w:rPr>
        <w:t>/</w:t>
      </w:r>
      <w:r w:rsidRPr="00451690">
        <w:t>UNHRC</w:t>
      </w:r>
      <w:r w:rsidRPr="00451690">
        <w:rPr>
          <w:lang w:val="hr-HR"/>
        </w:rPr>
        <w:t>%20</w:t>
      </w:r>
      <w:r w:rsidRPr="00451690">
        <w:t>Resolution</w:t>
      </w:r>
      <w:r w:rsidRPr="00451690">
        <w:rPr>
          <w:lang w:val="hr-HR"/>
        </w:rPr>
        <w:t>%20.</w:t>
      </w:r>
      <w:r w:rsidRPr="00451690">
        <w:t>pdf</w:t>
      </w:r>
      <w:r w:rsidRPr="00E31805">
        <w:rPr>
          <w:lang w:val="hr-HR"/>
        </w:rPr>
        <w:t xml:space="preserve">, pristupljeno 23. travnja 2014. </w:t>
      </w:r>
    </w:p>
  </w:footnote>
  <w:footnote w:id="23">
    <w:p w:rsidR="00761B6C" w:rsidRPr="0090736E" w:rsidRDefault="00761B6C" w:rsidP="0056798C">
      <w:pPr>
        <w:pStyle w:val="FootnoteText"/>
        <w:spacing w:line="360" w:lineRule="auto"/>
        <w:rPr>
          <w:lang w:val="hr-HR"/>
        </w:rPr>
      </w:pPr>
      <w:r>
        <w:rPr>
          <w:rStyle w:val="FootnoteReference"/>
        </w:rPr>
        <w:footnoteRef/>
      </w:r>
      <w:r w:rsidRPr="0056798C">
        <w:rPr>
          <w:lang w:val="hr-HR"/>
        </w:rPr>
        <w:t xml:space="preserve"> </w:t>
      </w:r>
      <w:proofErr w:type="gramStart"/>
      <w:r w:rsidRPr="00057189">
        <w:rPr>
          <w:rFonts w:cs="Arial"/>
        </w:rPr>
        <w:t>Konvencija</w:t>
      </w:r>
      <w:r w:rsidRPr="0056798C">
        <w:rPr>
          <w:rFonts w:cs="Arial"/>
          <w:lang w:val="hr-HR"/>
        </w:rPr>
        <w:t xml:space="preserve"> </w:t>
      </w:r>
      <w:r w:rsidRPr="00057189">
        <w:rPr>
          <w:rFonts w:cs="Arial"/>
        </w:rPr>
        <w:t>je</w:t>
      </w:r>
      <w:r w:rsidRPr="0056798C">
        <w:rPr>
          <w:rFonts w:cs="Arial"/>
          <w:lang w:val="hr-HR"/>
        </w:rPr>
        <w:t xml:space="preserve"> </w:t>
      </w:r>
      <w:r w:rsidRPr="00057189">
        <w:rPr>
          <w:rFonts w:cs="Arial"/>
        </w:rPr>
        <w:t>potvr</w:t>
      </w:r>
      <w:r w:rsidRPr="0056798C">
        <w:rPr>
          <w:rFonts w:cs="Arial"/>
          <w:lang w:val="hr-HR"/>
        </w:rPr>
        <w:t>đ</w:t>
      </w:r>
      <w:r w:rsidRPr="00057189">
        <w:rPr>
          <w:rFonts w:cs="Arial"/>
        </w:rPr>
        <w:t>ena</w:t>
      </w:r>
      <w:r w:rsidRPr="0056798C">
        <w:rPr>
          <w:rFonts w:cs="Arial"/>
          <w:lang w:val="hr-HR"/>
        </w:rPr>
        <w:t xml:space="preserve"> </w:t>
      </w:r>
      <w:r w:rsidRPr="00057189">
        <w:rPr>
          <w:rFonts w:cs="Arial"/>
        </w:rPr>
        <w:t>u</w:t>
      </w:r>
      <w:r w:rsidRPr="0056798C">
        <w:rPr>
          <w:rFonts w:cs="Arial"/>
          <w:lang w:val="hr-HR"/>
        </w:rPr>
        <w:t xml:space="preserve"> </w:t>
      </w:r>
      <w:r w:rsidRPr="00057189">
        <w:rPr>
          <w:rFonts w:cs="Arial"/>
        </w:rPr>
        <w:t>RH</w:t>
      </w:r>
      <w:r w:rsidRPr="0056798C">
        <w:rPr>
          <w:rFonts w:cs="Arial"/>
          <w:lang w:val="hr-HR"/>
        </w:rPr>
        <w:t xml:space="preserve"> </w:t>
      </w:r>
      <w:r w:rsidRPr="00057189">
        <w:rPr>
          <w:rFonts w:cs="Arial"/>
        </w:rPr>
        <w:t>Zakonom</w:t>
      </w:r>
      <w:r w:rsidRPr="0056798C">
        <w:rPr>
          <w:rFonts w:cs="Arial"/>
          <w:lang w:val="hr-HR"/>
        </w:rPr>
        <w:t xml:space="preserve"> </w:t>
      </w:r>
      <w:r w:rsidRPr="00057189">
        <w:rPr>
          <w:rFonts w:cs="Arial"/>
        </w:rPr>
        <w:t>o</w:t>
      </w:r>
      <w:r w:rsidRPr="0056798C">
        <w:rPr>
          <w:rFonts w:cs="Arial"/>
          <w:lang w:val="hr-HR"/>
        </w:rPr>
        <w:t xml:space="preserve"> </w:t>
      </w:r>
      <w:r w:rsidRPr="00057189">
        <w:rPr>
          <w:rFonts w:cs="Arial"/>
        </w:rPr>
        <w:t>potvr</w:t>
      </w:r>
      <w:r w:rsidRPr="0056798C">
        <w:rPr>
          <w:rFonts w:cs="Arial"/>
          <w:lang w:val="hr-HR"/>
        </w:rPr>
        <w:t>đ</w:t>
      </w:r>
      <w:r w:rsidRPr="00057189">
        <w:rPr>
          <w:rFonts w:cs="Arial"/>
        </w:rPr>
        <w:t>ivanju</w:t>
      </w:r>
      <w:r w:rsidRPr="0056798C">
        <w:rPr>
          <w:rFonts w:cs="Arial"/>
          <w:lang w:val="hr-HR"/>
        </w:rPr>
        <w:t xml:space="preserve"> </w:t>
      </w:r>
      <w:r w:rsidRPr="00057189">
        <w:rPr>
          <w:rFonts w:cs="Arial"/>
        </w:rPr>
        <w:t>Europske</w:t>
      </w:r>
      <w:r w:rsidRPr="0056798C">
        <w:rPr>
          <w:rFonts w:cs="Arial"/>
          <w:lang w:val="hr-HR"/>
        </w:rPr>
        <w:t xml:space="preserve"> </w:t>
      </w:r>
      <w:r w:rsidRPr="00057189">
        <w:rPr>
          <w:rFonts w:cs="Arial"/>
        </w:rPr>
        <w:t>konvencije</w:t>
      </w:r>
      <w:r w:rsidRPr="0056798C">
        <w:rPr>
          <w:rFonts w:cs="Arial"/>
          <w:lang w:val="hr-HR"/>
        </w:rPr>
        <w:t xml:space="preserve"> </w:t>
      </w:r>
      <w:r w:rsidRPr="00057189">
        <w:rPr>
          <w:rFonts w:cs="Arial"/>
        </w:rPr>
        <w:t>o</w:t>
      </w:r>
      <w:r w:rsidRPr="0056798C">
        <w:rPr>
          <w:rFonts w:cs="Arial"/>
          <w:lang w:val="hr-HR"/>
        </w:rPr>
        <w:t xml:space="preserve"> </w:t>
      </w:r>
      <w:r w:rsidRPr="00057189">
        <w:rPr>
          <w:rFonts w:cs="Arial"/>
        </w:rPr>
        <w:t>za</w:t>
      </w:r>
      <w:r w:rsidRPr="0056798C">
        <w:rPr>
          <w:rFonts w:cs="Arial"/>
          <w:lang w:val="hr-HR"/>
        </w:rPr>
        <w:t>š</w:t>
      </w:r>
      <w:r w:rsidRPr="00057189">
        <w:rPr>
          <w:rFonts w:cs="Arial"/>
        </w:rPr>
        <w:t>titi</w:t>
      </w:r>
      <w:r w:rsidRPr="0056798C">
        <w:rPr>
          <w:rFonts w:cs="Arial"/>
          <w:lang w:val="hr-HR"/>
        </w:rPr>
        <w:t xml:space="preserve"> </w:t>
      </w:r>
      <w:r w:rsidRPr="00057189">
        <w:rPr>
          <w:rFonts w:cs="Arial"/>
        </w:rPr>
        <w:t>ljudskih</w:t>
      </w:r>
      <w:r w:rsidRPr="0056798C">
        <w:rPr>
          <w:rFonts w:cs="Arial"/>
          <w:lang w:val="hr-HR"/>
        </w:rPr>
        <w:t xml:space="preserve"> </w:t>
      </w:r>
      <w:r w:rsidRPr="00057189">
        <w:rPr>
          <w:rFonts w:cs="Arial"/>
        </w:rPr>
        <w:t>prava</w:t>
      </w:r>
      <w:r w:rsidRPr="0056798C">
        <w:rPr>
          <w:rFonts w:cs="Arial"/>
          <w:lang w:val="hr-HR"/>
        </w:rPr>
        <w:t xml:space="preserve"> </w:t>
      </w:r>
      <w:r w:rsidRPr="00057189">
        <w:rPr>
          <w:rFonts w:cs="Arial"/>
        </w:rPr>
        <w:t>i</w:t>
      </w:r>
      <w:r w:rsidRPr="0056798C">
        <w:rPr>
          <w:rFonts w:cs="Arial"/>
          <w:lang w:val="hr-HR"/>
        </w:rPr>
        <w:t xml:space="preserve"> </w:t>
      </w:r>
      <w:r w:rsidRPr="00057189">
        <w:rPr>
          <w:rFonts w:cs="Arial"/>
        </w:rPr>
        <w:t>temeljnih</w:t>
      </w:r>
      <w:r w:rsidRPr="0056798C">
        <w:rPr>
          <w:rFonts w:cs="Arial"/>
          <w:lang w:val="hr-HR"/>
        </w:rPr>
        <w:t xml:space="preserve"> </w:t>
      </w:r>
      <w:r w:rsidRPr="00057189">
        <w:rPr>
          <w:rFonts w:cs="Arial"/>
        </w:rPr>
        <w:t>sloboda</w:t>
      </w:r>
      <w:r w:rsidRPr="0056798C">
        <w:rPr>
          <w:rFonts w:cs="Arial"/>
          <w:lang w:val="hr-HR"/>
        </w:rPr>
        <w:t xml:space="preserve"> (</w:t>
      </w:r>
      <w:r w:rsidRPr="00057189">
        <w:rPr>
          <w:rFonts w:cs="Arial"/>
        </w:rPr>
        <w:t>NN</w:t>
      </w:r>
      <w:r w:rsidRPr="0056798C">
        <w:rPr>
          <w:rFonts w:cs="Arial"/>
          <w:lang w:val="hr-HR"/>
        </w:rPr>
        <w:t xml:space="preserve"> – </w:t>
      </w:r>
      <w:r w:rsidRPr="00057189">
        <w:rPr>
          <w:rFonts w:cs="Arial"/>
        </w:rPr>
        <w:t>MU</w:t>
      </w:r>
      <w:r w:rsidRPr="0056798C">
        <w:rPr>
          <w:rFonts w:cs="Arial"/>
          <w:lang w:val="hr-HR"/>
        </w:rPr>
        <w:t xml:space="preserve"> 18/97)</w:t>
      </w:r>
      <w:r>
        <w:rPr>
          <w:rFonts w:cs="Arial"/>
          <w:lang w:val="hr-HR"/>
        </w:rPr>
        <w:t>.</w:t>
      </w:r>
      <w:proofErr w:type="gramEnd"/>
    </w:p>
  </w:footnote>
  <w:footnote w:id="24">
    <w:p w:rsidR="00761B6C" w:rsidRPr="00D614A4" w:rsidRDefault="00761B6C" w:rsidP="0056798C">
      <w:pPr>
        <w:pStyle w:val="FootnoteText"/>
        <w:spacing w:line="360" w:lineRule="auto"/>
        <w:rPr>
          <w:lang w:val="hr-HR"/>
        </w:rPr>
      </w:pPr>
      <w:r>
        <w:rPr>
          <w:rStyle w:val="FootnoteReference"/>
        </w:rPr>
        <w:footnoteRef/>
      </w:r>
      <w:r>
        <w:t xml:space="preserve"> </w:t>
      </w:r>
      <w:r w:rsidRPr="002A744E">
        <w:rPr>
          <w:i/>
          <w:lang w:val="hr-HR"/>
        </w:rPr>
        <w:t>Yild</w:t>
      </w:r>
      <w:r>
        <w:rPr>
          <w:i/>
          <w:lang w:val="hr-HR"/>
        </w:rPr>
        <w:t>i</w:t>
      </w:r>
      <w:r w:rsidRPr="002A744E">
        <w:rPr>
          <w:i/>
          <w:lang w:val="hr-HR"/>
        </w:rPr>
        <w:t>rim protiv Turske</w:t>
      </w:r>
      <w:r>
        <w:rPr>
          <w:lang w:val="hr-HR"/>
        </w:rPr>
        <w:t>, zahtjev broj  3111/10,</w:t>
      </w:r>
      <w:r w:rsidRPr="002E246F">
        <w:rPr>
          <w:lang w:val="hr-HR"/>
        </w:rPr>
        <w:t xml:space="preserve"> presuda od 18</w:t>
      </w:r>
      <w:r>
        <w:rPr>
          <w:lang w:val="hr-HR"/>
        </w:rPr>
        <w:t>.</w:t>
      </w:r>
      <w:r w:rsidRPr="002E246F">
        <w:rPr>
          <w:lang w:val="hr-HR"/>
        </w:rPr>
        <w:t xml:space="preserve"> prosinca 2012.,</w:t>
      </w:r>
      <w:r>
        <w:rPr>
          <w:lang w:val="hr-HR"/>
        </w:rPr>
        <w:t xml:space="preserve"> paragraf 54.</w:t>
      </w:r>
    </w:p>
  </w:footnote>
  <w:footnote w:id="25">
    <w:p w:rsidR="00761B6C" w:rsidRPr="007A1E4E" w:rsidRDefault="00761B6C" w:rsidP="00FA6ED9">
      <w:pPr>
        <w:pStyle w:val="FootnoteText"/>
        <w:spacing w:line="360" w:lineRule="auto"/>
        <w:rPr>
          <w:lang w:val="hr-HR"/>
        </w:rPr>
      </w:pPr>
      <w:r>
        <w:rPr>
          <w:rStyle w:val="FootnoteReference"/>
        </w:rPr>
        <w:footnoteRef/>
      </w:r>
      <w:r w:rsidRPr="00F26C52">
        <w:rPr>
          <w:lang w:val="fr-FR"/>
        </w:rPr>
        <w:t xml:space="preserve"> </w:t>
      </w:r>
      <w:r w:rsidRPr="00F26C52">
        <w:rPr>
          <w:rFonts w:cs="Arial"/>
          <w:lang w:val="fr-FR"/>
        </w:rPr>
        <w:t xml:space="preserve">Sažetak je dostupan na stranici: </w:t>
      </w:r>
      <w:hyperlink r:id="rId3" w:history="1">
        <w:r w:rsidRPr="00F26C52">
          <w:rPr>
            <w:rFonts w:cs="Arial"/>
            <w:lang w:val="fr-FR"/>
          </w:rPr>
          <w:t>http://www.echr.coe.int/Documents/FS_Hate_speech_ENG.pdf</w:t>
        </w:r>
      </w:hyperlink>
      <w:r w:rsidRPr="00F26C52">
        <w:rPr>
          <w:rFonts w:cs="Arial"/>
          <w:lang w:val="fr-FR"/>
        </w:rPr>
        <w:t xml:space="preserve">, pristupljeno 2. </w:t>
      </w:r>
      <w:proofErr w:type="gramStart"/>
      <w:r w:rsidRPr="00F26C52">
        <w:rPr>
          <w:rFonts w:cs="Arial"/>
          <w:lang w:val="fr-FR"/>
        </w:rPr>
        <w:t>travnja</w:t>
      </w:r>
      <w:proofErr w:type="gramEnd"/>
      <w:r w:rsidRPr="00F26C52">
        <w:rPr>
          <w:rFonts w:cs="Arial"/>
          <w:lang w:val="fr-FR"/>
        </w:rPr>
        <w:t xml:space="preserve"> 2014.</w:t>
      </w:r>
      <w:r>
        <w:rPr>
          <w:lang w:val="hr-HR"/>
        </w:rPr>
        <w:t xml:space="preserve"> </w:t>
      </w:r>
    </w:p>
  </w:footnote>
  <w:footnote w:id="26">
    <w:p w:rsidR="00761B6C" w:rsidRPr="00C13E13" w:rsidRDefault="00761B6C" w:rsidP="00FA6ED9">
      <w:pPr>
        <w:pStyle w:val="FootnoteText"/>
        <w:spacing w:line="360" w:lineRule="auto"/>
        <w:rPr>
          <w:rFonts w:cs="Arial"/>
          <w:lang w:val="hr-HR"/>
        </w:rPr>
      </w:pPr>
      <w:r>
        <w:rPr>
          <w:rStyle w:val="FootnoteReference"/>
        </w:rPr>
        <w:footnoteRef/>
      </w:r>
      <w:r>
        <w:t xml:space="preserve"> </w:t>
      </w:r>
      <w:r w:rsidRPr="00870891">
        <w:rPr>
          <w:rFonts w:cs="Arial"/>
          <w:i/>
        </w:rPr>
        <w:t>Lawless protiv Irske (br. 3)</w:t>
      </w:r>
      <w:r w:rsidRPr="00F601A9">
        <w:rPr>
          <w:rFonts w:cs="Arial"/>
        </w:rPr>
        <w:t xml:space="preserve">, </w:t>
      </w:r>
      <w:r w:rsidRPr="00C13E13">
        <w:rPr>
          <w:rFonts w:cs="Arial"/>
        </w:rPr>
        <w:t>zahtjev broj 332/</w:t>
      </w:r>
      <w:r w:rsidRPr="00C13E13">
        <w:rPr>
          <w:rFonts w:cs="Arial"/>
          <w:lang w:val="hr-HR"/>
        </w:rPr>
        <w:t xml:space="preserve">57, presuda </w:t>
      </w:r>
      <w:proofErr w:type="gramStart"/>
      <w:r w:rsidRPr="00C13E13">
        <w:rPr>
          <w:rFonts w:cs="Arial"/>
          <w:lang w:val="hr-HR"/>
        </w:rPr>
        <w:t>od</w:t>
      </w:r>
      <w:proofErr w:type="gramEnd"/>
      <w:r w:rsidRPr="00C13E13">
        <w:rPr>
          <w:rFonts w:cs="Arial"/>
          <w:lang w:val="hr-HR"/>
        </w:rPr>
        <w:t xml:space="preserve"> 1</w:t>
      </w:r>
      <w:r>
        <w:rPr>
          <w:rFonts w:cs="Arial"/>
          <w:lang w:val="hr-HR"/>
        </w:rPr>
        <w:t>.</w:t>
      </w:r>
      <w:r w:rsidRPr="00C13E13">
        <w:rPr>
          <w:rFonts w:cs="Arial"/>
          <w:lang w:val="hr-HR"/>
        </w:rPr>
        <w:t xml:space="preserve"> srpnja 1961., paragraf 7. </w:t>
      </w:r>
    </w:p>
  </w:footnote>
  <w:footnote w:id="27">
    <w:p w:rsidR="00761B6C" w:rsidRPr="00C13E13" w:rsidRDefault="00761B6C" w:rsidP="00FA6ED9">
      <w:pPr>
        <w:spacing w:line="360" w:lineRule="auto"/>
        <w:rPr>
          <w:rFonts w:cs="Arial"/>
          <w:sz w:val="20"/>
          <w:szCs w:val="20"/>
        </w:rPr>
      </w:pPr>
      <w:r w:rsidRPr="008473E0">
        <w:rPr>
          <w:rStyle w:val="FootnoteReference"/>
          <w:rFonts w:cs="Arial"/>
        </w:rPr>
        <w:footnoteRef/>
      </w:r>
      <w:r w:rsidRPr="00F26C52">
        <w:rPr>
          <w:rFonts w:cs="Arial"/>
          <w:lang w:val="hr-HR"/>
        </w:rPr>
        <w:t xml:space="preserve"> </w:t>
      </w:r>
      <w:r w:rsidRPr="00EE7791">
        <w:rPr>
          <w:rFonts w:cs="Arial"/>
          <w:sz w:val="20"/>
          <w:szCs w:val="20"/>
        </w:rPr>
        <w:t>Odluka</w:t>
      </w:r>
      <w:r w:rsidRPr="00EE7791">
        <w:rPr>
          <w:rFonts w:cs="Arial"/>
          <w:sz w:val="20"/>
          <w:szCs w:val="20"/>
          <w:lang w:val="hr-HR"/>
        </w:rPr>
        <w:t xml:space="preserve"> </w:t>
      </w:r>
      <w:r w:rsidRPr="00EE7791">
        <w:rPr>
          <w:rFonts w:cs="Arial"/>
          <w:sz w:val="20"/>
          <w:szCs w:val="20"/>
        </w:rPr>
        <w:t>o</w:t>
      </w:r>
      <w:r w:rsidRPr="00EE7791">
        <w:rPr>
          <w:rFonts w:cs="Arial"/>
          <w:sz w:val="20"/>
          <w:szCs w:val="20"/>
          <w:lang w:val="hr-HR"/>
        </w:rPr>
        <w:t xml:space="preserve"> </w:t>
      </w:r>
      <w:r w:rsidRPr="00EE7791">
        <w:rPr>
          <w:rFonts w:cs="Arial"/>
          <w:sz w:val="20"/>
          <w:szCs w:val="20"/>
        </w:rPr>
        <w:t>nedopu</w:t>
      </w:r>
      <w:r w:rsidRPr="00EE7791">
        <w:rPr>
          <w:rFonts w:cs="Arial"/>
          <w:sz w:val="20"/>
          <w:szCs w:val="20"/>
          <w:lang w:val="hr-HR"/>
        </w:rPr>
        <w:t>š</w:t>
      </w:r>
      <w:r w:rsidRPr="00EE7791">
        <w:rPr>
          <w:rFonts w:cs="Arial"/>
          <w:sz w:val="20"/>
          <w:szCs w:val="20"/>
        </w:rPr>
        <w:t>tenosti</w:t>
      </w:r>
      <w:r w:rsidRPr="00EE7791">
        <w:rPr>
          <w:rFonts w:cs="Arial"/>
          <w:sz w:val="20"/>
          <w:szCs w:val="20"/>
          <w:lang w:val="hr-HR"/>
        </w:rPr>
        <w:t xml:space="preserve"> </w:t>
      </w:r>
      <w:r w:rsidRPr="00EE7791">
        <w:rPr>
          <w:rFonts w:cs="Arial"/>
          <w:i/>
          <w:sz w:val="20"/>
          <w:szCs w:val="20"/>
        </w:rPr>
        <w:t>Schimanek</w:t>
      </w:r>
      <w:r w:rsidRPr="00EE7791">
        <w:rPr>
          <w:rFonts w:cs="Arial"/>
          <w:i/>
          <w:sz w:val="20"/>
          <w:szCs w:val="20"/>
          <w:lang w:val="hr-HR"/>
        </w:rPr>
        <w:t xml:space="preserve"> </w:t>
      </w:r>
      <w:r w:rsidRPr="00EE7791">
        <w:rPr>
          <w:rFonts w:cs="Arial"/>
          <w:i/>
          <w:sz w:val="20"/>
          <w:szCs w:val="20"/>
        </w:rPr>
        <w:t>protiv</w:t>
      </w:r>
      <w:r w:rsidRPr="00EE7791">
        <w:rPr>
          <w:rFonts w:cs="Arial"/>
          <w:i/>
          <w:sz w:val="20"/>
          <w:szCs w:val="20"/>
          <w:lang w:val="hr-HR"/>
        </w:rPr>
        <w:t xml:space="preserve"> </w:t>
      </w:r>
      <w:r w:rsidRPr="00EE7791">
        <w:rPr>
          <w:rFonts w:cs="Arial"/>
          <w:i/>
          <w:sz w:val="20"/>
          <w:szCs w:val="20"/>
        </w:rPr>
        <w:t>Austrije</w:t>
      </w:r>
      <w:r w:rsidRPr="00EE7791">
        <w:rPr>
          <w:rFonts w:cs="Arial"/>
          <w:sz w:val="20"/>
          <w:szCs w:val="20"/>
          <w:lang w:val="hr-HR"/>
        </w:rPr>
        <w:t xml:space="preserve">, </w:t>
      </w:r>
      <w:r w:rsidRPr="00EE7791">
        <w:rPr>
          <w:rFonts w:cs="Arial"/>
          <w:sz w:val="20"/>
          <w:szCs w:val="20"/>
        </w:rPr>
        <w:t xml:space="preserve">zahtjev broj 32307/96, odluka </w:t>
      </w:r>
      <w:proofErr w:type="gramStart"/>
      <w:r w:rsidRPr="00EE7791">
        <w:rPr>
          <w:rFonts w:cs="Arial"/>
          <w:sz w:val="20"/>
          <w:szCs w:val="20"/>
        </w:rPr>
        <w:t>od</w:t>
      </w:r>
      <w:proofErr w:type="gramEnd"/>
      <w:r w:rsidRPr="00EE7791">
        <w:rPr>
          <w:rFonts w:cs="Arial"/>
          <w:sz w:val="20"/>
          <w:szCs w:val="20"/>
        </w:rPr>
        <w:t xml:space="preserve"> 1. </w:t>
      </w:r>
      <w:proofErr w:type="gramStart"/>
      <w:r w:rsidRPr="00EE7791">
        <w:rPr>
          <w:rFonts w:cs="Arial"/>
          <w:sz w:val="20"/>
          <w:szCs w:val="20"/>
        </w:rPr>
        <w:t>veljače</w:t>
      </w:r>
      <w:proofErr w:type="gramEnd"/>
      <w:r w:rsidRPr="00EE7791">
        <w:rPr>
          <w:rFonts w:cs="Arial"/>
          <w:sz w:val="20"/>
          <w:szCs w:val="20"/>
        </w:rPr>
        <w:t xml:space="preserve"> 2000.</w:t>
      </w:r>
    </w:p>
  </w:footnote>
  <w:footnote w:id="28">
    <w:p w:rsidR="00761B6C" w:rsidRPr="00EE7791" w:rsidRDefault="00761B6C" w:rsidP="00FA6ED9">
      <w:pPr>
        <w:spacing w:line="360" w:lineRule="auto"/>
        <w:rPr>
          <w:rFonts w:cs="Arial"/>
          <w:szCs w:val="22"/>
          <w:lang w:val="hr-HR"/>
        </w:rPr>
      </w:pPr>
      <w:r w:rsidRPr="008473E0">
        <w:rPr>
          <w:rStyle w:val="FootnoteReference"/>
          <w:rFonts w:cs="Arial"/>
        </w:rPr>
        <w:footnoteRef/>
      </w:r>
      <w:r w:rsidRPr="007316F1">
        <w:rPr>
          <w:rFonts w:cs="Arial"/>
          <w:lang w:val="hr-HR"/>
        </w:rPr>
        <w:t xml:space="preserve"> </w:t>
      </w:r>
      <w:r w:rsidRPr="00EE7791">
        <w:rPr>
          <w:rFonts w:cs="Arial"/>
          <w:sz w:val="20"/>
          <w:szCs w:val="20"/>
        </w:rPr>
        <w:t>Odluka</w:t>
      </w:r>
      <w:r w:rsidRPr="00EE7791">
        <w:rPr>
          <w:rFonts w:cs="Arial"/>
          <w:sz w:val="20"/>
          <w:szCs w:val="20"/>
          <w:lang w:val="hr-HR"/>
        </w:rPr>
        <w:t xml:space="preserve"> </w:t>
      </w:r>
      <w:r w:rsidRPr="00EE7791">
        <w:rPr>
          <w:rFonts w:cs="Arial"/>
          <w:sz w:val="20"/>
          <w:szCs w:val="20"/>
        </w:rPr>
        <w:t>o</w:t>
      </w:r>
      <w:r w:rsidRPr="00EE7791">
        <w:rPr>
          <w:rFonts w:cs="Arial"/>
          <w:sz w:val="20"/>
          <w:szCs w:val="20"/>
          <w:lang w:val="hr-HR"/>
        </w:rPr>
        <w:t xml:space="preserve"> </w:t>
      </w:r>
      <w:r w:rsidRPr="00EE7791">
        <w:rPr>
          <w:rFonts w:cs="Arial"/>
          <w:sz w:val="20"/>
          <w:szCs w:val="20"/>
        </w:rPr>
        <w:t>nedopu</w:t>
      </w:r>
      <w:r w:rsidRPr="00EE7791">
        <w:rPr>
          <w:rFonts w:cs="Arial"/>
          <w:sz w:val="20"/>
          <w:szCs w:val="20"/>
          <w:lang w:val="hr-HR"/>
        </w:rPr>
        <w:t>š</w:t>
      </w:r>
      <w:r w:rsidRPr="00EE7791">
        <w:rPr>
          <w:rFonts w:cs="Arial"/>
          <w:sz w:val="20"/>
          <w:szCs w:val="20"/>
        </w:rPr>
        <w:t>tenosti</w:t>
      </w:r>
      <w:r w:rsidRPr="00EE7791">
        <w:rPr>
          <w:rFonts w:cs="Arial"/>
          <w:i/>
          <w:sz w:val="20"/>
          <w:szCs w:val="20"/>
          <w:lang w:val="hr-HR"/>
        </w:rPr>
        <w:t xml:space="preserve"> Garaudy protiv Francuske</w:t>
      </w:r>
      <w:r w:rsidRPr="00EE7791">
        <w:rPr>
          <w:rFonts w:cs="Arial"/>
          <w:sz w:val="20"/>
          <w:szCs w:val="20"/>
          <w:lang w:val="hr-HR"/>
        </w:rPr>
        <w:t xml:space="preserve">, </w:t>
      </w:r>
      <w:r w:rsidRPr="00EE7791">
        <w:rPr>
          <w:rFonts w:cs="Arial"/>
          <w:sz w:val="20"/>
          <w:szCs w:val="20"/>
        </w:rPr>
        <w:t>zahtjev</w:t>
      </w:r>
      <w:r w:rsidRPr="00EE7791">
        <w:rPr>
          <w:rFonts w:cs="Arial"/>
          <w:sz w:val="20"/>
          <w:szCs w:val="20"/>
          <w:lang w:val="hr-HR"/>
        </w:rPr>
        <w:t xml:space="preserve"> </w:t>
      </w:r>
      <w:proofErr w:type="gramStart"/>
      <w:r w:rsidRPr="00EE7791">
        <w:rPr>
          <w:rFonts w:cs="Arial"/>
          <w:sz w:val="20"/>
          <w:szCs w:val="20"/>
        </w:rPr>
        <w:t>broj</w:t>
      </w:r>
      <w:r w:rsidRPr="00EE7791">
        <w:rPr>
          <w:rFonts w:cs="Arial"/>
          <w:sz w:val="20"/>
          <w:szCs w:val="20"/>
          <w:lang w:val="hr-HR"/>
        </w:rPr>
        <w:t xml:space="preserve"> </w:t>
      </w:r>
      <w:r>
        <w:rPr>
          <w:rFonts w:cs="Arial"/>
          <w:sz w:val="20"/>
          <w:szCs w:val="20"/>
          <w:lang w:val="hr-HR"/>
        </w:rPr>
        <w:t xml:space="preserve"> 65831</w:t>
      </w:r>
      <w:proofErr w:type="gramEnd"/>
      <w:r>
        <w:rPr>
          <w:rFonts w:cs="Arial"/>
          <w:sz w:val="20"/>
          <w:szCs w:val="20"/>
          <w:lang w:val="hr-HR"/>
        </w:rPr>
        <w:t>/01</w:t>
      </w:r>
      <w:r w:rsidRPr="00EE7791">
        <w:rPr>
          <w:rFonts w:cs="Arial"/>
          <w:sz w:val="20"/>
          <w:szCs w:val="20"/>
          <w:lang w:val="hr-HR"/>
        </w:rPr>
        <w:t>, odluka od 24. lipnja 2003.</w:t>
      </w:r>
    </w:p>
  </w:footnote>
  <w:footnote w:id="29">
    <w:p w:rsidR="00761B6C" w:rsidRPr="00FF039D" w:rsidRDefault="00761B6C" w:rsidP="0056798C">
      <w:pPr>
        <w:pStyle w:val="FootnoteText"/>
        <w:spacing w:line="360" w:lineRule="auto"/>
        <w:rPr>
          <w:lang w:val="hr-HR"/>
        </w:rPr>
      </w:pPr>
      <w:r w:rsidRPr="008473E0">
        <w:rPr>
          <w:rStyle w:val="FootnoteReference"/>
          <w:rFonts w:cs="Arial"/>
        </w:rPr>
        <w:footnoteRef/>
      </w:r>
      <w:r w:rsidRPr="00F26C52">
        <w:rPr>
          <w:rFonts w:cs="Arial"/>
          <w:lang w:val="hr-HR"/>
        </w:rPr>
        <w:t xml:space="preserve"> </w:t>
      </w:r>
      <w:r>
        <w:rPr>
          <w:rFonts w:cs="Arial"/>
        </w:rPr>
        <w:t>Odluka</w:t>
      </w:r>
      <w:r w:rsidRPr="00F26C52">
        <w:rPr>
          <w:rFonts w:cs="Arial"/>
          <w:lang w:val="hr-HR"/>
        </w:rPr>
        <w:t xml:space="preserve"> </w:t>
      </w:r>
      <w:r w:rsidRPr="00EE7791">
        <w:rPr>
          <w:rFonts w:cs="Arial"/>
          <w:lang w:val="hr-HR"/>
        </w:rPr>
        <w:t>o</w:t>
      </w:r>
      <w:r w:rsidRPr="00F26C52">
        <w:rPr>
          <w:rFonts w:cs="Arial"/>
          <w:lang w:val="hr-HR"/>
        </w:rPr>
        <w:t xml:space="preserve"> </w:t>
      </w:r>
      <w:r w:rsidRPr="00EE7791">
        <w:rPr>
          <w:rFonts w:cs="Arial"/>
          <w:lang w:val="hr-HR"/>
        </w:rPr>
        <w:t>nedopu</w:t>
      </w:r>
      <w:r w:rsidRPr="00F26C52">
        <w:rPr>
          <w:rFonts w:cs="Arial"/>
          <w:lang w:val="hr-HR"/>
        </w:rPr>
        <w:t>š</w:t>
      </w:r>
      <w:r w:rsidRPr="00EE7791">
        <w:rPr>
          <w:rFonts w:cs="Arial"/>
          <w:lang w:val="hr-HR"/>
        </w:rPr>
        <w:t>teno</w:t>
      </w:r>
      <w:r>
        <w:rPr>
          <w:rFonts w:cs="Arial"/>
        </w:rPr>
        <w:t>sti</w:t>
      </w:r>
      <w:r w:rsidRPr="00F26C52">
        <w:rPr>
          <w:rFonts w:cs="Arial"/>
          <w:i/>
          <w:lang w:val="hr-HR"/>
        </w:rPr>
        <w:t xml:space="preserve"> </w:t>
      </w:r>
      <w:r w:rsidRPr="008473E0">
        <w:rPr>
          <w:rFonts w:cs="Arial"/>
          <w:i/>
        </w:rPr>
        <w:t>Norwood</w:t>
      </w:r>
      <w:r w:rsidRPr="00F26C52">
        <w:rPr>
          <w:rFonts w:cs="Arial"/>
          <w:i/>
          <w:lang w:val="hr-HR"/>
        </w:rPr>
        <w:t xml:space="preserve"> </w:t>
      </w:r>
      <w:r>
        <w:rPr>
          <w:rFonts w:cs="Arial"/>
          <w:i/>
        </w:rPr>
        <w:t>protiv</w:t>
      </w:r>
      <w:r w:rsidRPr="00F26C52">
        <w:rPr>
          <w:rFonts w:cs="Arial"/>
          <w:i/>
          <w:lang w:val="hr-HR"/>
        </w:rPr>
        <w:t xml:space="preserve"> </w:t>
      </w:r>
      <w:r>
        <w:rPr>
          <w:rFonts w:cs="Arial"/>
          <w:i/>
        </w:rPr>
        <w:t>Ujedinjenog</w:t>
      </w:r>
      <w:r w:rsidRPr="00F26C52">
        <w:rPr>
          <w:rFonts w:cs="Arial"/>
          <w:i/>
          <w:lang w:val="hr-HR"/>
        </w:rPr>
        <w:t xml:space="preserve"> </w:t>
      </w:r>
      <w:r>
        <w:rPr>
          <w:rFonts w:cs="Arial"/>
          <w:i/>
        </w:rPr>
        <w:t>Kraljevstva</w:t>
      </w:r>
      <w:r w:rsidRPr="00F26C52">
        <w:rPr>
          <w:rFonts w:cs="Arial"/>
          <w:i/>
          <w:lang w:val="hr-HR"/>
        </w:rPr>
        <w:t xml:space="preserve">, </w:t>
      </w:r>
      <w:r>
        <w:rPr>
          <w:rFonts w:cs="Arial"/>
        </w:rPr>
        <w:t>zah</w:t>
      </w:r>
      <w:r w:rsidRPr="00EE7791">
        <w:rPr>
          <w:rFonts w:cs="Arial"/>
          <w:lang w:val="hr-HR"/>
        </w:rPr>
        <w:t>tjev</w:t>
      </w:r>
      <w:r w:rsidRPr="007316F1">
        <w:rPr>
          <w:rFonts w:cs="Arial"/>
          <w:lang w:val="hr-HR"/>
        </w:rPr>
        <w:t xml:space="preserve"> </w:t>
      </w:r>
      <w:proofErr w:type="gramStart"/>
      <w:r w:rsidRPr="00EE7791">
        <w:rPr>
          <w:rFonts w:cs="Arial"/>
          <w:lang w:val="hr-HR"/>
        </w:rPr>
        <w:t>broj</w:t>
      </w:r>
      <w:r w:rsidRPr="007316F1">
        <w:rPr>
          <w:rFonts w:cs="Arial"/>
          <w:lang w:val="hr-HR"/>
        </w:rPr>
        <w:t xml:space="preserve"> </w:t>
      </w:r>
      <w:r>
        <w:rPr>
          <w:rFonts w:cs="Arial"/>
          <w:lang w:val="hr-HR"/>
        </w:rPr>
        <w:t xml:space="preserve"> </w:t>
      </w:r>
      <w:r w:rsidRPr="00F26C52">
        <w:rPr>
          <w:rFonts w:cs="Arial"/>
          <w:lang w:val="hr-HR"/>
        </w:rPr>
        <w:t>23131</w:t>
      </w:r>
      <w:proofErr w:type="gramEnd"/>
      <w:r w:rsidRPr="00F26C52">
        <w:rPr>
          <w:rFonts w:cs="Arial"/>
          <w:lang w:val="hr-HR"/>
        </w:rPr>
        <w:t>/03</w:t>
      </w:r>
      <w:r>
        <w:rPr>
          <w:rFonts w:cs="Arial"/>
          <w:lang w:val="hr-HR"/>
        </w:rPr>
        <w:t xml:space="preserve">, </w:t>
      </w:r>
      <w:r w:rsidRPr="00EE7791">
        <w:rPr>
          <w:rFonts w:cs="Arial"/>
          <w:lang w:val="hr-HR"/>
        </w:rPr>
        <w:t>odluka od 16. studeni 2004.</w:t>
      </w:r>
    </w:p>
  </w:footnote>
  <w:footnote w:id="30">
    <w:p w:rsidR="00761B6C" w:rsidRPr="00BC65AB" w:rsidRDefault="00761B6C" w:rsidP="0056798C">
      <w:pPr>
        <w:pStyle w:val="FootnoteText"/>
        <w:spacing w:line="360" w:lineRule="auto"/>
        <w:rPr>
          <w:rFonts w:cs="Arial"/>
        </w:rPr>
      </w:pPr>
      <w:r>
        <w:rPr>
          <w:rStyle w:val="FootnoteReference"/>
        </w:rPr>
        <w:footnoteRef/>
      </w:r>
      <w:r>
        <w:t xml:space="preserve"> </w:t>
      </w:r>
      <w:r>
        <w:rPr>
          <w:rFonts w:cs="Arial"/>
        </w:rPr>
        <w:t>Odluka o nedopuštenosti</w:t>
      </w:r>
      <w:r w:rsidRPr="00BC65AB">
        <w:rPr>
          <w:rFonts w:cs="Arial"/>
        </w:rPr>
        <w:t xml:space="preserve"> </w:t>
      </w:r>
      <w:r w:rsidRPr="00BC65AB">
        <w:rPr>
          <w:rFonts w:cs="Arial"/>
          <w:i/>
        </w:rPr>
        <w:t xml:space="preserve">Glimmerveen </w:t>
      </w:r>
      <w:r>
        <w:rPr>
          <w:rFonts w:cs="Arial"/>
          <w:i/>
        </w:rPr>
        <w:t>i</w:t>
      </w:r>
      <w:r w:rsidRPr="00BC65AB">
        <w:rPr>
          <w:rFonts w:cs="Arial"/>
          <w:i/>
        </w:rPr>
        <w:t xml:space="preserve"> Hagenbeek protiv Nizozemske</w:t>
      </w:r>
      <w:r w:rsidRPr="00BC65AB">
        <w:rPr>
          <w:rFonts w:cs="Arial"/>
        </w:rPr>
        <w:t>, p</w:t>
      </w:r>
      <w:r>
        <w:rPr>
          <w:rFonts w:cs="Arial"/>
        </w:rPr>
        <w:t xml:space="preserve">redmeti broj 8348/78 i 8406/78., </w:t>
      </w:r>
      <w:r w:rsidRPr="00EE7791">
        <w:rPr>
          <w:rFonts w:cs="Arial"/>
        </w:rPr>
        <w:t xml:space="preserve">odluka </w:t>
      </w:r>
      <w:proofErr w:type="gramStart"/>
      <w:r w:rsidRPr="00EE7791">
        <w:rPr>
          <w:rFonts w:cs="Arial"/>
        </w:rPr>
        <w:t>od</w:t>
      </w:r>
      <w:proofErr w:type="gramEnd"/>
      <w:r w:rsidRPr="00EE7791">
        <w:rPr>
          <w:rFonts w:cs="Arial"/>
        </w:rPr>
        <w:t xml:space="preserve"> 11. listopada 1979.</w:t>
      </w:r>
    </w:p>
  </w:footnote>
  <w:footnote w:id="31">
    <w:p w:rsidR="00761B6C" w:rsidRPr="00082519" w:rsidRDefault="00761B6C" w:rsidP="00082519">
      <w:pPr>
        <w:spacing w:line="360" w:lineRule="auto"/>
        <w:jc w:val="both"/>
        <w:rPr>
          <w:rFonts w:cs="Arial"/>
          <w:szCs w:val="22"/>
          <w:lang w:val="hr-HR"/>
        </w:rPr>
      </w:pPr>
      <w:r>
        <w:rPr>
          <w:rStyle w:val="FootnoteReference"/>
        </w:rPr>
        <w:footnoteRef/>
      </w:r>
      <w:r>
        <w:t xml:space="preserve"> </w:t>
      </w:r>
      <w:r w:rsidRPr="00082519">
        <w:rPr>
          <w:rFonts w:cs="Arial"/>
          <w:sz w:val="20"/>
          <w:szCs w:val="20"/>
        </w:rPr>
        <w:t>Alaburić, Vesna; Ograničavanje „govora mržnje</w:t>
      </w:r>
      <w:proofErr w:type="gramStart"/>
      <w:r w:rsidRPr="00082519">
        <w:rPr>
          <w:rFonts w:cs="Arial"/>
          <w:sz w:val="20"/>
          <w:szCs w:val="20"/>
        </w:rPr>
        <w:t>“ u</w:t>
      </w:r>
      <w:proofErr w:type="gramEnd"/>
      <w:r w:rsidRPr="00082519">
        <w:rPr>
          <w:rFonts w:cs="Arial"/>
          <w:sz w:val="20"/>
          <w:szCs w:val="20"/>
        </w:rPr>
        <w:t xml:space="preserve"> demokratskome društvu – teorijski, zakonodavni i praktični aspekti -, u: Hrvatska pravna revija 3(2003),2; str. 81.</w:t>
      </w:r>
    </w:p>
  </w:footnote>
  <w:footnote w:id="32">
    <w:p w:rsidR="00761B6C" w:rsidRPr="00DF3651" w:rsidRDefault="00761B6C" w:rsidP="0056798C">
      <w:pPr>
        <w:pStyle w:val="FootnoteText"/>
        <w:spacing w:line="360" w:lineRule="auto"/>
        <w:rPr>
          <w:lang w:val="hr-HR"/>
        </w:rPr>
      </w:pPr>
      <w:r>
        <w:rPr>
          <w:rStyle w:val="FootnoteReference"/>
        </w:rPr>
        <w:footnoteRef/>
      </w:r>
      <w:r>
        <w:t xml:space="preserve"> </w:t>
      </w:r>
      <w:r w:rsidRPr="00870891">
        <w:rPr>
          <w:i/>
          <w:lang w:val="hr-HR"/>
        </w:rPr>
        <w:t>Gunduz protiv Turske</w:t>
      </w:r>
      <w:r>
        <w:rPr>
          <w:lang w:val="hr-HR"/>
        </w:rPr>
        <w:t xml:space="preserve">, zahtjev broj  </w:t>
      </w:r>
      <w:r w:rsidRPr="00DF3651">
        <w:rPr>
          <w:lang w:val="hr-HR"/>
        </w:rPr>
        <w:t>35071/97</w:t>
      </w:r>
      <w:r>
        <w:rPr>
          <w:lang w:val="hr-HR"/>
        </w:rPr>
        <w:t xml:space="preserve">, </w:t>
      </w:r>
      <w:r w:rsidRPr="00C6784F">
        <w:rPr>
          <w:lang w:val="hr-HR"/>
        </w:rPr>
        <w:t>presuda od 4</w:t>
      </w:r>
      <w:r>
        <w:rPr>
          <w:lang w:val="hr-HR"/>
        </w:rPr>
        <w:t>.</w:t>
      </w:r>
      <w:r w:rsidRPr="00C6784F">
        <w:rPr>
          <w:lang w:val="hr-HR"/>
        </w:rPr>
        <w:t xml:space="preserve"> prosinca 2003., </w:t>
      </w:r>
      <w:r>
        <w:rPr>
          <w:lang w:val="hr-HR"/>
        </w:rPr>
        <w:t xml:space="preserve">paragraf 40. </w:t>
      </w:r>
    </w:p>
  </w:footnote>
  <w:footnote w:id="33">
    <w:p w:rsidR="00761B6C" w:rsidRPr="00DF3651" w:rsidRDefault="00761B6C" w:rsidP="0056798C">
      <w:pPr>
        <w:pStyle w:val="FootnoteText"/>
        <w:spacing w:line="360" w:lineRule="auto"/>
        <w:rPr>
          <w:lang w:val="hr-HR"/>
        </w:rPr>
      </w:pPr>
      <w:r>
        <w:rPr>
          <w:rStyle w:val="FootnoteReference"/>
        </w:rPr>
        <w:footnoteRef/>
      </w:r>
      <w:r w:rsidRPr="007316F1">
        <w:rPr>
          <w:lang w:val="hr-HR"/>
        </w:rPr>
        <w:t xml:space="preserve"> </w:t>
      </w:r>
      <w:r w:rsidRPr="00870891">
        <w:rPr>
          <w:i/>
          <w:lang w:val="hr-HR"/>
        </w:rPr>
        <w:t>Jersild protiv Danske</w:t>
      </w:r>
      <w:r>
        <w:rPr>
          <w:lang w:val="hr-HR"/>
        </w:rPr>
        <w:t xml:space="preserve">, zahtjev broj  15890/89, </w:t>
      </w:r>
      <w:r w:rsidRPr="00C6784F">
        <w:rPr>
          <w:lang w:val="hr-HR"/>
        </w:rPr>
        <w:t>presuda od 23</w:t>
      </w:r>
      <w:r>
        <w:rPr>
          <w:lang w:val="hr-HR"/>
        </w:rPr>
        <w:t>.</w:t>
      </w:r>
      <w:r w:rsidRPr="00C6784F">
        <w:rPr>
          <w:lang w:val="hr-HR"/>
        </w:rPr>
        <w:t xml:space="preserve"> rujna 1994.,</w:t>
      </w:r>
      <w:r>
        <w:rPr>
          <w:lang w:val="hr-HR"/>
        </w:rPr>
        <w:t xml:space="preserve"> paragraf 35.</w:t>
      </w:r>
    </w:p>
  </w:footnote>
  <w:footnote w:id="34">
    <w:p w:rsidR="00761B6C" w:rsidRPr="00985DEC" w:rsidRDefault="00761B6C" w:rsidP="00D902E9">
      <w:pPr>
        <w:pStyle w:val="FootnoteText"/>
        <w:spacing w:line="360" w:lineRule="auto"/>
        <w:rPr>
          <w:rFonts w:cs="Arial"/>
          <w:lang w:val="hr-HR"/>
        </w:rPr>
      </w:pPr>
      <w:r w:rsidRPr="00985DEC">
        <w:rPr>
          <w:rStyle w:val="FootnoteReference"/>
          <w:rFonts w:cs="Arial"/>
        </w:rPr>
        <w:footnoteRef/>
      </w:r>
      <w:r w:rsidRPr="0056798C">
        <w:rPr>
          <w:rFonts w:cs="Arial"/>
          <w:lang w:val="hr-HR"/>
        </w:rPr>
        <w:t xml:space="preserve"> </w:t>
      </w:r>
      <w:r w:rsidRPr="00985DEC">
        <w:rPr>
          <w:rFonts w:cs="Arial"/>
          <w:i/>
        </w:rPr>
        <w:t>Gaw</w:t>
      </w:r>
      <w:r w:rsidRPr="0056798C">
        <w:rPr>
          <w:rFonts w:cs="Arial"/>
          <w:i/>
          <w:lang w:val="hr-HR"/>
        </w:rPr>
        <w:t>ę</w:t>
      </w:r>
      <w:r w:rsidRPr="00985DEC">
        <w:rPr>
          <w:rFonts w:cs="Arial"/>
          <w:i/>
        </w:rPr>
        <w:t>da</w:t>
      </w:r>
      <w:r w:rsidRPr="0056798C">
        <w:rPr>
          <w:rFonts w:cs="Arial"/>
          <w:i/>
          <w:lang w:val="hr-HR"/>
        </w:rPr>
        <w:t xml:space="preserve"> </w:t>
      </w:r>
      <w:r w:rsidRPr="00985DEC">
        <w:rPr>
          <w:rFonts w:cs="Arial"/>
          <w:i/>
          <w:lang w:val="hr-HR"/>
        </w:rPr>
        <w:t>protiv</w:t>
      </w:r>
      <w:r w:rsidRPr="0056798C">
        <w:rPr>
          <w:rFonts w:cs="Arial"/>
          <w:i/>
          <w:lang w:val="hr-HR"/>
        </w:rPr>
        <w:t xml:space="preserve"> </w:t>
      </w:r>
      <w:r w:rsidRPr="00985DEC">
        <w:rPr>
          <w:rFonts w:cs="Arial"/>
          <w:i/>
        </w:rPr>
        <w:t>Poljske</w:t>
      </w:r>
      <w:r w:rsidRPr="0056798C">
        <w:rPr>
          <w:rFonts w:cs="Arial"/>
          <w:lang w:val="hr-HR"/>
        </w:rPr>
        <w:t xml:space="preserve">, </w:t>
      </w:r>
      <w:r>
        <w:rPr>
          <w:rFonts w:cs="Arial"/>
        </w:rPr>
        <w:t>zahtjev</w:t>
      </w:r>
      <w:r w:rsidRPr="007316F1">
        <w:rPr>
          <w:rFonts w:cs="Arial"/>
          <w:lang w:val="hr-HR"/>
        </w:rPr>
        <w:t xml:space="preserve"> </w:t>
      </w:r>
      <w:r>
        <w:rPr>
          <w:rFonts w:cs="Arial"/>
        </w:rPr>
        <w:t>broj</w:t>
      </w:r>
      <w:r w:rsidRPr="007316F1">
        <w:rPr>
          <w:rFonts w:cs="Arial"/>
          <w:lang w:val="hr-HR"/>
        </w:rPr>
        <w:t xml:space="preserve"> </w:t>
      </w:r>
      <w:r w:rsidRPr="0056798C">
        <w:rPr>
          <w:rFonts w:cs="Arial"/>
          <w:lang w:val="hr-HR"/>
        </w:rPr>
        <w:t>26229/95,</w:t>
      </w:r>
      <w:r w:rsidRPr="00C6784F">
        <w:rPr>
          <w:rFonts w:cs="Arial"/>
          <w:lang w:val="hr-HR"/>
        </w:rPr>
        <w:t xml:space="preserve"> </w:t>
      </w:r>
      <w:r>
        <w:rPr>
          <w:rFonts w:cs="Arial"/>
          <w:lang w:val="hr-HR"/>
        </w:rPr>
        <w:t xml:space="preserve">presuda </w:t>
      </w:r>
      <w:proofErr w:type="gramStart"/>
      <w:r>
        <w:rPr>
          <w:rFonts w:cs="Arial"/>
          <w:lang w:val="hr-HR"/>
        </w:rPr>
        <w:t>od</w:t>
      </w:r>
      <w:proofErr w:type="gramEnd"/>
      <w:r>
        <w:rPr>
          <w:rFonts w:cs="Arial"/>
          <w:lang w:val="hr-HR"/>
        </w:rPr>
        <w:t xml:space="preserve"> </w:t>
      </w:r>
      <w:r w:rsidRPr="00C6784F">
        <w:rPr>
          <w:rFonts w:cs="Arial"/>
          <w:lang w:val="hr-HR"/>
        </w:rPr>
        <w:t>14</w:t>
      </w:r>
      <w:r>
        <w:rPr>
          <w:rFonts w:cs="Arial"/>
          <w:lang w:val="hr-HR"/>
        </w:rPr>
        <w:t>.</w:t>
      </w:r>
      <w:r w:rsidRPr="00C6784F">
        <w:rPr>
          <w:rFonts w:cs="Arial"/>
          <w:lang w:val="hr-HR"/>
        </w:rPr>
        <w:t xml:space="preserve"> ožujka 2002.</w:t>
      </w:r>
      <w:r>
        <w:rPr>
          <w:rFonts w:cs="Arial"/>
          <w:lang w:val="hr-HR"/>
        </w:rPr>
        <w:t>,</w:t>
      </w:r>
      <w:r w:rsidRPr="0056798C">
        <w:rPr>
          <w:rFonts w:cs="Arial"/>
          <w:lang w:val="hr-HR"/>
        </w:rPr>
        <w:t xml:space="preserve"> </w:t>
      </w:r>
      <w:r w:rsidRPr="00C6784F">
        <w:rPr>
          <w:rFonts w:cs="Arial"/>
          <w:lang w:val="hr-HR"/>
        </w:rPr>
        <w:t>paragraf</w:t>
      </w:r>
      <w:r w:rsidRPr="0056798C">
        <w:rPr>
          <w:rFonts w:cs="Arial"/>
          <w:lang w:val="hr-HR"/>
        </w:rPr>
        <w:t xml:space="preserve"> 39.</w:t>
      </w:r>
    </w:p>
  </w:footnote>
  <w:footnote w:id="35">
    <w:p w:rsidR="00761B6C" w:rsidRPr="00F26C52" w:rsidRDefault="00761B6C" w:rsidP="00EE7791">
      <w:pPr>
        <w:pStyle w:val="FootnoteText"/>
        <w:tabs>
          <w:tab w:val="left" w:pos="9072"/>
        </w:tabs>
        <w:spacing w:line="360" w:lineRule="auto"/>
        <w:rPr>
          <w:rFonts w:cs="Arial"/>
          <w:lang w:val="hr-HR"/>
        </w:rPr>
      </w:pPr>
      <w:r w:rsidRPr="00985DEC">
        <w:rPr>
          <w:rFonts w:cs="Arial"/>
          <w:vertAlign w:val="superscript"/>
        </w:rPr>
        <w:footnoteRef/>
      </w:r>
      <w:r w:rsidRPr="00F26C52">
        <w:rPr>
          <w:rFonts w:cs="Arial"/>
          <w:lang w:val="hr-HR"/>
        </w:rPr>
        <w:t xml:space="preserve"> </w:t>
      </w:r>
      <w:r w:rsidRPr="00985DEC">
        <w:rPr>
          <w:rFonts w:cs="Arial"/>
          <w:i/>
        </w:rPr>
        <w:t>M</w:t>
      </w:r>
      <w:r w:rsidRPr="00F26C52">
        <w:rPr>
          <w:rFonts w:cs="Arial"/>
          <w:i/>
          <w:lang w:val="hr-HR"/>
        </w:rPr>
        <w:t>ü</w:t>
      </w:r>
      <w:r w:rsidRPr="00985DEC">
        <w:rPr>
          <w:rFonts w:cs="Arial"/>
          <w:i/>
        </w:rPr>
        <w:t>ller</w:t>
      </w:r>
      <w:r w:rsidRPr="00F26C52">
        <w:rPr>
          <w:rFonts w:cs="Arial"/>
          <w:i/>
          <w:lang w:val="hr-HR"/>
        </w:rPr>
        <w:t xml:space="preserve"> </w:t>
      </w:r>
      <w:r w:rsidRPr="00985DEC">
        <w:rPr>
          <w:rFonts w:cs="Arial"/>
          <w:i/>
        </w:rPr>
        <w:t>i</w:t>
      </w:r>
      <w:r w:rsidRPr="00F26C52">
        <w:rPr>
          <w:rFonts w:cs="Arial"/>
          <w:i/>
          <w:lang w:val="hr-HR"/>
        </w:rPr>
        <w:t xml:space="preserve"> </w:t>
      </w:r>
      <w:r w:rsidRPr="00985DEC">
        <w:rPr>
          <w:rFonts w:cs="Arial"/>
          <w:i/>
        </w:rPr>
        <w:t>drugi</w:t>
      </w:r>
      <w:r w:rsidRPr="00985DEC">
        <w:rPr>
          <w:rFonts w:cs="Arial"/>
          <w:i/>
          <w:lang w:val="hr-HR"/>
        </w:rPr>
        <w:t xml:space="preserve"> protiv</w:t>
      </w:r>
      <w:r w:rsidRPr="00F26C52">
        <w:rPr>
          <w:rFonts w:cs="Arial"/>
          <w:i/>
          <w:lang w:val="hr-HR"/>
        </w:rPr>
        <w:t xml:space="preserve"> Š</w:t>
      </w:r>
      <w:r w:rsidRPr="00985DEC">
        <w:rPr>
          <w:rFonts w:cs="Arial"/>
          <w:i/>
        </w:rPr>
        <w:t>vicarske</w:t>
      </w:r>
      <w:r w:rsidRPr="00F26C52">
        <w:rPr>
          <w:rFonts w:cs="Arial"/>
          <w:lang w:val="hr-HR"/>
        </w:rPr>
        <w:t xml:space="preserve"> </w:t>
      </w:r>
      <w:r>
        <w:rPr>
          <w:rFonts w:cs="Arial"/>
        </w:rPr>
        <w:t>zahtjev</w:t>
      </w:r>
      <w:r w:rsidRPr="007316F1">
        <w:rPr>
          <w:rFonts w:cs="Arial"/>
          <w:lang w:val="hr-HR"/>
        </w:rPr>
        <w:t xml:space="preserve"> </w:t>
      </w:r>
      <w:r>
        <w:rPr>
          <w:rFonts w:cs="Arial"/>
        </w:rPr>
        <w:t>broj</w:t>
      </w:r>
      <w:r w:rsidRPr="007316F1">
        <w:rPr>
          <w:rFonts w:cs="Arial"/>
          <w:lang w:val="hr-HR"/>
        </w:rPr>
        <w:t xml:space="preserve"> </w:t>
      </w:r>
      <w:r>
        <w:rPr>
          <w:rFonts w:cs="Arial"/>
          <w:lang w:val="hr-HR"/>
        </w:rPr>
        <w:t>10737/84,</w:t>
      </w:r>
      <w:r w:rsidRPr="00F26C52">
        <w:rPr>
          <w:rFonts w:cs="Arial"/>
          <w:lang w:val="hr-HR"/>
        </w:rPr>
        <w:t xml:space="preserve"> </w:t>
      </w:r>
      <w:r w:rsidRPr="002E246F">
        <w:rPr>
          <w:rFonts w:cs="Arial"/>
          <w:lang w:val="hr-HR"/>
        </w:rPr>
        <w:t xml:space="preserve">presuda </w:t>
      </w:r>
      <w:proofErr w:type="gramStart"/>
      <w:r w:rsidRPr="002E246F">
        <w:rPr>
          <w:rFonts w:cs="Arial"/>
          <w:lang w:val="hr-HR"/>
        </w:rPr>
        <w:t>od</w:t>
      </w:r>
      <w:proofErr w:type="gramEnd"/>
      <w:r w:rsidRPr="002E246F">
        <w:rPr>
          <w:rFonts w:cs="Arial"/>
          <w:lang w:val="hr-HR"/>
        </w:rPr>
        <w:t xml:space="preserve"> 24</w:t>
      </w:r>
      <w:r>
        <w:rPr>
          <w:rFonts w:cs="Arial"/>
          <w:lang w:val="hr-HR"/>
        </w:rPr>
        <w:t>.</w:t>
      </w:r>
      <w:r w:rsidRPr="002E246F">
        <w:rPr>
          <w:rFonts w:cs="Arial"/>
          <w:lang w:val="hr-HR"/>
        </w:rPr>
        <w:t xml:space="preserve"> svibnja 1988., paragraf</w:t>
      </w:r>
      <w:r w:rsidRPr="00F26C52">
        <w:rPr>
          <w:rFonts w:cs="Arial"/>
          <w:lang w:val="hr-HR"/>
        </w:rPr>
        <w:t xml:space="preserve"> 29</w:t>
      </w:r>
      <w:r>
        <w:rPr>
          <w:rFonts w:cs="Arial"/>
          <w:lang w:val="hr-HR"/>
        </w:rPr>
        <w:t>.</w:t>
      </w:r>
      <w:r w:rsidRPr="00F26C52">
        <w:rPr>
          <w:rFonts w:cs="Arial"/>
          <w:lang w:val="hr-HR"/>
        </w:rPr>
        <w:t xml:space="preserve">; </w:t>
      </w:r>
      <w:r w:rsidRPr="00985DEC">
        <w:rPr>
          <w:rFonts w:cs="Arial"/>
        </w:rPr>
        <w:t>Odluka</w:t>
      </w:r>
      <w:r w:rsidRPr="00F26C52">
        <w:rPr>
          <w:rFonts w:cs="Arial"/>
          <w:lang w:val="hr-HR"/>
        </w:rPr>
        <w:t xml:space="preserve"> </w:t>
      </w:r>
      <w:r w:rsidRPr="00985DEC">
        <w:rPr>
          <w:rFonts w:cs="Arial"/>
        </w:rPr>
        <w:t>o</w:t>
      </w:r>
      <w:r w:rsidRPr="00F26C52">
        <w:rPr>
          <w:rFonts w:cs="Arial"/>
          <w:lang w:val="hr-HR"/>
        </w:rPr>
        <w:t xml:space="preserve"> </w:t>
      </w:r>
      <w:r w:rsidRPr="00985DEC">
        <w:rPr>
          <w:rFonts w:cs="Arial"/>
        </w:rPr>
        <w:t>nedopu</w:t>
      </w:r>
      <w:r w:rsidRPr="00F26C52">
        <w:rPr>
          <w:rFonts w:cs="Arial"/>
          <w:lang w:val="hr-HR"/>
        </w:rPr>
        <w:t>š</w:t>
      </w:r>
      <w:r w:rsidRPr="00985DEC">
        <w:rPr>
          <w:rFonts w:cs="Arial"/>
        </w:rPr>
        <w:t>tenosti</w:t>
      </w:r>
      <w:r w:rsidRPr="00F26C52">
        <w:rPr>
          <w:rFonts w:cs="Arial"/>
          <w:lang w:val="hr-HR"/>
        </w:rPr>
        <w:t xml:space="preserve"> </w:t>
      </w:r>
      <w:r w:rsidRPr="00985DEC">
        <w:rPr>
          <w:rFonts w:cs="Arial"/>
          <w:i/>
        </w:rPr>
        <w:t>Perrin</w:t>
      </w:r>
      <w:r w:rsidRPr="00F26C52">
        <w:rPr>
          <w:rFonts w:cs="Arial"/>
          <w:i/>
          <w:lang w:val="hr-HR"/>
        </w:rPr>
        <w:t xml:space="preserve"> </w:t>
      </w:r>
      <w:r w:rsidRPr="00985DEC">
        <w:rPr>
          <w:rFonts w:cs="Arial"/>
          <w:i/>
          <w:lang w:val="hr-HR"/>
        </w:rPr>
        <w:t>protiv Ujedinjenog Kraljevstva</w:t>
      </w:r>
      <w:r w:rsidRPr="00F26C52">
        <w:rPr>
          <w:rFonts w:cs="Arial"/>
          <w:lang w:val="hr-HR"/>
        </w:rPr>
        <w:t xml:space="preserve">, </w:t>
      </w:r>
      <w:r>
        <w:rPr>
          <w:rFonts w:cs="Arial"/>
        </w:rPr>
        <w:t>zahtjev</w:t>
      </w:r>
      <w:r w:rsidRPr="007316F1">
        <w:rPr>
          <w:rFonts w:cs="Arial"/>
          <w:lang w:val="hr-HR"/>
        </w:rPr>
        <w:t xml:space="preserve"> </w:t>
      </w:r>
      <w:proofErr w:type="gramStart"/>
      <w:r>
        <w:rPr>
          <w:rFonts w:cs="Arial"/>
        </w:rPr>
        <w:t>broj</w:t>
      </w:r>
      <w:r w:rsidRPr="007316F1">
        <w:rPr>
          <w:rFonts w:cs="Arial"/>
          <w:lang w:val="hr-HR"/>
        </w:rPr>
        <w:t xml:space="preserve"> </w:t>
      </w:r>
      <w:r w:rsidRPr="00F26C52">
        <w:rPr>
          <w:rFonts w:cs="Arial"/>
          <w:lang w:val="hr-HR"/>
        </w:rPr>
        <w:t xml:space="preserve"> 5446</w:t>
      </w:r>
      <w:proofErr w:type="gramEnd"/>
      <w:r w:rsidRPr="00F26C52">
        <w:rPr>
          <w:rFonts w:cs="Arial"/>
          <w:lang w:val="hr-HR"/>
        </w:rPr>
        <w:t>/03.</w:t>
      </w:r>
      <w:r>
        <w:rPr>
          <w:rFonts w:cs="Arial"/>
          <w:lang w:val="hr-HR"/>
        </w:rPr>
        <w:t xml:space="preserve">, </w:t>
      </w:r>
      <w:r w:rsidRPr="00EE7791">
        <w:rPr>
          <w:rFonts w:cs="Arial"/>
          <w:lang w:val="hr-HR"/>
        </w:rPr>
        <w:t>odluka od 18. listopada 2005.</w:t>
      </w:r>
    </w:p>
  </w:footnote>
  <w:footnote w:id="36">
    <w:p w:rsidR="00761B6C" w:rsidRPr="005C0167" w:rsidRDefault="00761B6C" w:rsidP="0056798C">
      <w:pPr>
        <w:pStyle w:val="FootnoteText"/>
        <w:spacing w:line="360" w:lineRule="auto"/>
        <w:rPr>
          <w:rFonts w:cs="Arial"/>
        </w:rPr>
      </w:pPr>
      <w:r w:rsidRPr="00985DEC">
        <w:rPr>
          <w:rStyle w:val="FootnoteReference"/>
          <w:rFonts w:cs="Arial"/>
        </w:rPr>
        <w:footnoteRef/>
      </w:r>
      <w:r w:rsidRPr="00985DEC">
        <w:rPr>
          <w:rFonts w:cs="Arial"/>
        </w:rPr>
        <w:t xml:space="preserve"> </w:t>
      </w:r>
      <w:r w:rsidRPr="00985DEC">
        <w:rPr>
          <w:rFonts w:cs="Arial"/>
          <w:i/>
        </w:rPr>
        <w:t xml:space="preserve">Editorial board of Pravoye Delo i Shtekel </w:t>
      </w:r>
      <w:r w:rsidRPr="00985DEC">
        <w:rPr>
          <w:rFonts w:cs="Arial"/>
          <w:i/>
          <w:lang w:val="hr-HR"/>
        </w:rPr>
        <w:t>protiv</w:t>
      </w:r>
      <w:r w:rsidRPr="00985DEC">
        <w:rPr>
          <w:rFonts w:cs="Arial"/>
          <w:i/>
        </w:rPr>
        <w:t xml:space="preserve"> Ukrajine</w:t>
      </w:r>
      <w:r w:rsidRPr="00985DEC">
        <w:rPr>
          <w:rFonts w:cs="Arial"/>
        </w:rPr>
        <w:t xml:space="preserve">, </w:t>
      </w:r>
      <w:r>
        <w:rPr>
          <w:rFonts w:cs="Arial"/>
        </w:rPr>
        <w:t xml:space="preserve">zahtjev broj </w:t>
      </w:r>
      <w:r w:rsidRPr="00985DEC">
        <w:rPr>
          <w:rFonts w:cs="Arial"/>
        </w:rPr>
        <w:t>33014/05,</w:t>
      </w:r>
      <w:r>
        <w:rPr>
          <w:rFonts w:cs="Arial"/>
        </w:rPr>
        <w:t xml:space="preserve"> </w:t>
      </w:r>
      <w:r w:rsidRPr="005C0167">
        <w:rPr>
          <w:rFonts w:cs="Arial"/>
        </w:rPr>
        <w:t xml:space="preserve">presuda </w:t>
      </w:r>
      <w:proofErr w:type="gramStart"/>
      <w:r w:rsidRPr="005C0167">
        <w:rPr>
          <w:rFonts w:cs="Arial"/>
        </w:rPr>
        <w:t>od</w:t>
      </w:r>
      <w:proofErr w:type="gramEnd"/>
      <w:r w:rsidRPr="005C0167">
        <w:rPr>
          <w:rFonts w:cs="Arial"/>
        </w:rPr>
        <w:t xml:space="preserve"> 5</w:t>
      </w:r>
      <w:r>
        <w:rPr>
          <w:rFonts w:cs="Arial"/>
        </w:rPr>
        <w:t>.</w:t>
      </w:r>
      <w:r w:rsidRPr="005C0167">
        <w:rPr>
          <w:rFonts w:cs="Arial"/>
        </w:rPr>
        <w:t xml:space="preserve"> svibnja 2011.</w:t>
      </w:r>
      <w:r w:rsidRPr="00985DEC">
        <w:rPr>
          <w:rFonts w:cs="Arial"/>
        </w:rPr>
        <w:t xml:space="preserve"> </w:t>
      </w:r>
      <w:proofErr w:type="gramStart"/>
      <w:r w:rsidRPr="00985DEC">
        <w:rPr>
          <w:rFonts w:cs="Arial"/>
        </w:rPr>
        <w:t>paragraf</w:t>
      </w:r>
      <w:proofErr w:type="gramEnd"/>
      <w:r w:rsidRPr="00985DEC">
        <w:rPr>
          <w:rFonts w:cs="Arial"/>
        </w:rPr>
        <w:t xml:space="preserve"> 52.</w:t>
      </w:r>
    </w:p>
  </w:footnote>
  <w:footnote w:id="37">
    <w:p w:rsidR="00761B6C" w:rsidRPr="0086397B" w:rsidRDefault="00761B6C" w:rsidP="0056798C">
      <w:pPr>
        <w:pStyle w:val="FootnoteText"/>
        <w:spacing w:line="360" w:lineRule="auto"/>
        <w:rPr>
          <w:rFonts w:cs="Arial"/>
          <w:lang w:val="hr-HR"/>
        </w:rPr>
      </w:pPr>
      <w:r w:rsidRPr="00985DEC">
        <w:rPr>
          <w:rStyle w:val="FootnoteReference"/>
          <w:rFonts w:cs="Arial"/>
        </w:rPr>
        <w:footnoteRef/>
      </w:r>
      <w:r w:rsidRPr="00F26C52">
        <w:rPr>
          <w:rFonts w:cs="Arial"/>
          <w:lang w:val="fr-FR"/>
        </w:rPr>
        <w:t xml:space="preserve"> </w:t>
      </w:r>
      <w:r w:rsidRPr="00985DEC">
        <w:rPr>
          <w:rFonts w:cs="Arial"/>
          <w:i/>
          <w:lang w:val="hr-HR"/>
        </w:rPr>
        <w:t>Kafkaris protiv Cipra</w:t>
      </w:r>
      <w:r w:rsidRPr="00985DEC">
        <w:rPr>
          <w:rFonts w:cs="Arial"/>
          <w:lang w:val="hr-HR"/>
        </w:rPr>
        <w:t xml:space="preserve">, </w:t>
      </w:r>
      <w:r>
        <w:rPr>
          <w:rFonts w:cs="Arial"/>
          <w:lang w:val="fr-FR"/>
        </w:rPr>
        <w:t xml:space="preserve">zahtjev broj </w:t>
      </w:r>
      <w:r w:rsidRPr="00985DEC">
        <w:rPr>
          <w:rFonts w:cs="Arial"/>
          <w:lang w:val="hr-HR"/>
        </w:rPr>
        <w:t xml:space="preserve"> 21906/04,</w:t>
      </w:r>
      <w:r>
        <w:rPr>
          <w:rFonts w:cs="Arial"/>
          <w:lang w:val="hr-HR"/>
        </w:rPr>
        <w:t xml:space="preserve"> </w:t>
      </w:r>
      <w:r w:rsidRPr="00C6784F">
        <w:rPr>
          <w:rFonts w:cs="Arial"/>
          <w:lang w:val="hr-HR"/>
        </w:rPr>
        <w:t>presuda od 12</w:t>
      </w:r>
      <w:r>
        <w:rPr>
          <w:rFonts w:cs="Arial"/>
          <w:lang w:val="hr-HR"/>
        </w:rPr>
        <w:t>.</w:t>
      </w:r>
      <w:r w:rsidRPr="00C6784F">
        <w:rPr>
          <w:rFonts w:cs="Arial"/>
          <w:lang w:val="hr-HR"/>
        </w:rPr>
        <w:t xml:space="preserve"> veljače 2008.</w:t>
      </w:r>
      <w:r>
        <w:rPr>
          <w:rFonts w:cs="Arial"/>
          <w:lang w:val="hr-HR"/>
        </w:rPr>
        <w:t>,</w:t>
      </w:r>
      <w:r w:rsidRPr="00985DEC">
        <w:rPr>
          <w:rFonts w:cs="Arial"/>
          <w:lang w:val="hr-HR"/>
        </w:rPr>
        <w:t xml:space="preserve"> </w:t>
      </w:r>
      <w:r w:rsidRPr="00C6784F">
        <w:rPr>
          <w:rFonts w:cs="Arial"/>
          <w:lang w:val="hr-HR"/>
        </w:rPr>
        <w:t>paragraf</w:t>
      </w:r>
      <w:r w:rsidRPr="00F26C52">
        <w:rPr>
          <w:rFonts w:cs="Arial"/>
          <w:lang w:val="fr-FR"/>
        </w:rPr>
        <w:t xml:space="preserve"> 140.</w:t>
      </w:r>
    </w:p>
  </w:footnote>
  <w:footnote w:id="38">
    <w:p w:rsidR="00761B6C" w:rsidRPr="00985DEC" w:rsidRDefault="00761B6C" w:rsidP="0056798C">
      <w:pPr>
        <w:pStyle w:val="FootnoteText"/>
        <w:spacing w:line="360" w:lineRule="auto"/>
        <w:rPr>
          <w:rFonts w:cs="Arial"/>
          <w:lang w:val="hr-HR"/>
        </w:rPr>
      </w:pPr>
      <w:r w:rsidRPr="00985DEC">
        <w:rPr>
          <w:rStyle w:val="FootnoteReference"/>
          <w:rFonts w:cs="Arial"/>
        </w:rPr>
        <w:footnoteRef/>
      </w:r>
      <w:r w:rsidRPr="0066355E">
        <w:rPr>
          <w:rFonts w:cs="Arial"/>
          <w:lang w:val="hr-HR"/>
        </w:rPr>
        <w:t xml:space="preserve"> </w:t>
      </w:r>
      <w:proofErr w:type="gramStart"/>
      <w:r w:rsidRPr="00985DEC">
        <w:rPr>
          <w:rFonts w:cs="Arial"/>
          <w:i/>
        </w:rPr>
        <w:t>Handyside</w:t>
      </w:r>
      <w:r w:rsidRPr="0066355E">
        <w:rPr>
          <w:rFonts w:cs="Arial"/>
          <w:i/>
          <w:lang w:val="hr-HR"/>
        </w:rPr>
        <w:t xml:space="preserve"> </w:t>
      </w:r>
      <w:r w:rsidRPr="00985DEC">
        <w:rPr>
          <w:rFonts w:cs="Arial"/>
          <w:i/>
        </w:rPr>
        <w:t>protiv</w:t>
      </w:r>
      <w:r w:rsidRPr="0066355E">
        <w:rPr>
          <w:rFonts w:cs="Arial"/>
          <w:i/>
          <w:lang w:val="hr-HR"/>
        </w:rPr>
        <w:t xml:space="preserve"> </w:t>
      </w:r>
      <w:r w:rsidRPr="00985DEC">
        <w:rPr>
          <w:rFonts w:cs="Arial"/>
          <w:i/>
        </w:rPr>
        <w:t>Ujedinjenog</w:t>
      </w:r>
      <w:r w:rsidRPr="0066355E">
        <w:rPr>
          <w:rFonts w:cs="Arial"/>
          <w:i/>
          <w:lang w:val="hr-HR"/>
        </w:rPr>
        <w:t xml:space="preserve"> </w:t>
      </w:r>
      <w:r w:rsidRPr="00985DEC">
        <w:rPr>
          <w:rFonts w:cs="Arial"/>
          <w:i/>
        </w:rPr>
        <w:t>Kraljevstva</w:t>
      </w:r>
      <w:r w:rsidRPr="0066355E">
        <w:rPr>
          <w:rFonts w:cs="Arial"/>
          <w:i/>
          <w:lang w:val="hr-HR"/>
        </w:rPr>
        <w:t xml:space="preserve"> </w:t>
      </w:r>
      <w:r w:rsidRPr="00863144">
        <w:rPr>
          <w:rFonts w:cs="Arial"/>
          <w:lang w:val="hr-HR"/>
        </w:rPr>
        <w:t>(</w:t>
      </w:r>
      <w:r w:rsidRPr="00985DEC">
        <w:rPr>
          <w:rFonts w:cs="Arial"/>
          <w:i/>
        </w:rPr>
        <w:t>op</w:t>
      </w:r>
      <w:r w:rsidRPr="0066355E">
        <w:rPr>
          <w:rFonts w:cs="Arial"/>
          <w:i/>
          <w:lang w:val="hr-HR"/>
        </w:rPr>
        <w:t>.</w:t>
      </w:r>
      <w:r w:rsidRPr="00985DEC">
        <w:rPr>
          <w:rFonts w:cs="Arial"/>
          <w:i/>
        </w:rPr>
        <w:t>cit</w:t>
      </w:r>
      <w:r w:rsidRPr="0066355E">
        <w:rPr>
          <w:rFonts w:cs="Arial"/>
          <w:i/>
          <w:lang w:val="hr-HR"/>
        </w:rPr>
        <w:t>.</w:t>
      </w:r>
      <w:proofErr w:type="gramEnd"/>
      <w:r w:rsidRPr="0066355E">
        <w:rPr>
          <w:rFonts w:cs="Arial"/>
          <w:i/>
          <w:lang w:val="hr-HR"/>
        </w:rPr>
        <w:t xml:space="preserve"> </w:t>
      </w:r>
      <w:r w:rsidRPr="0066355E">
        <w:rPr>
          <w:rFonts w:cs="Arial"/>
          <w:lang w:val="hr-HR"/>
        </w:rPr>
        <w:t>(</w:t>
      </w:r>
      <w:r w:rsidRPr="00870891">
        <w:rPr>
          <w:rFonts w:cs="Arial"/>
        </w:rPr>
        <w:t>br</w:t>
      </w:r>
      <w:r w:rsidRPr="0066355E">
        <w:rPr>
          <w:rFonts w:cs="Arial"/>
          <w:lang w:val="hr-HR"/>
        </w:rPr>
        <w:t>. 6)</w:t>
      </w:r>
      <w:r>
        <w:rPr>
          <w:rFonts w:cs="Arial"/>
          <w:lang w:val="hr-HR"/>
        </w:rPr>
        <w:t>)</w:t>
      </w:r>
      <w:r w:rsidRPr="0066355E">
        <w:rPr>
          <w:rFonts w:cs="Arial"/>
          <w:lang w:val="hr-HR"/>
        </w:rPr>
        <w:t xml:space="preserve">, </w:t>
      </w:r>
      <w:r w:rsidRPr="00985DEC">
        <w:rPr>
          <w:rFonts w:cs="Arial"/>
        </w:rPr>
        <w:t>paragraf</w:t>
      </w:r>
      <w:r w:rsidRPr="0066355E">
        <w:rPr>
          <w:rFonts w:cs="Arial"/>
          <w:lang w:val="hr-HR"/>
        </w:rPr>
        <w:t xml:space="preserve"> 48</w:t>
      </w:r>
      <w:r>
        <w:rPr>
          <w:rFonts w:cs="Arial"/>
          <w:lang w:val="hr-HR"/>
        </w:rPr>
        <w:t>.</w:t>
      </w:r>
    </w:p>
  </w:footnote>
  <w:footnote w:id="39">
    <w:p w:rsidR="00761B6C" w:rsidRPr="00985DEC" w:rsidRDefault="00761B6C" w:rsidP="0056798C">
      <w:pPr>
        <w:pStyle w:val="FootnoteText"/>
        <w:spacing w:line="360" w:lineRule="auto"/>
        <w:rPr>
          <w:rFonts w:cs="Arial"/>
          <w:lang w:val="hr-HR"/>
        </w:rPr>
      </w:pPr>
      <w:r w:rsidRPr="00985DEC">
        <w:rPr>
          <w:rStyle w:val="FootnoteReference"/>
          <w:rFonts w:cs="Arial"/>
        </w:rPr>
        <w:footnoteRef/>
      </w:r>
      <w:r w:rsidRPr="00985DEC">
        <w:rPr>
          <w:rFonts w:cs="Arial"/>
        </w:rPr>
        <w:t xml:space="preserve"> </w:t>
      </w:r>
      <w:r w:rsidRPr="00985DEC">
        <w:rPr>
          <w:rFonts w:cs="Arial"/>
          <w:i/>
          <w:lang w:val="hr-HR"/>
        </w:rPr>
        <w:t>Observer i Guardian protiv Ujedinjenog Kraljevstva</w:t>
      </w:r>
      <w:r w:rsidRPr="00985DEC">
        <w:rPr>
          <w:rFonts w:cs="Arial"/>
          <w:lang w:val="hr-HR"/>
        </w:rPr>
        <w:t xml:space="preserve">, </w:t>
      </w:r>
      <w:r>
        <w:rPr>
          <w:rFonts w:cs="Arial"/>
          <w:lang w:val="hr-HR"/>
        </w:rPr>
        <w:t xml:space="preserve">zahtjev broj </w:t>
      </w:r>
      <w:r w:rsidRPr="00985DEC">
        <w:rPr>
          <w:rFonts w:cs="Arial"/>
          <w:lang w:val="hr-HR"/>
        </w:rPr>
        <w:t xml:space="preserve"> 13585/88, </w:t>
      </w:r>
      <w:r w:rsidRPr="002E246F">
        <w:rPr>
          <w:rFonts w:cs="Arial"/>
          <w:lang w:val="hr-HR"/>
        </w:rPr>
        <w:t>presuda od 26</w:t>
      </w:r>
      <w:r>
        <w:rPr>
          <w:rFonts w:cs="Arial"/>
          <w:lang w:val="hr-HR"/>
        </w:rPr>
        <w:t>.</w:t>
      </w:r>
      <w:r w:rsidRPr="002E246F">
        <w:rPr>
          <w:rFonts w:cs="Arial"/>
          <w:lang w:val="hr-HR"/>
        </w:rPr>
        <w:t xml:space="preserve"> studenog 1991., paragraf 59.</w:t>
      </w:r>
    </w:p>
  </w:footnote>
  <w:footnote w:id="40">
    <w:p w:rsidR="00761B6C" w:rsidRPr="00D6416E" w:rsidRDefault="00761B6C" w:rsidP="0056798C">
      <w:pPr>
        <w:pStyle w:val="FootnoteText"/>
        <w:spacing w:line="360" w:lineRule="auto"/>
        <w:rPr>
          <w:lang w:val="hr-HR"/>
        </w:rPr>
      </w:pPr>
      <w:r>
        <w:rPr>
          <w:rStyle w:val="FootnoteReference"/>
        </w:rPr>
        <w:footnoteRef/>
      </w:r>
      <w:r w:rsidRPr="0066355E">
        <w:rPr>
          <w:lang w:val="hr-HR"/>
        </w:rPr>
        <w:t xml:space="preserve"> </w:t>
      </w:r>
      <w:r w:rsidRPr="00D6416E">
        <w:rPr>
          <w:rFonts w:cs="Arial"/>
          <w:i/>
          <w:lang w:val="hr-HR"/>
        </w:rPr>
        <w:t>Surek protiv Turske</w:t>
      </w:r>
      <w:r w:rsidRPr="00D6416E">
        <w:rPr>
          <w:rFonts w:cs="Arial"/>
          <w:lang w:val="hr-HR"/>
        </w:rPr>
        <w:t xml:space="preserve"> (br. 4), </w:t>
      </w:r>
      <w:r>
        <w:rPr>
          <w:rFonts w:cs="Arial"/>
          <w:lang w:val="hr-HR"/>
        </w:rPr>
        <w:t xml:space="preserve">zahtjev broj </w:t>
      </w:r>
      <w:r w:rsidRPr="00D6416E">
        <w:rPr>
          <w:rFonts w:cs="Arial"/>
          <w:lang w:val="hr-HR"/>
        </w:rPr>
        <w:t xml:space="preserve"> 24762/94, </w:t>
      </w:r>
      <w:r w:rsidRPr="002E246F">
        <w:rPr>
          <w:rFonts w:cs="Arial"/>
          <w:lang w:val="hr-HR"/>
        </w:rPr>
        <w:t>presuda od 8</w:t>
      </w:r>
      <w:r>
        <w:rPr>
          <w:rFonts w:cs="Arial"/>
          <w:lang w:val="hr-HR"/>
        </w:rPr>
        <w:t>.</w:t>
      </w:r>
      <w:r w:rsidRPr="002E246F">
        <w:rPr>
          <w:rFonts w:cs="Arial"/>
          <w:lang w:val="hr-HR"/>
        </w:rPr>
        <w:t xml:space="preserve"> srpnja 1999., </w:t>
      </w:r>
      <w:r w:rsidRPr="00D6416E">
        <w:rPr>
          <w:rFonts w:cs="Arial"/>
          <w:lang w:val="hr-HR"/>
        </w:rPr>
        <w:t>paragraf 57.</w:t>
      </w:r>
    </w:p>
  </w:footnote>
  <w:footnote w:id="41">
    <w:p w:rsidR="00761B6C" w:rsidRPr="005C3D9A" w:rsidRDefault="00761B6C" w:rsidP="00870891">
      <w:pPr>
        <w:pStyle w:val="FootnoteText"/>
        <w:spacing w:line="360" w:lineRule="auto"/>
        <w:rPr>
          <w:rFonts w:cs="Arial"/>
          <w:lang w:val="hr-HR"/>
        </w:rPr>
      </w:pPr>
      <w:r w:rsidRPr="005C3D9A">
        <w:rPr>
          <w:rStyle w:val="FootnoteReference"/>
          <w:rFonts w:cs="Arial"/>
        </w:rPr>
        <w:footnoteRef/>
      </w:r>
      <w:r w:rsidRPr="00F26C52">
        <w:rPr>
          <w:rFonts w:cs="Arial"/>
          <w:lang w:val="hr-HR"/>
        </w:rPr>
        <w:t xml:space="preserve"> </w:t>
      </w:r>
      <w:r w:rsidRPr="005C3D9A">
        <w:rPr>
          <w:rFonts w:cs="Arial"/>
          <w:lang w:val="hr-HR"/>
        </w:rPr>
        <w:t>Konvencija je potvrđena Zakonom o potvrđivanju Konvencije o kibernetičkom kriminalitetu (</w:t>
      </w:r>
      <w:r w:rsidRPr="005C3D9A">
        <w:rPr>
          <w:rFonts w:cs="Arial"/>
          <w:color w:val="000000"/>
        </w:rPr>
        <w:t>NN</w:t>
      </w:r>
      <w:r>
        <w:rPr>
          <w:rFonts w:cs="Arial"/>
          <w:color w:val="000000"/>
        </w:rPr>
        <w:t xml:space="preserve"> - MU</w:t>
      </w:r>
      <w:r w:rsidRPr="00F26C52">
        <w:rPr>
          <w:rFonts w:cs="Arial"/>
          <w:color w:val="000000"/>
          <w:lang w:val="hr-HR"/>
        </w:rPr>
        <w:t xml:space="preserve"> 9/02)</w:t>
      </w:r>
      <w:r>
        <w:rPr>
          <w:rFonts w:cs="Arial"/>
          <w:color w:val="000000"/>
          <w:lang w:val="hr-HR"/>
        </w:rPr>
        <w:t>.</w:t>
      </w:r>
    </w:p>
  </w:footnote>
  <w:footnote w:id="42">
    <w:p w:rsidR="00761B6C" w:rsidRPr="00F26C52" w:rsidRDefault="00761B6C" w:rsidP="00870891">
      <w:pPr>
        <w:pStyle w:val="FootnoteText"/>
        <w:spacing w:line="360" w:lineRule="auto"/>
        <w:rPr>
          <w:rFonts w:cs="Arial"/>
          <w:color w:val="000000"/>
          <w:lang w:val="hr-HR"/>
        </w:rPr>
      </w:pPr>
      <w:r w:rsidRPr="005C3D9A">
        <w:rPr>
          <w:rStyle w:val="FootnoteReference"/>
          <w:rFonts w:cs="Arial"/>
        </w:rPr>
        <w:footnoteRef/>
      </w:r>
      <w:r w:rsidRPr="00F26C52">
        <w:rPr>
          <w:rFonts w:cs="Arial"/>
          <w:lang w:val="hr-HR"/>
        </w:rPr>
        <w:t xml:space="preserve"> </w:t>
      </w:r>
      <w:r w:rsidRPr="005C3D9A">
        <w:rPr>
          <w:rFonts w:cs="Arial"/>
          <w:lang w:val="hr-HR"/>
        </w:rPr>
        <w:t xml:space="preserve">Dodatni protokol uz </w:t>
      </w:r>
      <w:r w:rsidRPr="005C3D9A">
        <w:rPr>
          <w:rFonts w:cs="Arial"/>
          <w:color w:val="000000"/>
        </w:rPr>
        <w:t>Konvenciju</w:t>
      </w:r>
      <w:r w:rsidRPr="00F26C52">
        <w:rPr>
          <w:rFonts w:cs="Arial"/>
          <w:color w:val="000000"/>
          <w:lang w:val="hr-HR"/>
        </w:rPr>
        <w:t xml:space="preserve"> </w:t>
      </w:r>
      <w:r w:rsidRPr="005C3D9A">
        <w:rPr>
          <w:rFonts w:cs="Arial"/>
          <w:color w:val="000000"/>
        </w:rPr>
        <w:t>o</w:t>
      </w:r>
      <w:r w:rsidRPr="00F26C52">
        <w:rPr>
          <w:rFonts w:cs="Arial"/>
          <w:color w:val="000000"/>
          <w:lang w:val="hr-HR"/>
        </w:rPr>
        <w:t xml:space="preserve"> </w:t>
      </w:r>
      <w:r w:rsidRPr="005C3D9A">
        <w:rPr>
          <w:rFonts w:cs="Arial"/>
          <w:color w:val="000000"/>
        </w:rPr>
        <w:t>kiberneti</w:t>
      </w:r>
      <w:r w:rsidRPr="00F26C52">
        <w:rPr>
          <w:rFonts w:cs="Arial"/>
          <w:color w:val="000000"/>
          <w:lang w:val="hr-HR"/>
        </w:rPr>
        <w:t>č</w:t>
      </w:r>
      <w:r w:rsidRPr="005C3D9A">
        <w:rPr>
          <w:rFonts w:cs="Arial"/>
          <w:color w:val="000000"/>
        </w:rPr>
        <w:t>kom</w:t>
      </w:r>
      <w:r w:rsidRPr="00F26C52">
        <w:rPr>
          <w:rFonts w:cs="Arial"/>
          <w:color w:val="000000"/>
          <w:lang w:val="hr-HR"/>
        </w:rPr>
        <w:t xml:space="preserve"> </w:t>
      </w:r>
      <w:r w:rsidRPr="005C3D9A">
        <w:rPr>
          <w:rFonts w:cs="Arial"/>
          <w:color w:val="000000"/>
        </w:rPr>
        <w:t>kriminalu</w:t>
      </w:r>
      <w:r w:rsidRPr="00F26C52">
        <w:rPr>
          <w:rFonts w:cs="Arial"/>
          <w:color w:val="000000"/>
          <w:lang w:val="hr-HR"/>
        </w:rPr>
        <w:t xml:space="preserve"> </w:t>
      </w:r>
      <w:r w:rsidRPr="005C3D9A">
        <w:rPr>
          <w:rFonts w:cs="Arial"/>
          <w:color w:val="000000"/>
        </w:rPr>
        <w:t>o</w:t>
      </w:r>
      <w:r w:rsidRPr="00F26C52">
        <w:rPr>
          <w:rFonts w:cs="Arial"/>
          <w:color w:val="000000"/>
          <w:lang w:val="hr-HR"/>
        </w:rPr>
        <w:t xml:space="preserve"> </w:t>
      </w:r>
      <w:r w:rsidRPr="005C3D9A">
        <w:rPr>
          <w:rFonts w:cs="Arial"/>
          <w:color w:val="000000"/>
        </w:rPr>
        <w:t>inkriminiranju</w:t>
      </w:r>
      <w:r w:rsidRPr="00F26C52">
        <w:rPr>
          <w:rFonts w:cs="Arial"/>
          <w:color w:val="000000"/>
          <w:lang w:val="hr-HR"/>
        </w:rPr>
        <w:t xml:space="preserve"> </w:t>
      </w:r>
      <w:r w:rsidRPr="005C3D9A">
        <w:rPr>
          <w:rFonts w:cs="Arial"/>
          <w:color w:val="000000"/>
        </w:rPr>
        <w:t>djela</w:t>
      </w:r>
      <w:r w:rsidRPr="00F26C52">
        <w:rPr>
          <w:rFonts w:cs="Arial"/>
          <w:color w:val="000000"/>
          <w:lang w:val="hr-HR"/>
        </w:rPr>
        <w:t xml:space="preserve"> </w:t>
      </w:r>
      <w:r w:rsidRPr="005C3D9A">
        <w:rPr>
          <w:rFonts w:cs="Arial"/>
          <w:color w:val="000000"/>
        </w:rPr>
        <w:t>rasisti</w:t>
      </w:r>
      <w:r w:rsidRPr="00F26C52">
        <w:rPr>
          <w:rFonts w:cs="Arial"/>
          <w:color w:val="000000"/>
          <w:lang w:val="hr-HR"/>
        </w:rPr>
        <w:t>č</w:t>
      </w:r>
      <w:r w:rsidRPr="005C3D9A">
        <w:rPr>
          <w:rFonts w:cs="Arial"/>
          <w:color w:val="000000"/>
        </w:rPr>
        <w:t>ke</w:t>
      </w:r>
      <w:r w:rsidRPr="00F26C52">
        <w:rPr>
          <w:rFonts w:cs="Arial"/>
          <w:color w:val="000000"/>
          <w:lang w:val="hr-HR"/>
        </w:rPr>
        <w:t xml:space="preserve"> </w:t>
      </w:r>
      <w:r w:rsidRPr="005C3D9A">
        <w:rPr>
          <w:rFonts w:cs="Arial"/>
          <w:color w:val="000000"/>
        </w:rPr>
        <w:t>i</w:t>
      </w:r>
      <w:r w:rsidRPr="00F26C52">
        <w:rPr>
          <w:rFonts w:cs="Arial"/>
          <w:color w:val="000000"/>
          <w:lang w:val="hr-HR"/>
        </w:rPr>
        <w:t xml:space="preserve"> </w:t>
      </w:r>
      <w:r w:rsidRPr="005C3D9A">
        <w:rPr>
          <w:rFonts w:cs="Arial"/>
          <w:color w:val="000000"/>
        </w:rPr>
        <w:t>ksenofobne</w:t>
      </w:r>
      <w:r w:rsidRPr="00F26C52">
        <w:rPr>
          <w:rFonts w:cs="Arial"/>
          <w:color w:val="000000"/>
          <w:lang w:val="hr-HR"/>
        </w:rPr>
        <w:t xml:space="preserve"> </w:t>
      </w:r>
      <w:r w:rsidRPr="005C3D9A">
        <w:rPr>
          <w:rFonts w:cs="Arial"/>
          <w:color w:val="000000"/>
        </w:rPr>
        <w:t>naravi</w:t>
      </w:r>
      <w:r w:rsidRPr="00F26C52">
        <w:rPr>
          <w:rFonts w:cs="Arial"/>
          <w:color w:val="000000"/>
          <w:lang w:val="hr-HR"/>
        </w:rPr>
        <w:t xml:space="preserve"> </w:t>
      </w:r>
      <w:r w:rsidRPr="005C3D9A">
        <w:rPr>
          <w:rFonts w:cs="Arial"/>
          <w:color w:val="000000"/>
        </w:rPr>
        <w:t>po</w:t>
      </w:r>
      <w:r w:rsidRPr="00F26C52">
        <w:rPr>
          <w:rFonts w:cs="Arial"/>
          <w:color w:val="000000"/>
          <w:lang w:val="hr-HR"/>
        </w:rPr>
        <w:t>č</w:t>
      </w:r>
      <w:r w:rsidRPr="005C3D9A">
        <w:rPr>
          <w:rFonts w:cs="Arial"/>
          <w:color w:val="000000"/>
        </w:rPr>
        <w:t>injenih</w:t>
      </w:r>
      <w:r w:rsidRPr="00F26C52">
        <w:rPr>
          <w:rFonts w:cs="Arial"/>
          <w:color w:val="000000"/>
          <w:lang w:val="hr-HR"/>
        </w:rPr>
        <w:t xml:space="preserve"> </w:t>
      </w:r>
      <w:r w:rsidRPr="005C3D9A">
        <w:rPr>
          <w:rFonts w:cs="Arial"/>
          <w:color w:val="000000"/>
        </w:rPr>
        <w:t>pomo</w:t>
      </w:r>
      <w:r w:rsidRPr="00F26C52">
        <w:rPr>
          <w:rFonts w:cs="Arial"/>
          <w:color w:val="000000"/>
          <w:lang w:val="hr-HR"/>
        </w:rPr>
        <w:t>ć</w:t>
      </w:r>
      <w:r w:rsidRPr="005C3D9A">
        <w:rPr>
          <w:rFonts w:cs="Arial"/>
          <w:color w:val="000000"/>
        </w:rPr>
        <w:t>u</w:t>
      </w:r>
      <w:r w:rsidRPr="00F26C52">
        <w:rPr>
          <w:rFonts w:cs="Arial"/>
          <w:color w:val="000000"/>
          <w:lang w:val="hr-HR"/>
        </w:rPr>
        <w:t xml:space="preserve"> </w:t>
      </w:r>
      <w:r w:rsidRPr="005C3D9A">
        <w:rPr>
          <w:rFonts w:cs="Arial"/>
          <w:color w:val="000000"/>
        </w:rPr>
        <w:t>ra</w:t>
      </w:r>
      <w:r w:rsidRPr="00F26C52">
        <w:rPr>
          <w:rFonts w:cs="Arial"/>
          <w:color w:val="000000"/>
          <w:lang w:val="hr-HR"/>
        </w:rPr>
        <w:t>č</w:t>
      </w:r>
      <w:r w:rsidRPr="005C3D9A">
        <w:rPr>
          <w:rFonts w:cs="Arial"/>
          <w:color w:val="000000"/>
        </w:rPr>
        <w:t>unalnih</w:t>
      </w:r>
      <w:r w:rsidRPr="00F26C52">
        <w:rPr>
          <w:rFonts w:cs="Arial"/>
          <w:color w:val="000000"/>
          <w:lang w:val="hr-HR"/>
        </w:rPr>
        <w:t xml:space="preserve"> </w:t>
      </w:r>
      <w:r w:rsidRPr="005C3D9A">
        <w:rPr>
          <w:rFonts w:cs="Arial"/>
          <w:color w:val="000000"/>
        </w:rPr>
        <w:t>sustava</w:t>
      </w:r>
      <w:r w:rsidRPr="005C3D9A">
        <w:rPr>
          <w:rFonts w:cs="Arial"/>
          <w:lang w:val="hr-HR"/>
        </w:rPr>
        <w:t xml:space="preserve"> potvrđen Zakonom o potvrđivanju Dodatnog protokola uz </w:t>
      </w:r>
      <w:r w:rsidRPr="005C3D9A">
        <w:rPr>
          <w:rFonts w:cs="Arial"/>
          <w:color w:val="000000"/>
        </w:rPr>
        <w:t>Konvenciju</w:t>
      </w:r>
      <w:r w:rsidRPr="00F26C52">
        <w:rPr>
          <w:rFonts w:cs="Arial"/>
          <w:color w:val="000000"/>
          <w:lang w:val="hr-HR"/>
        </w:rPr>
        <w:t xml:space="preserve"> </w:t>
      </w:r>
      <w:r w:rsidRPr="005C3D9A">
        <w:rPr>
          <w:rFonts w:cs="Arial"/>
          <w:color w:val="000000"/>
        </w:rPr>
        <w:t>o</w:t>
      </w:r>
      <w:r w:rsidRPr="00F26C52">
        <w:rPr>
          <w:rFonts w:cs="Arial"/>
          <w:color w:val="000000"/>
          <w:lang w:val="hr-HR"/>
        </w:rPr>
        <w:t xml:space="preserve"> </w:t>
      </w:r>
      <w:r w:rsidRPr="005C3D9A">
        <w:rPr>
          <w:rFonts w:cs="Arial"/>
          <w:color w:val="000000"/>
        </w:rPr>
        <w:t>kiberneti</w:t>
      </w:r>
      <w:r w:rsidRPr="00F26C52">
        <w:rPr>
          <w:rFonts w:cs="Arial"/>
          <w:color w:val="000000"/>
          <w:lang w:val="hr-HR"/>
        </w:rPr>
        <w:t>č</w:t>
      </w:r>
      <w:r w:rsidRPr="005C3D9A">
        <w:rPr>
          <w:rFonts w:cs="Arial"/>
          <w:color w:val="000000"/>
        </w:rPr>
        <w:t>kom</w:t>
      </w:r>
      <w:r w:rsidRPr="00F26C52">
        <w:rPr>
          <w:rFonts w:cs="Arial"/>
          <w:color w:val="000000"/>
          <w:lang w:val="hr-HR"/>
        </w:rPr>
        <w:t xml:space="preserve"> </w:t>
      </w:r>
      <w:r w:rsidRPr="005C3D9A">
        <w:rPr>
          <w:rFonts w:cs="Arial"/>
          <w:color w:val="000000"/>
        </w:rPr>
        <w:t>kriminalu</w:t>
      </w:r>
      <w:r w:rsidRPr="00F26C52">
        <w:rPr>
          <w:rFonts w:cs="Arial"/>
          <w:color w:val="000000"/>
          <w:lang w:val="hr-HR"/>
        </w:rPr>
        <w:t xml:space="preserve"> </w:t>
      </w:r>
      <w:r w:rsidRPr="005C3D9A">
        <w:rPr>
          <w:rFonts w:cs="Arial"/>
          <w:color w:val="000000"/>
        </w:rPr>
        <w:t>o</w:t>
      </w:r>
      <w:r w:rsidRPr="00F26C52">
        <w:rPr>
          <w:rFonts w:cs="Arial"/>
          <w:color w:val="000000"/>
          <w:lang w:val="hr-HR"/>
        </w:rPr>
        <w:t xml:space="preserve"> </w:t>
      </w:r>
      <w:r w:rsidRPr="005C3D9A">
        <w:rPr>
          <w:rFonts w:cs="Arial"/>
          <w:color w:val="000000"/>
        </w:rPr>
        <w:t>inkriminiranju</w:t>
      </w:r>
      <w:r w:rsidRPr="00F26C52">
        <w:rPr>
          <w:rFonts w:cs="Arial"/>
          <w:color w:val="000000"/>
          <w:lang w:val="hr-HR"/>
        </w:rPr>
        <w:t xml:space="preserve"> </w:t>
      </w:r>
      <w:r w:rsidRPr="005C3D9A">
        <w:rPr>
          <w:rFonts w:cs="Arial"/>
          <w:color w:val="000000"/>
        </w:rPr>
        <w:t>djela</w:t>
      </w:r>
      <w:r w:rsidRPr="00F26C52">
        <w:rPr>
          <w:rFonts w:cs="Arial"/>
          <w:color w:val="000000"/>
          <w:lang w:val="hr-HR"/>
        </w:rPr>
        <w:t xml:space="preserve"> </w:t>
      </w:r>
      <w:r w:rsidRPr="005C3D9A">
        <w:rPr>
          <w:rFonts w:cs="Arial"/>
          <w:color w:val="000000"/>
        </w:rPr>
        <w:t>rasisti</w:t>
      </w:r>
      <w:r w:rsidRPr="00F26C52">
        <w:rPr>
          <w:rFonts w:cs="Arial"/>
          <w:color w:val="000000"/>
          <w:lang w:val="hr-HR"/>
        </w:rPr>
        <w:t>č</w:t>
      </w:r>
      <w:r w:rsidRPr="005C3D9A">
        <w:rPr>
          <w:rFonts w:cs="Arial"/>
          <w:color w:val="000000"/>
        </w:rPr>
        <w:t>ke</w:t>
      </w:r>
      <w:r w:rsidRPr="00F26C52">
        <w:rPr>
          <w:rFonts w:cs="Arial"/>
          <w:color w:val="000000"/>
          <w:lang w:val="hr-HR"/>
        </w:rPr>
        <w:t xml:space="preserve"> </w:t>
      </w:r>
      <w:r w:rsidRPr="005C3D9A">
        <w:rPr>
          <w:rFonts w:cs="Arial"/>
          <w:color w:val="000000"/>
        </w:rPr>
        <w:t>i</w:t>
      </w:r>
      <w:r w:rsidRPr="00F26C52">
        <w:rPr>
          <w:rFonts w:cs="Arial"/>
          <w:color w:val="000000"/>
          <w:lang w:val="hr-HR"/>
        </w:rPr>
        <w:t xml:space="preserve"> </w:t>
      </w:r>
      <w:r w:rsidRPr="005C3D9A">
        <w:rPr>
          <w:rFonts w:cs="Arial"/>
          <w:color w:val="000000"/>
        </w:rPr>
        <w:t>ksenofobne</w:t>
      </w:r>
      <w:r w:rsidRPr="00F26C52">
        <w:rPr>
          <w:rFonts w:cs="Arial"/>
          <w:color w:val="000000"/>
          <w:lang w:val="hr-HR"/>
        </w:rPr>
        <w:t xml:space="preserve"> </w:t>
      </w:r>
      <w:r w:rsidRPr="005C3D9A">
        <w:rPr>
          <w:rFonts w:cs="Arial"/>
          <w:color w:val="000000"/>
        </w:rPr>
        <w:t>naravi</w:t>
      </w:r>
      <w:r w:rsidRPr="00F26C52">
        <w:rPr>
          <w:rFonts w:cs="Arial"/>
          <w:color w:val="000000"/>
          <w:lang w:val="hr-HR"/>
        </w:rPr>
        <w:t xml:space="preserve"> </w:t>
      </w:r>
      <w:r w:rsidRPr="005C3D9A">
        <w:rPr>
          <w:rFonts w:cs="Arial"/>
          <w:color w:val="000000"/>
        </w:rPr>
        <w:t>po</w:t>
      </w:r>
      <w:r w:rsidRPr="00F26C52">
        <w:rPr>
          <w:rFonts w:cs="Arial"/>
          <w:color w:val="000000"/>
          <w:lang w:val="hr-HR"/>
        </w:rPr>
        <w:t>č</w:t>
      </w:r>
      <w:r w:rsidRPr="005C3D9A">
        <w:rPr>
          <w:rFonts w:cs="Arial"/>
          <w:color w:val="000000"/>
        </w:rPr>
        <w:t>injenih</w:t>
      </w:r>
      <w:r w:rsidRPr="00F26C52">
        <w:rPr>
          <w:rFonts w:cs="Arial"/>
          <w:color w:val="000000"/>
          <w:lang w:val="hr-HR"/>
        </w:rPr>
        <w:t xml:space="preserve"> </w:t>
      </w:r>
      <w:r w:rsidRPr="005C3D9A">
        <w:rPr>
          <w:rFonts w:cs="Arial"/>
          <w:color w:val="000000"/>
        </w:rPr>
        <w:t>pomo</w:t>
      </w:r>
      <w:r w:rsidRPr="00F26C52">
        <w:rPr>
          <w:rFonts w:cs="Arial"/>
          <w:color w:val="000000"/>
          <w:lang w:val="hr-HR"/>
        </w:rPr>
        <w:t>ć</w:t>
      </w:r>
      <w:r w:rsidRPr="005C3D9A">
        <w:rPr>
          <w:rFonts w:cs="Arial"/>
          <w:color w:val="000000"/>
        </w:rPr>
        <w:t>u</w:t>
      </w:r>
      <w:r w:rsidRPr="00F26C52">
        <w:rPr>
          <w:rFonts w:cs="Arial"/>
          <w:color w:val="000000"/>
          <w:lang w:val="hr-HR"/>
        </w:rPr>
        <w:t xml:space="preserve"> </w:t>
      </w:r>
      <w:r w:rsidRPr="005C3D9A">
        <w:rPr>
          <w:rFonts w:cs="Arial"/>
          <w:color w:val="000000"/>
        </w:rPr>
        <w:t>ra</w:t>
      </w:r>
      <w:r w:rsidRPr="00F26C52">
        <w:rPr>
          <w:rFonts w:cs="Arial"/>
          <w:color w:val="000000"/>
          <w:lang w:val="hr-HR"/>
        </w:rPr>
        <w:t>č</w:t>
      </w:r>
      <w:r w:rsidRPr="005C3D9A">
        <w:rPr>
          <w:rFonts w:cs="Arial"/>
          <w:color w:val="000000"/>
        </w:rPr>
        <w:t>unalnih</w:t>
      </w:r>
      <w:r w:rsidRPr="00F26C52">
        <w:rPr>
          <w:rFonts w:cs="Arial"/>
          <w:color w:val="000000"/>
          <w:lang w:val="hr-HR"/>
        </w:rPr>
        <w:t xml:space="preserve"> </w:t>
      </w:r>
      <w:r w:rsidRPr="005C3D9A">
        <w:rPr>
          <w:rFonts w:cs="Arial"/>
          <w:color w:val="000000"/>
        </w:rPr>
        <w:t>sustava</w:t>
      </w:r>
      <w:r w:rsidRPr="00F26C52">
        <w:rPr>
          <w:rFonts w:cs="Arial"/>
          <w:color w:val="000000"/>
          <w:lang w:val="hr-HR"/>
        </w:rPr>
        <w:t xml:space="preserve">  (</w:t>
      </w:r>
      <w:r w:rsidRPr="005126D6">
        <w:rPr>
          <w:rFonts w:cs="Arial"/>
          <w:color w:val="000000"/>
        </w:rPr>
        <w:t>NN</w:t>
      </w:r>
      <w:r w:rsidRPr="00F26C52">
        <w:rPr>
          <w:rFonts w:cs="Arial"/>
          <w:color w:val="000000"/>
          <w:lang w:val="hr-HR"/>
        </w:rPr>
        <w:t xml:space="preserve"> </w:t>
      </w:r>
      <w:r>
        <w:rPr>
          <w:rFonts w:cs="Arial"/>
          <w:color w:val="000000"/>
          <w:lang w:val="hr-HR"/>
        </w:rPr>
        <w:t xml:space="preserve">- MU </w:t>
      </w:r>
      <w:r w:rsidRPr="00F26C52">
        <w:rPr>
          <w:rFonts w:cs="Arial"/>
          <w:color w:val="000000"/>
          <w:lang w:val="hr-HR"/>
        </w:rPr>
        <w:t>7/2008)</w:t>
      </w:r>
      <w:r>
        <w:rPr>
          <w:rFonts w:cs="Arial"/>
          <w:color w:val="000000"/>
          <w:lang w:val="hr-HR"/>
        </w:rPr>
        <w:t>.</w:t>
      </w:r>
    </w:p>
  </w:footnote>
  <w:footnote w:id="43">
    <w:p w:rsidR="00761B6C" w:rsidRPr="003128D3" w:rsidRDefault="00761B6C" w:rsidP="00591FAF">
      <w:pPr>
        <w:pStyle w:val="FootnoteText"/>
        <w:spacing w:line="360" w:lineRule="auto"/>
        <w:rPr>
          <w:rFonts w:cs="Arial"/>
          <w:lang w:val="hr-HR"/>
        </w:rPr>
      </w:pPr>
      <w:r w:rsidRPr="003128D3">
        <w:rPr>
          <w:rStyle w:val="FootnoteReference"/>
          <w:rFonts w:cs="Arial"/>
        </w:rPr>
        <w:footnoteRef/>
      </w:r>
      <w:r w:rsidRPr="00057189">
        <w:rPr>
          <w:rFonts w:cs="Arial"/>
          <w:lang w:val="hr-HR"/>
        </w:rPr>
        <w:t xml:space="preserve"> </w:t>
      </w:r>
      <w:r w:rsidRPr="00F50734">
        <w:rPr>
          <w:rFonts w:cs="Arial"/>
          <w:i/>
          <w:lang w:val="hr-HR"/>
        </w:rPr>
        <w:t>Ibid.</w:t>
      </w:r>
      <w:r w:rsidRPr="003128D3">
        <w:rPr>
          <w:rFonts w:cs="Arial"/>
          <w:lang w:val="hr-HR"/>
        </w:rPr>
        <w:t xml:space="preserve"> </w:t>
      </w:r>
      <w:r>
        <w:rPr>
          <w:rFonts w:cs="Arial"/>
          <w:lang w:val="hr-HR"/>
        </w:rPr>
        <w:t>čl</w:t>
      </w:r>
      <w:r w:rsidRPr="003128D3">
        <w:rPr>
          <w:rFonts w:cs="Arial"/>
          <w:lang w:val="hr-HR"/>
        </w:rPr>
        <w:t>.</w:t>
      </w:r>
      <w:r>
        <w:rPr>
          <w:rFonts w:cs="Arial"/>
          <w:lang w:val="hr-HR"/>
        </w:rPr>
        <w:t>2</w:t>
      </w:r>
      <w:r w:rsidRPr="003128D3">
        <w:rPr>
          <w:rFonts w:cs="Arial"/>
          <w:lang w:val="hr-HR"/>
        </w:rPr>
        <w:t>.t.1.</w:t>
      </w:r>
    </w:p>
  </w:footnote>
  <w:footnote w:id="44">
    <w:p w:rsidR="00761B6C" w:rsidRPr="002B7D9A" w:rsidRDefault="00761B6C" w:rsidP="005675CA">
      <w:pPr>
        <w:spacing w:line="360" w:lineRule="auto"/>
        <w:jc w:val="both"/>
        <w:rPr>
          <w:rFonts w:cs="Arial"/>
          <w:szCs w:val="22"/>
          <w:lang w:val="hr-HR"/>
        </w:rPr>
      </w:pPr>
      <w:r>
        <w:rPr>
          <w:rStyle w:val="FootnoteReference"/>
        </w:rPr>
        <w:footnoteRef/>
      </w:r>
      <w:r>
        <w:t xml:space="preserve"> </w:t>
      </w:r>
      <w:r w:rsidRPr="00257340">
        <w:rPr>
          <w:sz w:val="20"/>
          <w:szCs w:val="20"/>
          <w:lang w:val="hr-HR"/>
        </w:rPr>
        <w:t>Preporuka o govo</w:t>
      </w:r>
      <w:r>
        <w:rPr>
          <w:sz w:val="20"/>
          <w:szCs w:val="20"/>
          <w:lang w:val="hr-HR"/>
        </w:rPr>
        <w:t xml:space="preserve">ru mržnje (No. R (97) 20), 1997. </w:t>
      </w:r>
    </w:p>
  </w:footnote>
  <w:footnote w:id="45">
    <w:p w:rsidR="00761B6C" w:rsidRPr="002B7D9A" w:rsidRDefault="00761B6C" w:rsidP="005675CA">
      <w:pPr>
        <w:pStyle w:val="FootnoteText"/>
        <w:spacing w:line="360" w:lineRule="auto"/>
        <w:rPr>
          <w:lang w:val="hr-HR"/>
        </w:rPr>
      </w:pPr>
      <w:r>
        <w:rPr>
          <w:rStyle w:val="FootnoteReference"/>
        </w:rPr>
        <w:footnoteRef/>
      </w:r>
      <w:r w:rsidRPr="00D6416E">
        <w:rPr>
          <w:lang w:val="hr-HR"/>
        </w:rPr>
        <w:t xml:space="preserve"> </w:t>
      </w:r>
      <w:r w:rsidRPr="002B7D9A">
        <w:rPr>
          <w:lang w:val="hr-HR"/>
        </w:rPr>
        <w:t>Opć</w:t>
      </w:r>
      <w:r>
        <w:rPr>
          <w:lang w:val="hr-HR"/>
        </w:rPr>
        <w:t>a</w:t>
      </w:r>
      <w:r w:rsidRPr="002B7D9A">
        <w:rPr>
          <w:lang w:val="hr-HR"/>
        </w:rPr>
        <w:t xml:space="preserve"> političk</w:t>
      </w:r>
      <w:r>
        <w:rPr>
          <w:lang w:val="hr-HR"/>
        </w:rPr>
        <w:t>a</w:t>
      </w:r>
      <w:r w:rsidRPr="002B7D9A">
        <w:rPr>
          <w:lang w:val="hr-HR"/>
        </w:rPr>
        <w:t xml:space="preserve"> preporuk</w:t>
      </w:r>
      <w:r>
        <w:rPr>
          <w:lang w:val="hr-HR"/>
        </w:rPr>
        <w:t>a</w:t>
      </w:r>
      <w:r w:rsidRPr="002B7D9A">
        <w:rPr>
          <w:lang w:val="hr-HR"/>
        </w:rPr>
        <w:t xml:space="preserve"> br. 7 o nacionalnom zakonodavstvu za borbu protiv rasizma i rasizma i rasne diskriminacije</w:t>
      </w:r>
      <w:r>
        <w:rPr>
          <w:lang w:val="hr-HR"/>
        </w:rPr>
        <w:t xml:space="preserve">, Vijeće Europe, 2002., tekst preporuke dostupan je na: </w:t>
      </w:r>
      <w:r w:rsidRPr="00451690">
        <w:rPr>
          <w:lang w:val="hr-HR"/>
        </w:rPr>
        <w:t>http://www.coe.int/t/dghl/monitoring/ecri/activities/gpr/en/recommendation_n7/ecri03-8%20recommendation%20nr%207.pdf</w:t>
      </w:r>
      <w:r>
        <w:rPr>
          <w:lang w:val="hr-HR"/>
        </w:rPr>
        <w:t>, pristupljeno 23. travnja 2014.</w:t>
      </w:r>
    </w:p>
  </w:footnote>
  <w:footnote w:id="46">
    <w:p w:rsidR="00761B6C" w:rsidRPr="00591FAF" w:rsidRDefault="00761B6C" w:rsidP="00591FAF">
      <w:pPr>
        <w:pStyle w:val="FootnoteText"/>
        <w:spacing w:line="360" w:lineRule="auto"/>
        <w:rPr>
          <w:lang w:val="hr-HR"/>
        </w:rPr>
      </w:pPr>
      <w:r>
        <w:rPr>
          <w:rStyle w:val="FootnoteReference"/>
        </w:rPr>
        <w:footnoteRef/>
      </w:r>
      <w:r w:rsidRPr="0066355E">
        <w:rPr>
          <w:lang w:val="fr-FR"/>
        </w:rPr>
        <w:t xml:space="preserve"> </w:t>
      </w:r>
      <w:r>
        <w:rPr>
          <w:lang w:val="hr-HR"/>
        </w:rPr>
        <w:t xml:space="preserve">Tekst je dostupan na engleskom jeziku: </w:t>
      </w:r>
      <w:r w:rsidRPr="00591FAF">
        <w:rPr>
          <w:lang w:val="hr-HR"/>
        </w:rPr>
        <w:t>https://wcd.coe.int/ViewDoc.jsp?id=37031</w:t>
      </w:r>
      <w:r>
        <w:rPr>
          <w:lang w:val="hr-HR"/>
        </w:rPr>
        <w:t xml:space="preserve">, pristupljeno 26. travnja 2014. </w:t>
      </w:r>
    </w:p>
  </w:footnote>
  <w:footnote w:id="47">
    <w:p w:rsidR="00761B6C" w:rsidRPr="008411FB" w:rsidRDefault="00761B6C" w:rsidP="006B662B">
      <w:pPr>
        <w:pStyle w:val="FootnoteText"/>
        <w:spacing w:line="360" w:lineRule="auto"/>
        <w:rPr>
          <w:lang w:val="hr-HR"/>
        </w:rPr>
      </w:pPr>
      <w:r>
        <w:rPr>
          <w:rStyle w:val="FootnoteReference"/>
        </w:rPr>
        <w:footnoteRef/>
      </w:r>
      <w:r w:rsidRPr="0066355E">
        <w:rPr>
          <w:lang w:val="fr-FR"/>
        </w:rPr>
        <w:t xml:space="preserve"> </w:t>
      </w:r>
      <w:r>
        <w:rPr>
          <w:lang w:val="hr-HR"/>
        </w:rPr>
        <w:t xml:space="preserve">Komentar načela Deklaracije </w:t>
      </w:r>
      <w:r w:rsidRPr="00B917CF">
        <w:rPr>
          <w:lang w:val="hr-HR"/>
        </w:rPr>
        <w:t>(</w:t>
      </w:r>
      <w:r w:rsidRPr="008411FB">
        <w:rPr>
          <w:i/>
          <w:lang w:val="hr-HR"/>
        </w:rPr>
        <w:t>op.cit.</w:t>
      </w:r>
      <w:r>
        <w:rPr>
          <w:lang w:val="hr-HR"/>
        </w:rPr>
        <w:t xml:space="preserve"> (br. 10)), str. 6.</w:t>
      </w:r>
    </w:p>
  </w:footnote>
  <w:footnote w:id="48">
    <w:p w:rsidR="00761B6C" w:rsidRPr="00C22104" w:rsidRDefault="00761B6C" w:rsidP="006B662B">
      <w:pPr>
        <w:pStyle w:val="FootnoteText"/>
        <w:spacing w:line="360" w:lineRule="auto"/>
        <w:rPr>
          <w:lang w:val="hr-HR"/>
        </w:rPr>
      </w:pPr>
      <w:r>
        <w:rPr>
          <w:rStyle w:val="FootnoteReference"/>
        </w:rPr>
        <w:footnoteRef/>
      </w:r>
      <w:r w:rsidRPr="0066355E">
        <w:rPr>
          <w:i/>
          <w:lang w:val="hr-HR"/>
        </w:rPr>
        <w:t xml:space="preserve"> </w:t>
      </w:r>
      <w:r w:rsidRPr="00C22104">
        <w:rPr>
          <w:rFonts w:cs="Arial"/>
          <w:i/>
          <w:lang w:val="hr-HR"/>
        </w:rPr>
        <w:t>Ibid</w:t>
      </w:r>
      <w:r w:rsidRPr="00C22104">
        <w:rPr>
          <w:rFonts w:cs="Arial"/>
          <w:lang w:val="hr-HR"/>
        </w:rPr>
        <w:t>. str. 12.</w:t>
      </w:r>
    </w:p>
  </w:footnote>
  <w:footnote w:id="49">
    <w:p w:rsidR="00761B6C" w:rsidRPr="00F70406" w:rsidRDefault="00761B6C" w:rsidP="00F70406">
      <w:pPr>
        <w:pStyle w:val="FootnoteText"/>
        <w:spacing w:line="360" w:lineRule="auto"/>
      </w:pPr>
      <w:r>
        <w:rPr>
          <w:rStyle w:val="FootnoteReference"/>
        </w:rPr>
        <w:footnoteRef/>
      </w:r>
      <w:r>
        <w:t xml:space="preserve"> </w:t>
      </w:r>
      <w:r w:rsidRPr="00F70406">
        <w:t>Rodin, Siniša; Ćapeta, Tamara; Učinci di</w:t>
      </w:r>
      <w:r>
        <w:t>r</w:t>
      </w:r>
      <w:r w:rsidRPr="00F70406">
        <w:t>e</w:t>
      </w:r>
      <w:r>
        <w:t>k</w:t>
      </w:r>
      <w:r w:rsidRPr="00F70406">
        <w:t xml:space="preserve">tiva Europske unije u nacionalnom pravu s izabranim presudama Europskog suda u punom tekstu i komentarom; Pravosudna akademija, </w:t>
      </w:r>
      <w:proofErr w:type="gramStart"/>
      <w:r w:rsidRPr="00F70406">
        <w:t>2008.,</w:t>
      </w:r>
      <w:proofErr w:type="gramEnd"/>
      <w:r w:rsidRPr="00F70406">
        <w:t xml:space="preserve"> str. 8. </w:t>
      </w:r>
    </w:p>
  </w:footnote>
  <w:footnote w:id="50">
    <w:p w:rsidR="00761B6C" w:rsidRPr="00057189" w:rsidRDefault="00761B6C" w:rsidP="00F70406">
      <w:pPr>
        <w:pStyle w:val="FootnoteText"/>
        <w:spacing w:line="360" w:lineRule="auto"/>
        <w:rPr>
          <w:lang w:val="hr-HR"/>
        </w:rPr>
      </w:pPr>
      <w:r w:rsidRPr="00F70406">
        <w:rPr>
          <w:vertAlign w:val="superscript"/>
        </w:rPr>
        <w:footnoteRef/>
      </w:r>
      <w:r w:rsidRPr="00F70406">
        <w:rPr>
          <w:vertAlign w:val="superscript"/>
        </w:rPr>
        <w:t xml:space="preserve"> </w:t>
      </w:r>
      <w:proofErr w:type="gramStart"/>
      <w:r w:rsidRPr="00F70406">
        <w:t>Ustav RH (NN 85/10 – pročišćeni tekst), u daljnjem tekstu Ustav.</w:t>
      </w:r>
      <w:proofErr w:type="gramEnd"/>
    </w:p>
  </w:footnote>
  <w:footnote w:id="51">
    <w:p w:rsidR="00761B6C" w:rsidRPr="003603DE" w:rsidRDefault="00761B6C" w:rsidP="006B662B">
      <w:pPr>
        <w:pStyle w:val="FootnoteText"/>
        <w:spacing w:line="360" w:lineRule="auto"/>
        <w:rPr>
          <w:rFonts w:cs="Arial"/>
          <w:lang w:val="hr-HR"/>
        </w:rPr>
      </w:pPr>
      <w:r w:rsidRPr="003603DE">
        <w:rPr>
          <w:rStyle w:val="FootnoteReference"/>
          <w:rFonts w:cs="Arial"/>
        </w:rPr>
        <w:footnoteRef/>
      </w:r>
      <w:r w:rsidRPr="003603DE">
        <w:rPr>
          <w:rFonts w:cs="Arial"/>
          <w:lang w:val="hr-HR"/>
        </w:rPr>
        <w:t xml:space="preserve"> Kazneni zakon (NN 125/11, 144/22)</w:t>
      </w:r>
      <w:r>
        <w:rPr>
          <w:rFonts w:cs="Arial"/>
          <w:lang w:val="hr-HR"/>
        </w:rPr>
        <w:t>, dalje u tekstu KZ.</w:t>
      </w:r>
    </w:p>
  </w:footnote>
  <w:footnote w:id="52">
    <w:p w:rsidR="00761B6C" w:rsidRPr="003603DE" w:rsidRDefault="00761B6C" w:rsidP="006B662B">
      <w:pPr>
        <w:pStyle w:val="FootnoteText"/>
        <w:spacing w:line="360" w:lineRule="auto"/>
        <w:rPr>
          <w:lang w:val="hr-HR"/>
        </w:rPr>
      </w:pPr>
      <w:r w:rsidRPr="003603DE">
        <w:rPr>
          <w:rStyle w:val="FootnoteReference"/>
        </w:rPr>
        <w:footnoteRef/>
      </w:r>
      <w:r w:rsidRPr="00057189">
        <w:rPr>
          <w:lang w:val="hr-HR"/>
        </w:rPr>
        <w:t xml:space="preserve"> </w:t>
      </w:r>
      <w:proofErr w:type="gramStart"/>
      <w:r w:rsidRPr="003603DE">
        <w:t>Obrazlo</w:t>
      </w:r>
      <w:r w:rsidRPr="00057189">
        <w:rPr>
          <w:lang w:val="hr-HR"/>
        </w:rPr>
        <w:t>ž</w:t>
      </w:r>
      <w:r w:rsidRPr="003603DE">
        <w:t>enje</w:t>
      </w:r>
      <w:r w:rsidRPr="00057189">
        <w:rPr>
          <w:lang w:val="hr-HR"/>
        </w:rPr>
        <w:t xml:space="preserve"> </w:t>
      </w:r>
      <w:r w:rsidRPr="003603DE">
        <w:t>kona</w:t>
      </w:r>
      <w:r w:rsidRPr="00057189">
        <w:rPr>
          <w:lang w:val="hr-HR"/>
        </w:rPr>
        <w:t>č</w:t>
      </w:r>
      <w:r w:rsidRPr="003603DE">
        <w:t>nog</w:t>
      </w:r>
      <w:r w:rsidRPr="00057189">
        <w:rPr>
          <w:lang w:val="hr-HR"/>
        </w:rPr>
        <w:t xml:space="preserve"> </w:t>
      </w:r>
      <w:r w:rsidRPr="003603DE">
        <w:t>prijedloga</w:t>
      </w:r>
      <w:r w:rsidRPr="00057189">
        <w:rPr>
          <w:lang w:val="hr-HR"/>
        </w:rPr>
        <w:t xml:space="preserve"> </w:t>
      </w:r>
      <w:r w:rsidRPr="003603DE">
        <w:t>Kaznenog</w:t>
      </w:r>
      <w:r w:rsidRPr="00057189">
        <w:rPr>
          <w:lang w:val="hr-HR"/>
        </w:rPr>
        <w:t xml:space="preserve"> </w:t>
      </w:r>
      <w:r w:rsidRPr="003603DE">
        <w:t>zakona</w:t>
      </w:r>
      <w:r w:rsidRPr="00057189">
        <w:rPr>
          <w:lang w:val="hr-HR"/>
        </w:rPr>
        <w:t xml:space="preserve">, </w:t>
      </w:r>
      <w:r w:rsidRPr="003603DE">
        <w:t>str</w:t>
      </w:r>
      <w:r w:rsidRPr="00057189">
        <w:rPr>
          <w:lang w:val="hr-HR"/>
        </w:rPr>
        <w:t>. 2.-3.</w:t>
      </w:r>
      <w:proofErr w:type="gramEnd"/>
    </w:p>
  </w:footnote>
  <w:footnote w:id="53">
    <w:p w:rsidR="00761B6C" w:rsidRPr="003603DE" w:rsidRDefault="00761B6C" w:rsidP="003603DE">
      <w:pPr>
        <w:pStyle w:val="FootnoteText"/>
        <w:spacing w:line="360" w:lineRule="auto"/>
        <w:rPr>
          <w:lang w:val="hr-HR"/>
        </w:rPr>
      </w:pPr>
      <w:r w:rsidRPr="003603DE">
        <w:rPr>
          <w:rStyle w:val="FootnoteReference"/>
        </w:rPr>
        <w:footnoteRef/>
      </w:r>
      <w:r w:rsidRPr="00057189">
        <w:rPr>
          <w:lang w:val="hr-HR"/>
        </w:rPr>
        <w:t xml:space="preserve"> </w:t>
      </w:r>
      <w:r w:rsidRPr="003603DE">
        <w:t>Vidi</w:t>
      </w:r>
      <w:r w:rsidRPr="00057189">
        <w:rPr>
          <w:lang w:val="hr-HR"/>
        </w:rPr>
        <w:t xml:space="preserve">: </w:t>
      </w:r>
      <w:r w:rsidRPr="003603DE">
        <w:t>Munivrana</w:t>
      </w:r>
      <w:r w:rsidRPr="00057189">
        <w:rPr>
          <w:lang w:val="hr-HR"/>
        </w:rPr>
        <w:t xml:space="preserve"> </w:t>
      </w:r>
      <w:r w:rsidRPr="003603DE">
        <w:t>Vajda</w:t>
      </w:r>
      <w:r w:rsidRPr="00057189">
        <w:rPr>
          <w:lang w:val="hr-HR"/>
        </w:rPr>
        <w:t xml:space="preserve">, </w:t>
      </w:r>
      <w:r w:rsidRPr="003603DE">
        <w:t>Maja</w:t>
      </w:r>
      <w:r w:rsidRPr="00057189">
        <w:rPr>
          <w:lang w:val="hr-HR"/>
        </w:rPr>
        <w:t xml:space="preserve">; </w:t>
      </w:r>
      <w:r w:rsidRPr="003603DE">
        <w:t>Novi</w:t>
      </w:r>
      <w:r w:rsidRPr="00057189">
        <w:rPr>
          <w:lang w:val="hr-HR"/>
        </w:rPr>
        <w:t xml:space="preserve"> </w:t>
      </w:r>
      <w:r w:rsidRPr="003603DE">
        <w:t>Kazneni</w:t>
      </w:r>
      <w:r w:rsidRPr="00057189">
        <w:rPr>
          <w:lang w:val="hr-HR"/>
        </w:rPr>
        <w:t xml:space="preserve"> </w:t>
      </w:r>
      <w:r w:rsidRPr="003603DE">
        <w:t>zakon</w:t>
      </w:r>
      <w:r w:rsidRPr="00057189">
        <w:rPr>
          <w:lang w:val="hr-HR"/>
        </w:rPr>
        <w:t xml:space="preserve"> </w:t>
      </w:r>
      <w:r w:rsidRPr="003603DE">
        <w:t>u</w:t>
      </w:r>
      <w:r w:rsidRPr="00057189">
        <w:rPr>
          <w:lang w:val="hr-HR"/>
        </w:rPr>
        <w:t xml:space="preserve"> </w:t>
      </w:r>
      <w:r w:rsidRPr="003603DE">
        <w:t>svjetlu</w:t>
      </w:r>
      <w:r w:rsidRPr="00057189">
        <w:rPr>
          <w:lang w:val="hr-HR"/>
        </w:rPr>
        <w:t xml:space="preserve"> </w:t>
      </w:r>
      <w:r w:rsidRPr="003603DE">
        <w:t>pristupanja</w:t>
      </w:r>
      <w:r w:rsidRPr="00057189">
        <w:rPr>
          <w:lang w:val="hr-HR"/>
        </w:rPr>
        <w:t xml:space="preserve"> </w:t>
      </w:r>
      <w:r w:rsidRPr="003603DE">
        <w:t>Europskoj</w:t>
      </w:r>
      <w:r w:rsidRPr="00057189">
        <w:rPr>
          <w:lang w:val="hr-HR"/>
        </w:rPr>
        <w:t xml:space="preserve"> </w:t>
      </w:r>
      <w:r w:rsidRPr="003603DE">
        <w:t>uniji</w:t>
      </w:r>
      <w:r w:rsidRPr="00057189">
        <w:rPr>
          <w:lang w:val="hr-HR"/>
        </w:rPr>
        <w:t xml:space="preserve">: </w:t>
      </w:r>
      <w:r w:rsidRPr="003603DE">
        <w:t>inkriminiranje</w:t>
      </w:r>
      <w:r w:rsidRPr="00057189">
        <w:rPr>
          <w:lang w:val="hr-HR"/>
        </w:rPr>
        <w:t xml:space="preserve"> </w:t>
      </w:r>
      <w:r w:rsidRPr="003603DE">
        <w:t>govora</w:t>
      </w:r>
      <w:r w:rsidRPr="00057189">
        <w:rPr>
          <w:lang w:val="hr-HR"/>
        </w:rPr>
        <w:t xml:space="preserve"> </w:t>
      </w:r>
      <w:r w:rsidRPr="003603DE">
        <w:t>mr</w:t>
      </w:r>
      <w:r w:rsidRPr="00057189">
        <w:rPr>
          <w:lang w:val="hr-HR"/>
        </w:rPr>
        <w:t>ž</w:t>
      </w:r>
      <w:r w:rsidRPr="003603DE">
        <w:t>nje</w:t>
      </w:r>
      <w:r w:rsidRPr="00057189">
        <w:rPr>
          <w:lang w:val="hr-HR"/>
        </w:rPr>
        <w:t xml:space="preserve"> </w:t>
      </w:r>
      <w:r>
        <w:t>i</w:t>
      </w:r>
      <w:r w:rsidRPr="003603DE">
        <w:t>I</w:t>
      </w:r>
      <w:r w:rsidRPr="00057189">
        <w:rPr>
          <w:lang w:val="hr-HR"/>
        </w:rPr>
        <w:t xml:space="preserve"> </w:t>
      </w:r>
      <w:r w:rsidRPr="003603DE">
        <w:t>nekih</w:t>
      </w:r>
      <w:r w:rsidRPr="00057189">
        <w:rPr>
          <w:lang w:val="hr-HR"/>
        </w:rPr>
        <w:t xml:space="preserve"> </w:t>
      </w:r>
      <w:r w:rsidRPr="003603DE">
        <w:t>drugih</w:t>
      </w:r>
      <w:r w:rsidRPr="00057189">
        <w:rPr>
          <w:lang w:val="hr-HR"/>
        </w:rPr>
        <w:t xml:space="preserve"> </w:t>
      </w:r>
      <w:r w:rsidRPr="003603DE">
        <w:t>oblika</w:t>
      </w:r>
      <w:r w:rsidRPr="00057189">
        <w:rPr>
          <w:lang w:val="hr-HR"/>
        </w:rPr>
        <w:t xml:space="preserve"> </w:t>
      </w:r>
      <w:r w:rsidRPr="003603DE">
        <w:t>rasizma</w:t>
      </w:r>
      <w:r w:rsidRPr="00057189">
        <w:rPr>
          <w:lang w:val="hr-HR"/>
        </w:rPr>
        <w:t xml:space="preserve"> </w:t>
      </w:r>
      <w:r>
        <w:t>i</w:t>
      </w:r>
      <w:r w:rsidRPr="00D6416E">
        <w:rPr>
          <w:lang w:val="hr-HR"/>
        </w:rPr>
        <w:t xml:space="preserve"> </w:t>
      </w:r>
      <w:r w:rsidRPr="003603DE">
        <w:t>ksenofobije</w:t>
      </w:r>
      <w:r w:rsidRPr="00057189">
        <w:rPr>
          <w:lang w:val="hr-HR"/>
        </w:rPr>
        <w:t xml:space="preserve">, </w:t>
      </w:r>
      <w:r w:rsidRPr="003603DE">
        <w:t>u</w:t>
      </w:r>
      <w:r w:rsidRPr="00057189">
        <w:rPr>
          <w:lang w:val="hr-HR"/>
        </w:rPr>
        <w:t xml:space="preserve">: </w:t>
      </w:r>
      <w:r w:rsidRPr="003603DE">
        <w:t>Godi</w:t>
      </w:r>
      <w:r w:rsidRPr="00057189">
        <w:rPr>
          <w:lang w:val="hr-HR"/>
        </w:rPr>
        <w:t>š</w:t>
      </w:r>
      <w:r w:rsidRPr="003603DE">
        <w:t>njak</w:t>
      </w:r>
      <w:r w:rsidRPr="00057189">
        <w:rPr>
          <w:lang w:val="hr-HR"/>
        </w:rPr>
        <w:t xml:space="preserve"> </w:t>
      </w:r>
      <w:r w:rsidRPr="003603DE">
        <w:t>Akademije</w:t>
      </w:r>
      <w:r w:rsidRPr="00057189">
        <w:rPr>
          <w:lang w:val="hr-HR"/>
        </w:rPr>
        <w:t xml:space="preserve"> </w:t>
      </w:r>
      <w:r w:rsidRPr="003603DE">
        <w:t>pravnih</w:t>
      </w:r>
      <w:r w:rsidRPr="00057189">
        <w:rPr>
          <w:lang w:val="hr-HR"/>
        </w:rPr>
        <w:t xml:space="preserve"> </w:t>
      </w:r>
      <w:r w:rsidRPr="003603DE">
        <w:t>znanosti</w:t>
      </w:r>
      <w:r w:rsidRPr="00057189">
        <w:rPr>
          <w:lang w:val="hr-HR"/>
        </w:rPr>
        <w:t xml:space="preserve"> </w:t>
      </w:r>
      <w:r w:rsidRPr="003603DE">
        <w:t>Hrvatske</w:t>
      </w:r>
      <w:r w:rsidRPr="00057189">
        <w:rPr>
          <w:lang w:val="hr-HR"/>
        </w:rPr>
        <w:t xml:space="preserve">, </w:t>
      </w:r>
      <w:r w:rsidRPr="003603DE">
        <w:t>vol</w:t>
      </w:r>
      <w:r w:rsidRPr="00057189">
        <w:rPr>
          <w:lang w:val="hr-HR"/>
        </w:rPr>
        <w:t xml:space="preserve">. </w:t>
      </w:r>
      <w:r w:rsidRPr="003603DE">
        <w:t>IV</w:t>
      </w:r>
      <w:r w:rsidRPr="00057189">
        <w:rPr>
          <w:lang w:val="hr-HR"/>
        </w:rPr>
        <w:t xml:space="preserve">, </w:t>
      </w:r>
      <w:r w:rsidRPr="003603DE">
        <w:t>broj</w:t>
      </w:r>
      <w:r w:rsidRPr="00057189">
        <w:rPr>
          <w:lang w:val="hr-HR"/>
        </w:rPr>
        <w:t xml:space="preserve"> 1/2013, </w:t>
      </w:r>
      <w:r w:rsidRPr="003603DE">
        <w:t>str</w:t>
      </w:r>
      <w:r w:rsidRPr="00057189">
        <w:rPr>
          <w:lang w:val="hr-HR"/>
        </w:rPr>
        <w:t xml:space="preserve">. 135. </w:t>
      </w:r>
    </w:p>
  </w:footnote>
  <w:footnote w:id="54">
    <w:p w:rsidR="00761B6C" w:rsidRPr="00B21301" w:rsidRDefault="00761B6C" w:rsidP="00A67BA0">
      <w:pPr>
        <w:spacing w:line="360" w:lineRule="auto"/>
        <w:jc w:val="both"/>
        <w:rPr>
          <w:rFonts w:cs="Arial"/>
          <w:lang w:val="hr-HR"/>
        </w:rPr>
      </w:pPr>
      <w:r w:rsidRPr="003603DE">
        <w:rPr>
          <w:rStyle w:val="FootnoteReference"/>
          <w:rFonts w:cs="Arial"/>
        </w:rPr>
        <w:footnoteRef/>
      </w:r>
      <w:r>
        <w:rPr>
          <w:rFonts w:cs="Arial"/>
          <w:lang w:val="hr-HR"/>
        </w:rPr>
        <w:t xml:space="preserve"> </w:t>
      </w:r>
      <w:r w:rsidRPr="00A67BA0">
        <w:rPr>
          <w:sz w:val="20"/>
          <w:szCs w:val="20"/>
          <w:lang w:val="hr-HR"/>
        </w:rPr>
        <w:t xml:space="preserve">Turković, Ksenija; Novoselec, Petar; Grozdanić, Velinka; Kurtović, Anita et. </w:t>
      </w:r>
      <w:r>
        <w:rPr>
          <w:sz w:val="20"/>
          <w:szCs w:val="20"/>
          <w:lang w:val="hr-HR"/>
        </w:rPr>
        <w:t>a</w:t>
      </w:r>
      <w:r w:rsidRPr="00A67BA0">
        <w:rPr>
          <w:sz w:val="20"/>
          <w:szCs w:val="20"/>
          <w:lang w:val="hr-HR"/>
        </w:rPr>
        <w:t>l.; Komentar Kaznenog zakona, Zagreb, 2013., str. 130.</w:t>
      </w:r>
      <w:r w:rsidRPr="00B21301">
        <w:rPr>
          <w:rFonts w:cs="Arial"/>
          <w:lang w:val="hr-HR"/>
        </w:rPr>
        <w:t xml:space="preserve"> </w:t>
      </w:r>
    </w:p>
  </w:footnote>
  <w:footnote w:id="55">
    <w:p w:rsidR="00761B6C" w:rsidRPr="003603DE" w:rsidRDefault="00761B6C" w:rsidP="003603DE">
      <w:pPr>
        <w:pStyle w:val="FootnoteText"/>
        <w:spacing w:line="360" w:lineRule="auto"/>
        <w:rPr>
          <w:rFonts w:cs="Arial"/>
          <w:sz w:val="22"/>
          <w:szCs w:val="22"/>
          <w:lang w:val="hr-HR"/>
        </w:rPr>
      </w:pPr>
      <w:r w:rsidRPr="00B21301">
        <w:rPr>
          <w:rStyle w:val="FootnoteReference"/>
          <w:rFonts w:cs="Arial"/>
        </w:rPr>
        <w:footnoteRef/>
      </w:r>
      <w:r w:rsidRPr="00B21301">
        <w:rPr>
          <w:rFonts w:cs="Arial"/>
          <w:lang w:val="hr-HR"/>
        </w:rPr>
        <w:t xml:space="preserve"> </w:t>
      </w:r>
      <w:r w:rsidRPr="00B21301">
        <w:rPr>
          <w:rFonts w:cs="Arial"/>
        </w:rPr>
        <w:t>KZ</w:t>
      </w:r>
      <w:r>
        <w:rPr>
          <w:rFonts w:cs="Arial"/>
        </w:rPr>
        <w:t xml:space="preserve"> (</w:t>
      </w:r>
      <w:r w:rsidRPr="00870891">
        <w:rPr>
          <w:rFonts w:cs="Arial"/>
          <w:i/>
        </w:rPr>
        <w:t>op.cit</w:t>
      </w:r>
      <w:proofErr w:type="gramStart"/>
      <w:r w:rsidRPr="00870891">
        <w:rPr>
          <w:rFonts w:cs="Arial"/>
          <w:i/>
        </w:rPr>
        <w:t>.</w:t>
      </w:r>
      <w:r>
        <w:rPr>
          <w:rFonts w:cs="Arial"/>
        </w:rPr>
        <w:t>(</w:t>
      </w:r>
      <w:proofErr w:type="gramEnd"/>
      <w:r>
        <w:rPr>
          <w:rFonts w:cs="Arial"/>
        </w:rPr>
        <w:t>br. 51)</w:t>
      </w:r>
      <w:r w:rsidRPr="00B21301">
        <w:rPr>
          <w:rFonts w:cs="Arial"/>
          <w:lang w:val="hr-HR"/>
        </w:rPr>
        <w:t xml:space="preserve">, </w:t>
      </w:r>
      <w:r w:rsidRPr="003603DE">
        <w:rPr>
          <w:rFonts w:cs="Arial"/>
          <w:lang w:val="hr-HR"/>
        </w:rPr>
        <w:t>č</w:t>
      </w:r>
      <w:r w:rsidRPr="003603DE">
        <w:rPr>
          <w:rFonts w:cs="Arial"/>
        </w:rPr>
        <w:t>l</w:t>
      </w:r>
      <w:r w:rsidRPr="003603DE">
        <w:rPr>
          <w:rFonts w:cs="Arial"/>
          <w:lang w:val="hr-HR"/>
        </w:rPr>
        <w:t xml:space="preserve">. 325. </w:t>
      </w:r>
      <w:r w:rsidRPr="003603DE">
        <w:rPr>
          <w:rFonts w:cs="Arial"/>
        </w:rPr>
        <w:t>st</w:t>
      </w:r>
      <w:r w:rsidRPr="003603DE">
        <w:rPr>
          <w:rFonts w:cs="Arial"/>
          <w:lang w:val="hr-HR"/>
        </w:rPr>
        <w:t>. 1</w:t>
      </w:r>
      <w:r>
        <w:rPr>
          <w:rFonts w:cs="Arial"/>
          <w:lang w:val="hr-HR"/>
        </w:rPr>
        <w:t>.</w:t>
      </w:r>
    </w:p>
  </w:footnote>
  <w:footnote w:id="56">
    <w:p w:rsidR="00761B6C" w:rsidRPr="00512EE7" w:rsidRDefault="00761B6C" w:rsidP="00512EE7">
      <w:pPr>
        <w:pStyle w:val="FootnoteText"/>
        <w:spacing w:line="360" w:lineRule="auto"/>
        <w:rPr>
          <w:lang w:val="hr-HR"/>
        </w:rPr>
      </w:pPr>
      <w:r>
        <w:rPr>
          <w:rStyle w:val="FootnoteReference"/>
        </w:rPr>
        <w:footnoteRef/>
      </w:r>
      <w:r w:rsidRPr="0066355E">
        <w:rPr>
          <w:lang w:val="hr-HR"/>
        </w:rPr>
        <w:t xml:space="preserve"> </w:t>
      </w:r>
      <w:r>
        <w:rPr>
          <w:lang w:val="hr-HR"/>
        </w:rPr>
        <w:t>Tako i Vasiljević, Snježana; Balen, Braslav; Zakon o suzbijanju diskriminacije u svjetlu europskog prava: sadržaj i sankcije, u: Policija i sigurnost, godina 18. (2009), broj 2, str. 214.</w:t>
      </w:r>
    </w:p>
  </w:footnote>
  <w:footnote w:id="57">
    <w:p w:rsidR="00761B6C" w:rsidRPr="003603DE" w:rsidRDefault="00761B6C" w:rsidP="00512EE7">
      <w:pPr>
        <w:pStyle w:val="FootnoteText"/>
        <w:spacing w:line="360" w:lineRule="auto"/>
        <w:rPr>
          <w:rFonts w:cs="Arial"/>
          <w:sz w:val="18"/>
          <w:szCs w:val="18"/>
          <w:lang w:val="hr-HR"/>
        </w:rPr>
      </w:pPr>
      <w:r w:rsidRPr="003603DE">
        <w:rPr>
          <w:rStyle w:val="FootnoteReference"/>
          <w:rFonts w:cs="Arial"/>
        </w:rPr>
        <w:footnoteRef/>
      </w:r>
      <w:r w:rsidRPr="003603DE">
        <w:rPr>
          <w:rFonts w:cs="Arial"/>
          <w:lang w:val="hr-HR"/>
        </w:rPr>
        <w:t xml:space="preserve"> Zakon o suzbijanju di</w:t>
      </w:r>
      <w:r>
        <w:rPr>
          <w:rFonts w:cs="Arial"/>
          <w:lang w:val="hr-HR"/>
        </w:rPr>
        <w:t>skriminacije (NN 85/08, 112/12), u daljnjem tekstu: ZSD.</w:t>
      </w:r>
      <w:r w:rsidRPr="003603DE">
        <w:rPr>
          <w:rFonts w:cs="Arial"/>
          <w:lang w:val="hr-HR"/>
        </w:rPr>
        <w:t xml:space="preserve"> </w:t>
      </w:r>
    </w:p>
  </w:footnote>
  <w:footnote w:id="58">
    <w:p w:rsidR="00761B6C" w:rsidRPr="00B21301" w:rsidRDefault="00761B6C" w:rsidP="00512EE7">
      <w:pPr>
        <w:pStyle w:val="FootnoteText"/>
        <w:spacing w:line="360" w:lineRule="auto"/>
        <w:jc w:val="both"/>
        <w:rPr>
          <w:lang w:val="hr-HR"/>
        </w:rPr>
      </w:pPr>
      <w:r w:rsidRPr="003603DE">
        <w:rPr>
          <w:rStyle w:val="FootnoteReference"/>
          <w:rFonts w:cs="Arial"/>
        </w:rPr>
        <w:footnoteRef/>
      </w:r>
      <w:r w:rsidRPr="003603DE">
        <w:rPr>
          <w:rFonts w:cs="Arial"/>
          <w:lang w:val="hr-HR"/>
        </w:rPr>
        <w:t xml:space="preserve"> Direktiva Vijeća 2000/43/EZ od 29. lipnja 2000. o implementaciji načela jednakog postupanje između osoba neovisno o rasnoj ili etničkoj pripadnosti te Direktiva Vijeća 2000/78/EZ od 27. studenoga 2000. o uspostavi općeg okvira za jednako postupanje pri zapošljavanju i obavljanju zanimanja</w:t>
      </w:r>
      <w:r>
        <w:rPr>
          <w:rFonts w:cs="Arial"/>
          <w:lang w:val="hr-HR"/>
        </w:rPr>
        <w:t>.</w:t>
      </w:r>
      <w:r>
        <w:rPr>
          <w:rStyle w:val="apple-converted-space"/>
          <w:rFonts w:ascii="Lucida Sans Unicode" w:hAnsi="Lucida Sans Unicode"/>
          <w:b/>
          <w:color w:val="444444"/>
          <w:bdr w:val="none" w:sz="0" w:space="0" w:color="auto" w:frame="1"/>
        </w:rPr>
        <w:t> </w:t>
      </w:r>
    </w:p>
  </w:footnote>
  <w:footnote w:id="59">
    <w:p w:rsidR="00761B6C" w:rsidRPr="00AC0BC8" w:rsidRDefault="00761B6C" w:rsidP="00523F74">
      <w:pPr>
        <w:pStyle w:val="ListParagraph"/>
        <w:spacing w:line="360" w:lineRule="auto"/>
        <w:ind w:left="0" w:right="-329"/>
        <w:jc w:val="both"/>
        <w:rPr>
          <w:rFonts w:cs="Arial"/>
          <w:sz w:val="20"/>
          <w:szCs w:val="20"/>
          <w:lang w:val="hr-HR"/>
        </w:rPr>
      </w:pPr>
      <w:r w:rsidRPr="00AC0BC8">
        <w:rPr>
          <w:rFonts w:cs="Arial"/>
          <w:sz w:val="20"/>
          <w:szCs w:val="20"/>
          <w:vertAlign w:val="superscript"/>
          <w:lang w:val="hr-HR"/>
        </w:rPr>
        <w:footnoteRef/>
      </w:r>
      <w:r w:rsidRPr="00AC0BC8">
        <w:rPr>
          <w:rFonts w:cs="Arial"/>
          <w:sz w:val="20"/>
          <w:szCs w:val="20"/>
          <w:vertAlign w:val="superscript"/>
          <w:lang w:val="hr-HR"/>
        </w:rPr>
        <w:t xml:space="preserve"> </w:t>
      </w:r>
      <w:r w:rsidRPr="00AC0BC8">
        <w:rPr>
          <w:rFonts w:cs="Arial"/>
          <w:sz w:val="20"/>
          <w:szCs w:val="20"/>
          <w:lang w:val="hr-HR"/>
        </w:rPr>
        <w:t>Zakon o ravnopravnosti spolova (NN 116/03, 82/08)</w:t>
      </w:r>
      <w:r>
        <w:rPr>
          <w:rFonts w:cs="Arial"/>
          <w:sz w:val="20"/>
          <w:szCs w:val="20"/>
          <w:lang w:val="hr-HR"/>
        </w:rPr>
        <w:t>, dalje u tekstu ZRS.</w:t>
      </w:r>
    </w:p>
  </w:footnote>
  <w:footnote w:id="60">
    <w:p w:rsidR="00761B6C" w:rsidRPr="00AC0BC8" w:rsidRDefault="00761B6C" w:rsidP="00523F74">
      <w:pPr>
        <w:pStyle w:val="ListParagraph"/>
        <w:spacing w:line="360" w:lineRule="auto"/>
        <w:ind w:left="0" w:right="-329"/>
        <w:jc w:val="both"/>
        <w:rPr>
          <w:rFonts w:cs="Arial"/>
          <w:sz w:val="20"/>
          <w:szCs w:val="20"/>
          <w:lang w:val="hr-HR"/>
        </w:rPr>
      </w:pPr>
      <w:r w:rsidRPr="00AC0BC8">
        <w:rPr>
          <w:rFonts w:cs="Arial"/>
          <w:sz w:val="20"/>
          <w:szCs w:val="20"/>
          <w:vertAlign w:val="superscript"/>
          <w:lang w:val="hr-HR"/>
        </w:rPr>
        <w:footnoteRef/>
      </w:r>
      <w:r w:rsidRPr="00AC0BC8">
        <w:rPr>
          <w:rFonts w:cs="Arial"/>
          <w:sz w:val="20"/>
          <w:szCs w:val="20"/>
          <w:lang w:val="hr-HR"/>
        </w:rPr>
        <w:t xml:space="preserve"> Zakon o istospolnim zajednicama (NN 116/03)</w:t>
      </w:r>
      <w:r>
        <w:rPr>
          <w:rFonts w:cs="Arial"/>
          <w:sz w:val="20"/>
          <w:szCs w:val="20"/>
          <w:lang w:val="hr-HR"/>
        </w:rPr>
        <w:t>, čl. 21.</w:t>
      </w:r>
    </w:p>
  </w:footnote>
  <w:footnote w:id="61">
    <w:p w:rsidR="00761B6C" w:rsidRPr="00AC0BC8" w:rsidRDefault="00761B6C" w:rsidP="00523F74">
      <w:pPr>
        <w:pStyle w:val="ListParagraph"/>
        <w:spacing w:line="360" w:lineRule="auto"/>
        <w:ind w:left="0" w:right="-329"/>
        <w:jc w:val="both"/>
        <w:rPr>
          <w:rFonts w:cs="Arial"/>
          <w:sz w:val="20"/>
          <w:szCs w:val="20"/>
          <w:lang w:val="hr-HR"/>
        </w:rPr>
      </w:pPr>
      <w:r w:rsidRPr="007E34B5">
        <w:rPr>
          <w:rFonts w:cs="Arial"/>
          <w:sz w:val="20"/>
          <w:szCs w:val="20"/>
          <w:vertAlign w:val="superscript"/>
          <w:lang w:val="hr-HR"/>
        </w:rPr>
        <w:footnoteRef/>
      </w:r>
      <w:r w:rsidRPr="007E34B5">
        <w:rPr>
          <w:rFonts w:cs="Arial"/>
          <w:sz w:val="20"/>
          <w:szCs w:val="20"/>
          <w:lang w:val="hr-HR"/>
        </w:rPr>
        <w:t xml:space="preserve"> </w:t>
      </w:r>
      <w:r w:rsidRPr="00AC0BC8">
        <w:rPr>
          <w:rFonts w:cs="Arial"/>
          <w:sz w:val="20"/>
          <w:szCs w:val="20"/>
          <w:lang w:val="hr-HR"/>
        </w:rPr>
        <w:t xml:space="preserve">Zakonom o medijima (NN </w:t>
      </w:r>
      <w:r>
        <w:rPr>
          <w:rFonts w:cs="Arial"/>
          <w:sz w:val="20"/>
          <w:szCs w:val="20"/>
          <w:lang w:val="hr-HR"/>
        </w:rPr>
        <w:t xml:space="preserve">59/04, </w:t>
      </w:r>
      <w:hyperlink r:id="rId4" w:history="1">
        <w:r w:rsidRPr="007E34B5">
          <w:rPr>
            <w:rFonts w:cs="Arial"/>
            <w:sz w:val="20"/>
            <w:szCs w:val="20"/>
            <w:lang w:val="hr-HR"/>
          </w:rPr>
          <w:t>84/11</w:t>
        </w:r>
      </w:hyperlink>
      <w:r w:rsidRPr="007E34B5">
        <w:rPr>
          <w:rFonts w:cs="Arial"/>
          <w:sz w:val="20"/>
          <w:szCs w:val="20"/>
          <w:lang w:val="hr-HR"/>
        </w:rPr>
        <w:t>, </w:t>
      </w:r>
      <w:hyperlink r:id="rId5" w:history="1">
        <w:r w:rsidRPr="007E34B5">
          <w:rPr>
            <w:rFonts w:cs="Arial"/>
            <w:sz w:val="20"/>
            <w:szCs w:val="20"/>
            <w:lang w:val="hr-HR"/>
          </w:rPr>
          <w:t>81/13</w:t>
        </w:r>
      </w:hyperlink>
      <w:r>
        <w:rPr>
          <w:rFonts w:cs="Arial"/>
          <w:sz w:val="20"/>
          <w:szCs w:val="20"/>
          <w:lang w:val="hr-HR"/>
        </w:rPr>
        <w:t>).</w:t>
      </w:r>
    </w:p>
  </w:footnote>
  <w:footnote w:id="62">
    <w:p w:rsidR="00761B6C" w:rsidRPr="00AC0BC8" w:rsidRDefault="00761B6C" w:rsidP="00523F74">
      <w:pPr>
        <w:pStyle w:val="ListParagraph"/>
        <w:spacing w:line="360" w:lineRule="auto"/>
        <w:ind w:left="0" w:right="-329"/>
        <w:jc w:val="both"/>
        <w:rPr>
          <w:rFonts w:cs="Arial"/>
          <w:sz w:val="20"/>
          <w:szCs w:val="20"/>
          <w:lang w:val="hr-HR"/>
        </w:rPr>
      </w:pPr>
      <w:r w:rsidRPr="00C20CC9">
        <w:rPr>
          <w:rFonts w:cs="Arial"/>
          <w:sz w:val="20"/>
          <w:szCs w:val="20"/>
          <w:vertAlign w:val="superscript"/>
          <w:lang w:val="hr-HR"/>
        </w:rPr>
        <w:footnoteRef/>
      </w:r>
      <w:r w:rsidRPr="00C20CC9">
        <w:rPr>
          <w:rFonts w:cs="Arial"/>
          <w:sz w:val="20"/>
          <w:szCs w:val="20"/>
          <w:vertAlign w:val="superscript"/>
          <w:lang w:val="hr-HR"/>
        </w:rPr>
        <w:t xml:space="preserve"> </w:t>
      </w:r>
      <w:r w:rsidRPr="00AC0BC8">
        <w:rPr>
          <w:rFonts w:cs="Arial"/>
          <w:sz w:val="20"/>
          <w:szCs w:val="20"/>
          <w:lang w:val="hr-HR"/>
        </w:rPr>
        <w:t xml:space="preserve">Zakon o elektroničkim medijima (NN </w:t>
      </w:r>
      <w:hyperlink r:id="rId6" w:history="1">
        <w:r w:rsidRPr="00C20CC9">
          <w:rPr>
            <w:rFonts w:cs="Arial"/>
            <w:sz w:val="20"/>
            <w:szCs w:val="20"/>
            <w:lang w:val="hr-HR"/>
          </w:rPr>
          <w:t>153/09</w:t>
        </w:r>
      </w:hyperlink>
      <w:r w:rsidRPr="00C20CC9">
        <w:rPr>
          <w:rFonts w:cs="Arial"/>
          <w:sz w:val="20"/>
          <w:szCs w:val="20"/>
          <w:lang w:val="hr-HR"/>
        </w:rPr>
        <w:t>, </w:t>
      </w:r>
      <w:hyperlink r:id="rId7" w:history="1">
        <w:r w:rsidRPr="00C20CC9">
          <w:rPr>
            <w:rFonts w:cs="Arial"/>
            <w:sz w:val="20"/>
            <w:szCs w:val="20"/>
            <w:lang w:val="hr-HR"/>
          </w:rPr>
          <w:t>84/11</w:t>
        </w:r>
      </w:hyperlink>
      <w:r w:rsidRPr="00C20CC9">
        <w:rPr>
          <w:rFonts w:cs="Arial"/>
          <w:sz w:val="20"/>
          <w:szCs w:val="20"/>
          <w:lang w:val="hr-HR"/>
        </w:rPr>
        <w:t>, </w:t>
      </w:r>
      <w:hyperlink r:id="rId8" w:history="1">
        <w:r w:rsidRPr="00C20CC9">
          <w:rPr>
            <w:rFonts w:cs="Arial"/>
            <w:sz w:val="20"/>
            <w:szCs w:val="20"/>
            <w:lang w:val="hr-HR"/>
          </w:rPr>
          <w:t>94/13</w:t>
        </w:r>
      </w:hyperlink>
      <w:r w:rsidRPr="00C20CC9">
        <w:rPr>
          <w:rFonts w:cs="Arial"/>
          <w:sz w:val="20"/>
          <w:szCs w:val="20"/>
          <w:lang w:val="hr-HR"/>
        </w:rPr>
        <w:t>, </w:t>
      </w:r>
      <w:hyperlink r:id="rId9" w:history="1">
        <w:r w:rsidRPr="00C20CC9">
          <w:rPr>
            <w:rFonts w:cs="Arial"/>
            <w:sz w:val="20"/>
            <w:szCs w:val="20"/>
            <w:lang w:val="hr-HR"/>
          </w:rPr>
          <w:t>136/13</w:t>
        </w:r>
      </w:hyperlink>
      <w:r w:rsidRPr="00AC0BC8">
        <w:rPr>
          <w:rFonts w:cs="Arial"/>
          <w:sz w:val="20"/>
          <w:szCs w:val="20"/>
          <w:lang w:val="hr-HR"/>
        </w:rPr>
        <w:t>)</w:t>
      </w:r>
      <w:r>
        <w:rPr>
          <w:rFonts w:cs="Arial"/>
          <w:sz w:val="20"/>
          <w:szCs w:val="20"/>
          <w:lang w:val="hr-HR"/>
        </w:rPr>
        <w:t>.</w:t>
      </w:r>
    </w:p>
  </w:footnote>
  <w:footnote w:id="63">
    <w:p w:rsidR="00761B6C" w:rsidRPr="00952CFB" w:rsidRDefault="00761B6C" w:rsidP="00421627">
      <w:pPr>
        <w:pStyle w:val="FootnoteText"/>
        <w:spacing w:line="360" w:lineRule="auto"/>
        <w:rPr>
          <w:lang w:val="hr-HR"/>
        </w:rPr>
      </w:pPr>
      <w:r>
        <w:rPr>
          <w:rStyle w:val="FootnoteReference"/>
        </w:rPr>
        <w:footnoteRef/>
      </w:r>
      <w:r>
        <w:t xml:space="preserve"> </w:t>
      </w:r>
      <w:r w:rsidRPr="00E31805">
        <w:rPr>
          <w:rFonts w:cs="Arial"/>
        </w:rPr>
        <w:t xml:space="preserve">Dutton, William; Dopatka, Anna; Hills, Michael; Law, Ginette; Nash, Vistoria; </w:t>
      </w:r>
      <w:r w:rsidRPr="00E31805">
        <w:rPr>
          <w:rFonts w:cs="Arial"/>
          <w:lang w:val="hr-HR"/>
        </w:rPr>
        <w:t>Freedom of connection – Freedom of expression The Changing Legal and Regulatory Ecology Shaping the Internet,</w:t>
      </w:r>
      <w:r>
        <w:rPr>
          <w:rFonts w:cs="Arial"/>
          <w:lang w:val="hr-HR"/>
        </w:rPr>
        <w:t xml:space="preserve"> (</w:t>
      </w:r>
      <w:r w:rsidRPr="00B54B8F">
        <w:rPr>
          <w:rFonts w:cs="Arial"/>
          <w:i/>
          <w:lang w:val="hr-HR"/>
        </w:rPr>
        <w:t>op.cit.</w:t>
      </w:r>
      <w:r>
        <w:rPr>
          <w:rFonts w:cs="Arial"/>
          <w:lang w:val="hr-HR"/>
        </w:rPr>
        <w:t xml:space="preserve"> (br. 11),</w:t>
      </w:r>
      <w:r w:rsidRPr="00E31805">
        <w:rPr>
          <w:rFonts w:cs="Arial"/>
          <w:lang w:val="hr-HR"/>
        </w:rPr>
        <w:t xml:space="preserve"> str. 8</w:t>
      </w:r>
      <w:r>
        <w:rPr>
          <w:rFonts w:cs="Arial"/>
          <w:lang w:val="hr-HR"/>
        </w:rPr>
        <w:t>.</w:t>
      </w:r>
    </w:p>
  </w:footnote>
  <w:footnote w:id="64">
    <w:p w:rsidR="00761B6C" w:rsidRPr="005F08A1" w:rsidRDefault="00761B6C" w:rsidP="00421627">
      <w:pPr>
        <w:pStyle w:val="FootnoteText"/>
        <w:spacing w:line="360" w:lineRule="auto"/>
        <w:rPr>
          <w:rFonts w:cs="Arial"/>
          <w:lang w:val="hr-HR"/>
        </w:rPr>
      </w:pPr>
      <w:r w:rsidRPr="005F08A1">
        <w:rPr>
          <w:rStyle w:val="FootnoteReference"/>
          <w:rFonts w:cs="Arial"/>
        </w:rPr>
        <w:footnoteRef/>
      </w:r>
      <w:r w:rsidRPr="00F26C52">
        <w:rPr>
          <w:rFonts w:cs="Arial"/>
          <w:lang w:val="hr-HR"/>
        </w:rPr>
        <w:t xml:space="preserve"> </w:t>
      </w:r>
      <w:r w:rsidRPr="005F08A1">
        <w:rPr>
          <w:rFonts w:cs="Arial"/>
          <w:lang w:val="hr-HR"/>
        </w:rPr>
        <w:t xml:space="preserve">Izvješće pučke pravobraniteljice za 2013., </w:t>
      </w:r>
      <w:r>
        <w:rPr>
          <w:rFonts w:cs="Arial"/>
          <w:lang w:val="hr-HR"/>
        </w:rPr>
        <w:t>(</w:t>
      </w:r>
      <w:r w:rsidRPr="00B7188C">
        <w:rPr>
          <w:rFonts w:cs="Arial"/>
          <w:i/>
          <w:lang w:val="hr-HR"/>
        </w:rPr>
        <w:t>op. cit.</w:t>
      </w:r>
      <w:r>
        <w:rPr>
          <w:rFonts w:cs="Arial"/>
          <w:lang w:val="hr-HR"/>
        </w:rPr>
        <w:t xml:space="preserve"> (br. 6), str. 122.</w:t>
      </w:r>
    </w:p>
  </w:footnote>
  <w:footnote w:id="65">
    <w:p w:rsidR="00761B6C" w:rsidRPr="00386CB7" w:rsidRDefault="00761B6C" w:rsidP="00AB7BFF">
      <w:pPr>
        <w:pStyle w:val="FootnoteText"/>
        <w:spacing w:line="360" w:lineRule="auto"/>
        <w:rPr>
          <w:lang w:val="hr-HR"/>
        </w:rPr>
      </w:pPr>
      <w:r>
        <w:rPr>
          <w:rStyle w:val="FootnoteReference"/>
        </w:rPr>
        <w:footnoteRef/>
      </w:r>
      <w:r>
        <w:t xml:space="preserve"> </w:t>
      </w:r>
      <w:r>
        <w:rPr>
          <w:rFonts w:cs="Arial"/>
          <w:lang w:val="fr-FR"/>
        </w:rPr>
        <w:t>P</w:t>
      </w:r>
      <w:r w:rsidRPr="00F26C52">
        <w:rPr>
          <w:rFonts w:cs="Arial"/>
          <w:lang w:val="fr-FR"/>
        </w:rPr>
        <w:t>odjela</w:t>
      </w:r>
      <w:r w:rsidRPr="00057189">
        <w:rPr>
          <w:rFonts w:cs="Arial"/>
          <w:lang w:val="hr-HR"/>
        </w:rPr>
        <w:t xml:space="preserve"> </w:t>
      </w:r>
      <w:r w:rsidRPr="00F26C52">
        <w:rPr>
          <w:rFonts w:cs="Arial"/>
          <w:lang w:val="fr-FR"/>
        </w:rPr>
        <w:t>preuzeta</w:t>
      </w:r>
      <w:r w:rsidRPr="00057189">
        <w:rPr>
          <w:rFonts w:cs="Arial"/>
          <w:lang w:val="hr-HR"/>
        </w:rPr>
        <w:t xml:space="preserve"> </w:t>
      </w:r>
      <w:r>
        <w:rPr>
          <w:rFonts w:cs="Arial"/>
          <w:lang w:val="fr-FR"/>
        </w:rPr>
        <w:t xml:space="preserve">iz Regulacija govora mržnje na webu, </w:t>
      </w:r>
      <w:r w:rsidRPr="002A744E">
        <w:rPr>
          <w:rFonts w:cs="Arial"/>
          <w:lang w:val="fr-FR"/>
        </w:rPr>
        <w:t>http</w:t>
      </w:r>
      <w:r w:rsidRPr="002A744E">
        <w:rPr>
          <w:rFonts w:cs="Arial"/>
          <w:lang w:val="hr-HR"/>
        </w:rPr>
        <w:t>://</w:t>
      </w:r>
      <w:r w:rsidRPr="002A744E">
        <w:rPr>
          <w:rFonts w:cs="Arial"/>
          <w:lang w:val="fr-FR"/>
        </w:rPr>
        <w:t>www</w:t>
      </w:r>
      <w:r w:rsidRPr="002A744E">
        <w:rPr>
          <w:rFonts w:cs="Arial"/>
          <w:lang w:val="hr-HR"/>
        </w:rPr>
        <w:t>.</w:t>
      </w:r>
      <w:r w:rsidRPr="002A744E">
        <w:rPr>
          <w:rFonts w:cs="Arial"/>
          <w:lang w:val="fr-FR"/>
        </w:rPr>
        <w:t>djurman</w:t>
      </w:r>
      <w:r w:rsidRPr="002A744E">
        <w:rPr>
          <w:rFonts w:cs="Arial"/>
          <w:lang w:val="hr-HR"/>
        </w:rPr>
        <w:t>.</w:t>
      </w:r>
      <w:r w:rsidRPr="002A744E">
        <w:rPr>
          <w:rFonts w:cs="Arial"/>
          <w:lang w:val="fr-FR"/>
        </w:rPr>
        <w:t>com</w:t>
      </w:r>
      <w:r w:rsidRPr="002A744E">
        <w:rPr>
          <w:rFonts w:cs="Arial"/>
          <w:lang w:val="hr-HR"/>
        </w:rPr>
        <w:t>/</w:t>
      </w:r>
      <w:r w:rsidRPr="002A744E">
        <w:rPr>
          <w:rFonts w:cs="Arial"/>
          <w:lang w:val="fr-FR"/>
        </w:rPr>
        <w:t>tekst</w:t>
      </w:r>
      <w:r w:rsidRPr="002A744E">
        <w:rPr>
          <w:rFonts w:cs="Arial"/>
          <w:lang w:val="hr-HR"/>
        </w:rPr>
        <w:t>/</w:t>
      </w:r>
      <w:r w:rsidRPr="002A744E">
        <w:rPr>
          <w:rFonts w:cs="Arial"/>
          <w:lang w:val="fr-FR"/>
        </w:rPr>
        <w:t>net</w:t>
      </w:r>
      <w:r w:rsidRPr="002A744E">
        <w:rPr>
          <w:rFonts w:cs="Arial"/>
          <w:lang w:val="hr-HR"/>
        </w:rPr>
        <w:t>/</w:t>
      </w:r>
      <w:r w:rsidRPr="002A744E">
        <w:rPr>
          <w:rFonts w:cs="Arial"/>
          <w:lang w:val="fr-FR"/>
        </w:rPr>
        <w:t>chip</w:t>
      </w:r>
      <w:r w:rsidRPr="002A744E">
        <w:rPr>
          <w:rFonts w:cs="Arial"/>
          <w:lang w:val="hr-HR"/>
        </w:rPr>
        <w:t>126_</w:t>
      </w:r>
      <w:r w:rsidRPr="002A744E">
        <w:rPr>
          <w:rFonts w:cs="Arial"/>
          <w:lang w:val="fr-FR"/>
        </w:rPr>
        <w:t>nazi</w:t>
      </w:r>
      <w:r w:rsidRPr="002A744E">
        <w:rPr>
          <w:rFonts w:cs="Arial"/>
          <w:lang w:val="hr-HR"/>
        </w:rPr>
        <w:t>.</w:t>
      </w:r>
      <w:r w:rsidRPr="002A744E">
        <w:rPr>
          <w:rFonts w:cs="Arial"/>
          <w:lang w:val="fr-FR"/>
        </w:rPr>
        <w:t>htm</w:t>
      </w:r>
      <w:r w:rsidRPr="00057189">
        <w:rPr>
          <w:rFonts w:cs="Arial"/>
          <w:lang w:val="hr-HR"/>
        </w:rPr>
        <w:t xml:space="preserve">, </w:t>
      </w:r>
      <w:r>
        <w:rPr>
          <w:rFonts w:cs="Arial"/>
          <w:lang w:val="fr-FR"/>
        </w:rPr>
        <w:t>pristupljeno</w:t>
      </w:r>
      <w:r w:rsidRPr="00057189">
        <w:rPr>
          <w:rFonts w:cs="Arial"/>
          <w:lang w:val="hr-HR"/>
        </w:rPr>
        <w:t xml:space="preserve"> 20.</w:t>
      </w:r>
      <w:r>
        <w:rPr>
          <w:rFonts w:cs="Arial"/>
          <w:lang w:val="hr-HR"/>
        </w:rPr>
        <w:t xml:space="preserve"> ožujka </w:t>
      </w:r>
      <w:r w:rsidRPr="00057189">
        <w:rPr>
          <w:rFonts w:cs="Arial"/>
          <w:lang w:val="hr-HR"/>
        </w:rPr>
        <w:t>2014</w:t>
      </w:r>
      <w:r>
        <w:rPr>
          <w:rFonts w:cs="Arial"/>
          <w:lang w:val="hr-HR"/>
        </w:rPr>
        <w:t>.</w:t>
      </w:r>
    </w:p>
  </w:footnote>
  <w:footnote w:id="66">
    <w:p w:rsidR="00761B6C" w:rsidRPr="00057189" w:rsidRDefault="00761B6C" w:rsidP="00421627">
      <w:pPr>
        <w:pStyle w:val="FootnoteText"/>
        <w:spacing w:line="360" w:lineRule="auto"/>
        <w:rPr>
          <w:rFonts w:cs="Arial"/>
          <w:lang w:val="hr-HR"/>
        </w:rPr>
      </w:pPr>
      <w:r w:rsidRPr="0072437A">
        <w:rPr>
          <w:rStyle w:val="FootnoteReference"/>
        </w:rPr>
        <w:footnoteRef/>
      </w:r>
      <w:r w:rsidRPr="00057189">
        <w:rPr>
          <w:lang w:val="hr-HR"/>
        </w:rPr>
        <w:t xml:space="preserve"> </w:t>
      </w:r>
      <w:r w:rsidRPr="0072437A">
        <w:t>Valja</w:t>
      </w:r>
      <w:r w:rsidRPr="00057189">
        <w:rPr>
          <w:lang w:val="hr-HR"/>
        </w:rPr>
        <w:t xml:space="preserve"> </w:t>
      </w:r>
      <w:r w:rsidRPr="0072437A">
        <w:t>imati</w:t>
      </w:r>
      <w:r w:rsidRPr="00057189">
        <w:rPr>
          <w:lang w:val="hr-HR"/>
        </w:rPr>
        <w:t xml:space="preserve"> </w:t>
      </w:r>
      <w:proofErr w:type="gramStart"/>
      <w:r w:rsidRPr="0072437A">
        <w:t>na</w:t>
      </w:r>
      <w:proofErr w:type="gramEnd"/>
      <w:r w:rsidRPr="00057189">
        <w:rPr>
          <w:lang w:val="hr-HR"/>
        </w:rPr>
        <w:t xml:space="preserve"> </w:t>
      </w:r>
      <w:r w:rsidRPr="0072437A">
        <w:t>umu</w:t>
      </w:r>
      <w:r w:rsidRPr="00057189">
        <w:rPr>
          <w:lang w:val="hr-HR"/>
        </w:rPr>
        <w:t xml:space="preserve"> </w:t>
      </w:r>
      <w:r w:rsidRPr="0072437A">
        <w:t>da</w:t>
      </w:r>
      <w:r w:rsidRPr="00057189">
        <w:rPr>
          <w:lang w:val="hr-HR"/>
        </w:rPr>
        <w:t xml:space="preserve"> </w:t>
      </w:r>
      <w:r w:rsidRPr="0072437A">
        <w:t>je</w:t>
      </w:r>
      <w:r w:rsidRPr="00057189">
        <w:rPr>
          <w:lang w:val="hr-HR"/>
        </w:rPr>
        <w:t xml:space="preserve"> </w:t>
      </w:r>
      <w:r w:rsidRPr="0072437A">
        <w:t>u</w:t>
      </w:r>
      <w:r w:rsidRPr="00057189">
        <w:rPr>
          <w:lang w:val="hr-HR"/>
        </w:rPr>
        <w:t xml:space="preserve"> </w:t>
      </w:r>
      <w:r w:rsidRPr="0072437A">
        <w:t>ameri</w:t>
      </w:r>
      <w:r w:rsidRPr="00057189">
        <w:rPr>
          <w:lang w:val="hr-HR"/>
        </w:rPr>
        <w:t>č</w:t>
      </w:r>
      <w:r w:rsidRPr="0072437A">
        <w:t>koj</w:t>
      </w:r>
      <w:r w:rsidRPr="00057189">
        <w:rPr>
          <w:lang w:val="hr-HR"/>
        </w:rPr>
        <w:t xml:space="preserve"> </w:t>
      </w:r>
      <w:r w:rsidRPr="0072437A">
        <w:t>pravnoj</w:t>
      </w:r>
      <w:r w:rsidRPr="00057189">
        <w:rPr>
          <w:lang w:val="hr-HR"/>
        </w:rPr>
        <w:t xml:space="preserve"> </w:t>
      </w:r>
      <w:r w:rsidRPr="0072437A">
        <w:t>tradiciji</w:t>
      </w:r>
      <w:r w:rsidRPr="00057189">
        <w:rPr>
          <w:lang w:val="hr-HR"/>
        </w:rPr>
        <w:t xml:space="preserve"> </w:t>
      </w:r>
      <w:r w:rsidRPr="0072437A">
        <w:t>pitanje</w:t>
      </w:r>
      <w:r w:rsidRPr="00057189">
        <w:rPr>
          <w:lang w:val="hr-HR"/>
        </w:rPr>
        <w:t xml:space="preserve"> </w:t>
      </w:r>
      <w:r w:rsidRPr="0072437A">
        <w:t>govora</w:t>
      </w:r>
      <w:r w:rsidRPr="00057189">
        <w:rPr>
          <w:lang w:val="hr-HR"/>
        </w:rPr>
        <w:t xml:space="preserve"> </w:t>
      </w:r>
      <w:r w:rsidRPr="0072437A">
        <w:t>mr</w:t>
      </w:r>
      <w:r w:rsidRPr="00057189">
        <w:rPr>
          <w:lang w:val="hr-HR"/>
        </w:rPr>
        <w:t>ž</w:t>
      </w:r>
      <w:r w:rsidRPr="0072437A">
        <w:t>nje</w:t>
      </w:r>
      <w:r w:rsidRPr="00057189">
        <w:rPr>
          <w:lang w:val="hr-HR"/>
        </w:rPr>
        <w:t xml:space="preserve"> </w:t>
      </w:r>
      <w:r w:rsidRPr="0072437A">
        <w:t>op</w:t>
      </w:r>
      <w:r w:rsidRPr="00057189">
        <w:rPr>
          <w:lang w:val="hr-HR"/>
        </w:rPr>
        <w:t>ć</w:t>
      </w:r>
      <w:r w:rsidRPr="0072437A">
        <w:t>enito</w:t>
      </w:r>
      <w:r w:rsidRPr="00057189">
        <w:rPr>
          <w:lang w:val="hr-HR"/>
        </w:rPr>
        <w:t xml:space="preserve"> </w:t>
      </w:r>
      <w:r w:rsidRPr="0072437A">
        <w:t>ure</w:t>
      </w:r>
      <w:r w:rsidRPr="00057189">
        <w:rPr>
          <w:lang w:val="hr-HR"/>
        </w:rPr>
        <w:t>đ</w:t>
      </w:r>
      <w:r w:rsidRPr="0072437A">
        <w:t>eno</w:t>
      </w:r>
      <w:r w:rsidRPr="00057189">
        <w:rPr>
          <w:lang w:val="hr-HR"/>
        </w:rPr>
        <w:t xml:space="preserve"> </w:t>
      </w:r>
      <w:r w:rsidRPr="0072437A">
        <w:t>na</w:t>
      </w:r>
      <w:r w:rsidRPr="00057189">
        <w:rPr>
          <w:lang w:val="hr-HR"/>
        </w:rPr>
        <w:t xml:space="preserve"> </w:t>
      </w:r>
      <w:r w:rsidRPr="0072437A">
        <w:t>specifi</w:t>
      </w:r>
      <w:r w:rsidRPr="00057189">
        <w:rPr>
          <w:lang w:val="hr-HR"/>
        </w:rPr>
        <w:t>č</w:t>
      </w:r>
      <w:r w:rsidRPr="0072437A">
        <w:t>an</w:t>
      </w:r>
      <w:r w:rsidRPr="00057189">
        <w:rPr>
          <w:lang w:val="hr-HR"/>
        </w:rPr>
        <w:t xml:space="preserve"> </w:t>
      </w:r>
      <w:r w:rsidRPr="0072437A">
        <w:t>na</w:t>
      </w:r>
      <w:r w:rsidRPr="00057189">
        <w:rPr>
          <w:lang w:val="hr-HR"/>
        </w:rPr>
        <w:t>č</w:t>
      </w:r>
      <w:r w:rsidRPr="0072437A">
        <w:t>in</w:t>
      </w:r>
      <w:r w:rsidRPr="00057189">
        <w:rPr>
          <w:lang w:val="hr-HR"/>
        </w:rPr>
        <w:t xml:space="preserve"> </w:t>
      </w:r>
      <w:r w:rsidRPr="0072437A">
        <w:t>zbog</w:t>
      </w:r>
      <w:r w:rsidRPr="00057189">
        <w:rPr>
          <w:lang w:val="hr-HR"/>
        </w:rPr>
        <w:t xml:space="preserve"> </w:t>
      </w:r>
      <w:r w:rsidRPr="0072437A">
        <w:t>prevage</w:t>
      </w:r>
      <w:r w:rsidRPr="00057189">
        <w:rPr>
          <w:lang w:val="hr-HR"/>
        </w:rPr>
        <w:t xml:space="preserve"> 1. </w:t>
      </w:r>
      <w:proofErr w:type="gramStart"/>
      <w:r w:rsidRPr="0072437A">
        <w:t>amandmana</w:t>
      </w:r>
      <w:proofErr w:type="gramEnd"/>
      <w:r w:rsidRPr="00057189">
        <w:rPr>
          <w:lang w:val="hr-HR"/>
        </w:rPr>
        <w:t xml:space="preserve">, </w:t>
      </w:r>
      <w:r w:rsidRPr="0072437A">
        <w:t>radi</w:t>
      </w:r>
      <w:r w:rsidRPr="00057189">
        <w:rPr>
          <w:lang w:val="hr-HR"/>
        </w:rPr>
        <w:t xml:space="preserve"> č</w:t>
      </w:r>
      <w:r w:rsidRPr="0072437A">
        <w:t>ega</w:t>
      </w:r>
      <w:r w:rsidRPr="00057189">
        <w:rPr>
          <w:lang w:val="hr-HR"/>
        </w:rPr>
        <w:t xml:space="preserve"> </w:t>
      </w:r>
      <w:r w:rsidRPr="0072437A">
        <w:t>sloboda</w:t>
      </w:r>
      <w:r w:rsidRPr="00057189">
        <w:rPr>
          <w:lang w:val="hr-HR"/>
        </w:rPr>
        <w:t xml:space="preserve"> </w:t>
      </w:r>
      <w:r w:rsidRPr="0072437A">
        <w:t>govora</w:t>
      </w:r>
      <w:r w:rsidRPr="00057189">
        <w:rPr>
          <w:lang w:val="hr-HR"/>
        </w:rPr>
        <w:t xml:space="preserve"> </w:t>
      </w:r>
      <w:r w:rsidRPr="0072437A">
        <w:t>u</w:t>
      </w:r>
      <w:r w:rsidRPr="00057189">
        <w:rPr>
          <w:lang w:val="hr-HR"/>
        </w:rPr>
        <w:t>ž</w:t>
      </w:r>
      <w:r w:rsidRPr="0072437A">
        <w:t>iva</w:t>
      </w:r>
      <w:r w:rsidRPr="00057189">
        <w:rPr>
          <w:lang w:val="hr-HR"/>
        </w:rPr>
        <w:t xml:space="preserve"> </w:t>
      </w:r>
      <w:r w:rsidRPr="0072437A">
        <w:t>puno</w:t>
      </w:r>
      <w:r w:rsidRPr="00057189">
        <w:rPr>
          <w:lang w:val="hr-HR"/>
        </w:rPr>
        <w:t xml:space="preserve"> </w:t>
      </w:r>
      <w:r w:rsidRPr="0072437A">
        <w:t>sna</w:t>
      </w:r>
      <w:r w:rsidRPr="00057189">
        <w:rPr>
          <w:lang w:val="hr-HR"/>
        </w:rPr>
        <w:t>ž</w:t>
      </w:r>
      <w:r w:rsidRPr="0072437A">
        <w:t>niju</w:t>
      </w:r>
      <w:r w:rsidRPr="00057189">
        <w:rPr>
          <w:lang w:val="hr-HR"/>
        </w:rPr>
        <w:t xml:space="preserve"> </w:t>
      </w:r>
      <w:r w:rsidRPr="0072437A">
        <w:t>pravnu</w:t>
      </w:r>
      <w:r w:rsidRPr="00057189">
        <w:rPr>
          <w:lang w:val="hr-HR"/>
        </w:rPr>
        <w:t xml:space="preserve"> </w:t>
      </w:r>
      <w:r w:rsidRPr="0072437A">
        <w:t>za</w:t>
      </w:r>
      <w:r w:rsidRPr="00057189">
        <w:rPr>
          <w:lang w:val="hr-HR"/>
        </w:rPr>
        <w:t>š</w:t>
      </w:r>
      <w:r w:rsidRPr="0072437A">
        <w:t>titu</w:t>
      </w:r>
      <w:r w:rsidRPr="00057189">
        <w:rPr>
          <w:lang w:val="hr-HR"/>
        </w:rPr>
        <w:t xml:space="preserve"> </w:t>
      </w:r>
      <w:r w:rsidRPr="0072437A">
        <w:t>nego</w:t>
      </w:r>
      <w:r w:rsidRPr="00057189">
        <w:rPr>
          <w:lang w:val="hr-HR"/>
        </w:rPr>
        <w:t xml:space="preserve"> </w:t>
      </w:r>
      <w:r w:rsidRPr="0072437A">
        <w:t>neka</w:t>
      </w:r>
      <w:r w:rsidRPr="00057189">
        <w:rPr>
          <w:lang w:val="hr-HR"/>
        </w:rPr>
        <w:t xml:space="preserve"> </w:t>
      </w:r>
      <w:r w:rsidRPr="0072437A">
        <w:t>druga</w:t>
      </w:r>
      <w:r w:rsidRPr="00057189">
        <w:rPr>
          <w:lang w:val="hr-HR"/>
        </w:rPr>
        <w:t xml:space="preserve"> </w:t>
      </w:r>
      <w:r w:rsidRPr="0072437A">
        <w:t>prava</w:t>
      </w:r>
      <w:r w:rsidRPr="00057189">
        <w:rPr>
          <w:lang w:val="hr-HR"/>
        </w:rPr>
        <w:t xml:space="preserve">, </w:t>
      </w:r>
      <w:r w:rsidRPr="0072437A">
        <w:t>me</w:t>
      </w:r>
      <w:r w:rsidRPr="00057189">
        <w:rPr>
          <w:lang w:val="hr-HR"/>
        </w:rPr>
        <w:t>đ</w:t>
      </w:r>
      <w:r w:rsidRPr="0072437A">
        <w:t>u</w:t>
      </w:r>
      <w:r w:rsidRPr="00057189">
        <w:rPr>
          <w:lang w:val="hr-HR"/>
        </w:rPr>
        <w:t xml:space="preserve"> </w:t>
      </w:r>
      <w:r w:rsidRPr="0072437A">
        <w:t>kojima</w:t>
      </w:r>
      <w:r w:rsidRPr="00057189">
        <w:rPr>
          <w:lang w:val="hr-HR"/>
        </w:rPr>
        <w:t xml:space="preserve"> </w:t>
      </w:r>
      <w:r w:rsidRPr="0072437A">
        <w:t>je</w:t>
      </w:r>
      <w:r w:rsidRPr="00057189">
        <w:rPr>
          <w:lang w:val="hr-HR"/>
        </w:rPr>
        <w:t xml:space="preserve"> </w:t>
      </w:r>
      <w:r w:rsidRPr="0072437A">
        <w:t>i</w:t>
      </w:r>
      <w:r w:rsidRPr="00057189">
        <w:rPr>
          <w:lang w:val="hr-HR"/>
        </w:rPr>
        <w:t xml:space="preserve"> </w:t>
      </w:r>
      <w:r w:rsidRPr="0072437A">
        <w:t>pravo</w:t>
      </w:r>
      <w:r w:rsidRPr="00057189">
        <w:rPr>
          <w:lang w:val="hr-HR"/>
        </w:rPr>
        <w:t xml:space="preserve"> </w:t>
      </w:r>
      <w:r w:rsidRPr="0072437A">
        <w:t>ne</w:t>
      </w:r>
      <w:r w:rsidRPr="00057189">
        <w:rPr>
          <w:lang w:val="hr-HR"/>
        </w:rPr>
        <w:t xml:space="preserve"> </w:t>
      </w:r>
      <w:r w:rsidRPr="0072437A">
        <w:t>biti</w:t>
      </w:r>
      <w:r w:rsidRPr="00057189">
        <w:rPr>
          <w:lang w:val="hr-HR"/>
        </w:rPr>
        <w:t xml:space="preserve"> </w:t>
      </w:r>
      <w:r w:rsidRPr="0072437A">
        <w:t>diskriminiran</w:t>
      </w:r>
      <w:r w:rsidRPr="00057189">
        <w:rPr>
          <w:lang w:val="hr-HR"/>
        </w:rPr>
        <w:t>.</w:t>
      </w:r>
      <w:r>
        <w:t>Vidi</w:t>
      </w:r>
      <w:r w:rsidRPr="00057189">
        <w:rPr>
          <w:lang w:val="hr-HR"/>
        </w:rPr>
        <w:t xml:space="preserve">: </w:t>
      </w:r>
      <w:r>
        <w:t>Janis</w:t>
      </w:r>
      <w:r w:rsidRPr="00057189">
        <w:rPr>
          <w:lang w:val="hr-HR"/>
        </w:rPr>
        <w:t xml:space="preserve">, </w:t>
      </w:r>
      <w:r>
        <w:t>Mark</w:t>
      </w:r>
      <w:r w:rsidRPr="00057189">
        <w:rPr>
          <w:lang w:val="hr-HR"/>
        </w:rPr>
        <w:t xml:space="preserve">; </w:t>
      </w:r>
      <w:r>
        <w:t>Kay</w:t>
      </w:r>
      <w:r w:rsidRPr="00057189">
        <w:rPr>
          <w:lang w:val="hr-HR"/>
        </w:rPr>
        <w:t xml:space="preserve">, </w:t>
      </w:r>
      <w:r>
        <w:t>Richard</w:t>
      </w:r>
      <w:r w:rsidRPr="00057189">
        <w:rPr>
          <w:lang w:val="hr-HR"/>
        </w:rPr>
        <w:t xml:space="preserve">; </w:t>
      </w:r>
      <w:r>
        <w:t>Bradley</w:t>
      </w:r>
      <w:r w:rsidRPr="00057189">
        <w:rPr>
          <w:lang w:val="hr-HR"/>
        </w:rPr>
        <w:t xml:space="preserve">, </w:t>
      </w:r>
      <w:r>
        <w:t>Anthony</w:t>
      </w:r>
      <w:r w:rsidRPr="00057189">
        <w:rPr>
          <w:lang w:val="hr-HR"/>
        </w:rPr>
        <w:t xml:space="preserve">; </w:t>
      </w:r>
      <w:r>
        <w:t>European</w:t>
      </w:r>
      <w:r w:rsidRPr="00057189">
        <w:rPr>
          <w:lang w:val="hr-HR"/>
        </w:rPr>
        <w:t xml:space="preserve"> </w:t>
      </w:r>
      <w:r>
        <w:t>Human</w:t>
      </w:r>
      <w:r w:rsidRPr="00057189">
        <w:rPr>
          <w:lang w:val="hr-HR"/>
        </w:rPr>
        <w:t xml:space="preserve"> </w:t>
      </w:r>
      <w:r>
        <w:t>Rights</w:t>
      </w:r>
      <w:r w:rsidRPr="00057189">
        <w:rPr>
          <w:lang w:val="hr-HR"/>
        </w:rPr>
        <w:t xml:space="preserve"> </w:t>
      </w:r>
      <w:r>
        <w:t>Law</w:t>
      </w:r>
      <w:r w:rsidRPr="00057189">
        <w:rPr>
          <w:lang w:val="hr-HR"/>
        </w:rPr>
        <w:t xml:space="preserve"> – </w:t>
      </w:r>
      <w:r>
        <w:t>Text</w:t>
      </w:r>
      <w:r w:rsidRPr="00057189">
        <w:rPr>
          <w:lang w:val="hr-HR"/>
        </w:rPr>
        <w:t xml:space="preserve"> </w:t>
      </w:r>
      <w:r>
        <w:t>and</w:t>
      </w:r>
      <w:r w:rsidRPr="00057189">
        <w:rPr>
          <w:lang w:val="hr-HR"/>
        </w:rPr>
        <w:t xml:space="preserve"> </w:t>
      </w:r>
      <w:r>
        <w:t>Materials</w:t>
      </w:r>
      <w:r w:rsidRPr="00057189">
        <w:rPr>
          <w:lang w:val="hr-HR"/>
        </w:rPr>
        <w:t xml:space="preserve">, </w:t>
      </w:r>
      <w:r>
        <w:t>tre</w:t>
      </w:r>
      <w:r w:rsidRPr="00057189">
        <w:rPr>
          <w:lang w:val="hr-HR"/>
        </w:rPr>
        <w:t>ć</w:t>
      </w:r>
      <w:r>
        <w:t>e</w:t>
      </w:r>
      <w:r w:rsidRPr="00057189">
        <w:rPr>
          <w:lang w:val="hr-HR"/>
        </w:rPr>
        <w:t xml:space="preserve"> </w:t>
      </w:r>
      <w:r>
        <w:t>izdanje</w:t>
      </w:r>
      <w:r w:rsidRPr="00057189">
        <w:rPr>
          <w:lang w:val="hr-HR"/>
        </w:rPr>
        <w:t xml:space="preserve">, </w:t>
      </w:r>
      <w:r>
        <w:t>str</w:t>
      </w:r>
      <w:r w:rsidRPr="00057189">
        <w:rPr>
          <w:lang w:val="hr-HR"/>
        </w:rPr>
        <w:t xml:space="preserve">. 298. </w:t>
      </w:r>
    </w:p>
  </w:footnote>
  <w:footnote w:id="67">
    <w:p w:rsidR="00761B6C" w:rsidRPr="00B54B8F" w:rsidRDefault="00761B6C" w:rsidP="000B7F0F">
      <w:pPr>
        <w:pStyle w:val="FootnoteText"/>
        <w:spacing w:line="360" w:lineRule="auto"/>
        <w:rPr>
          <w:rFonts w:cs="Arial"/>
        </w:rPr>
      </w:pPr>
      <w:r w:rsidRPr="00AA7B73">
        <w:rPr>
          <w:rStyle w:val="FootnoteReference"/>
          <w:rFonts w:cs="Arial"/>
        </w:rPr>
        <w:footnoteRef/>
      </w:r>
      <w:r>
        <w:rPr>
          <w:rFonts w:cs="Arial"/>
        </w:rPr>
        <w:t xml:space="preserve"> Organizacija </w:t>
      </w:r>
      <w:r w:rsidRPr="00B54B8F">
        <w:rPr>
          <w:rFonts w:cs="Arial"/>
        </w:rPr>
        <w:t xml:space="preserve">za ekonomsku suradnju i razvoj, The Economic and Social Role of Internet </w:t>
      </w:r>
    </w:p>
    <w:p w:rsidR="00761B6C" w:rsidRDefault="00761B6C" w:rsidP="000B7F0F">
      <w:pPr>
        <w:pStyle w:val="FootnoteText"/>
        <w:spacing w:line="360" w:lineRule="auto"/>
      </w:pPr>
      <w:r w:rsidRPr="00B54B8F">
        <w:rPr>
          <w:rFonts w:cs="Arial"/>
        </w:rPr>
        <w:t xml:space="preserve">Intermediaries, </w:t>
      </w:r>
      <w:proofErr w:type="gramStart"/>
      <w:r>
        <w:rPr>
          <w:rFonts w:cs="Arial"/>
        </w:rPr>
        <w:t>2010.,</w:t>
      </w:r>
      <w:proofErr w:type="gramEnd"/>
      <w:r>
        <w:rPr>
          <w:rFonts w:cs="Arial"/>
        </w:rPr>
        <w:t xml:space="preserve"> str. 6., dostupno na: </w:t>
      </w:r>
      <w:r w:rsidRPr="002A744E">
        <w:rPr>
          <w:rFonts w:cs="Arial"/>
        </w:rPr>
        <w:t>http://www.oecd.org/internet/ieconomy/44949023.pdf</w:t>
      </w:r>
      <w:r>
        <w:rPr>
          <w:rFonts w:cs="Arial"/>
        </w:rPr>
        <w:t xml:space="preserve">. </w:t>
      </w:r>
    </w:p>
  </w:footnote>
  <w:footnote w:id="68">
    <w:p w:rsidR="00761B6C" w:rsidRPr="000B7F0F" w:rsidRDefault="00761B6C" w:rsidP="000B7F0F">
      <w:pPr>
        <w:pStyle w:val="FootnoteText"/>
        <w:spacing w:line="360" w:lineRule="auto"/>
        <w:rPr>
          <w:lang w:val="hr-HR"/>
        </w:rPr>
      </w:pPr>
      <w:r>
        <w:rPr>
          <w:rStyle w:val="FootnoteReference"/>
        </w:rPr>
        <w:footnoteRef/>
      </w:r>
      <w:r>
        <w:t xml:space="preserve"> </w:t>
      </w:r>
      <w:proofErr w:type="gramStart"/>
      <w:r w:rsidRPr="000B7F0F">
        <w:t>Matić, Tin, Pravo virtualnih pravnih odnosa – elektronička trgovina, Zagreb, 2012, str. 193.</w:t>
      </w:r>
      <w:proofErr w:type="gramEnd"/>
      <w:r w:rsidRPr="000B7F0F">
        <w:t xml:space="preserve"> (</w:t>
      </w:r>
      <w:proofErr w:type="gramStart"/>
      <w:r w:rsidRPr="000B7F0F">
        <w:t>u</w:t>
      </w:r>
      <w:proofErr w:type="gramEnd"/>
      <w:r w:rsidRPr="000B7F0F">
        <w:t xml:space="preserve"> daljnjem tekstu: Matić, 2012.).</w:t>
      </w:r>
    </w:p>
  </w:footnote>
  <w:footnote w:id="69">
    <w:p w:rsidR="00761B6C" w:rsidRPr="006F54C1" w:rsidRDefault="00761B6C" w:rsidP="000B7F0F">
      <w:pPr>
        <w:pStyle w:val="FootnoteText"/>
        <w:spacing w:line="360" w:lineRule="auto"/>
        <w:jc w:val="both"/>
        <w:rPr>
          <w:rFonts w:cs="Arial"/>
        </w:rPr>
      </w:pPr>
      <w:r w:rsidRPr="006F54C1">
        <w:rPr>
          <w:rStyle w:val="FootnoteReference"/>
          <w:rFonts w:cs="Arial"/>
        </w:rPr>
        <w:footnoteRef/>
      </w:r>
      <w:r w:rsidRPr="006F54C1">
        <w:rPr>
          <w:rFonts w:cs="Arial"/>
        </w:rPr>
        <w:t xml:space="preserve"> Zakon o elektroničkoj trgovini (Narodne novine, 173/2003, 67/2008, 36/2009, 130/2011, 30/2014)</w:t>
      </w:r>
      <w:r w:rsidRPr="005A3432">
        <w:rPr>
          <w:rFonts w:cs="Arial"/>
        </w:rPr>
        <w:t>, u daljnjem tekstu: ZET</w:t>
      </w:r>
      <w:r>
        <w:rPr>
          <w:rFonts w:cs="Arial"/>
        </w:rPr>
        <w:t>.</w:t>
      </w:r>
    </w:p>
  </w:footnote>
  <w:footnote w:id="70">
    <w:p w:rsidR="00761B6C" w:rsidRPr="006F54C1" w:rsidRDefault="00761B6C" w:rsidP="000B7F0F">
      <w:pPr>
        <w:pStyle w:val="FootnoteText"/>
        <w:spacing w:line="360" w:lineRule="auto"/>
        <w:jc w:val="both"/>
        <w:rPr>
          <w:rFonts w:cs="Arial"/>
        </w:rPr>
      </w:pPr>
      <w:r w:rsidRPr="006F54C1">
        <w:rPr>
          <w:rStyle w:val="FootnoteReference"/>
          <w:rFonts w:cs="Arial"/>
        </w:rPr>
        <w:footnoteRef/>
      </w:r>
      <w:r>
        <w:rPr>
          <w:rFonts w:cs="Arial"/>
        </w:rPr>
        <w:t xml:space="preserve"> </w:t>
      </w:r>
      <w:proofErr w:type="gramStart"/>
      <w:r w:rsidRPr="006F54C1">
        <w:rPr>
          <w:rFonts w:cs="Arial"/>
          <w:i/>
        </w:rPr>
        <w:t>Ibid.,</w:t>
      </w:r>
      <w:proofErr w:type="gramEnd"/>
      <w:r w:rsidRPr="006F54C1">
        <w:rPr>
          <w:rFonts w:cs="Arial"/>
        </w:rPr>
        <w:t xml:space="preserve"> čl. 2. st. 1. t. 2.</w:t>
      </w:r>
    </w:p>
  </w:footnote>
  <w:footnote w:id="71">
    <w:p w:rsidR="00761B6C" w:rsidRPr="006F54C1" w:rsidRDefault="00761B6C" w:rsidP="006F54C1">
      <w:pPr>
        <w:pStyle w:val="FootnoteText"/>
        <w:spacing w:line="360" w:lineRule="auto"/>
        <w:jc w:val="both"/>
        <w:rPr>
          <w:rFonts w:cs="Arial"/>
        </w:rPr>
      </w:pPr>
      <w:r w:rsidRPr="006F54C1">
        <w:rPr>
          <w:rStyle w:val="FootnoteReference"/>
          <w:rFonts w:cs="Arial"/>
        </w:rPr>
        <w:footnoteRef/>
      </w:r>
      <w:r>
        <w:rPr>
          <w:rFonts w:cs="Arial"/>
        </w:rPr>
        <w:t xml:space="preserve"> </w:t>
      </w:r>
      <w:proofErr w:type="gramStart"/>
      <w:r w:rsidRPr="006F54C1">
        <w:rPr>
          <w:rFonts w:cs="Arial"/>
          <w:i/>
        </w:rPr>
        <w:t>Ibid</w:t>
      </w:r>
      <w:r w:rsidRPr="006F54C1">
        <w:rPr>
          <w:rFonts w:cs="Arial"/>
        </w:rPr>
        <w:t>.,</w:t>
      </w:r>
      <w:proofErr w:type="gramEnd"/>
      <w:r w:rsidRPr="006F54C1">
        <w:rPr>
          <w:rFonts w:cs="Arial"/>
        </w:rPr>
        <w:t xml:space="preserve"> čl. 2. st. 1. t. 4.</w:t>
      </w:r>
    </w:p>
  </w:footnote>
  <w:footnote w:id="72">
    <w:p w:rsidR="00761B6C" w:rsidRPr="006F54C1" w:rsidRDefault="00761B6C" w:rsidP="006F54C1">
      <w:pPr>
        <w:pStyle w:val="FootnoteText"/>
        <w:spacing w:line="360" w:lineRule="auto"/>
        <w:jc w:val="both"/>
        <w:rPr>
          <w:rFonts w:cs="Arial"/>
        </w:rPr>
      </w:pPr>
      <w:r w:rsidRPr="006F54C1">
        <w:rPr>
          <w:rStyle w:val="FootnoteReference"/>
          <w:rFonts w:cs="Arial"/>
        </w:rPr>
        <w:footnoteRef/>
      </w:r>
      <w:r w:rsidRPr="006F54C1">
        <w:rPr>
          <w:rFonts w:cs="Arial"/>
        </w:rPr>
        <w:t xml:space="preserve"> Vidi recital 18. Direktive 2000/31/EZ, kao i odluke </w:t>
      </w:r>
      <w:r>
        <w:rPr>
          <w:rFonts w:cs="Arial"/>
        </w:rPr>
        <w:t>Europskog s</w:t>
      </w:r>
      <w:r w:rsidRPr="006F54C1">
        <w:rPr>
          <w:rFonts w:cs="Arial"/>
        </w:rPr>
        <w:t xml:space="preserve">uda pravde u predmetima C-352/85 </w:t>
      </w:r>
      <w:r w:rsidRPr="006F54C1">
        <w:rPr>
          <w:rFonts w:cs="Arial"/>
          <w:i/>
          <w:iCs/>
        </w:rPr>
        <w:t xml:space="preserve">Bond van Adverteerders </w:t>
      </w:r>
      <w:r>
        <w:rPr>
          <w:rFonts w:cs="Arial"/>
          <w:i/>
          <w:iCs/>
        </w:rPr>
        <w:t>i drugi protiv Nizozemske</w:t>
      </w:r>
      <w:r w:rsidRPr="006F54C1">
        <w:rPr>
          <w:rFonts w:cs="Arial"/>
        </w:rPr>
        <w:t xml:space="preserve">, (1988) ECR, 2085, st. </w:t>
      </w:r>
      <w:proofErr w:type="gramStart"/>
      <w:r w:rsidRPr="006F54C1">
        <w:rPr>
          <w:rFonts w:cs="Arial"/>
        </w:rPr>
        <w:t>16.;</w:t>
      </w:r>
      <w:proofErr w:type="gramEnd"/>
      <w:r w:rsidRPr="006F54C1">
        <w:rPr>
          <w:rFonts w:cs="Arial"/>
        </w:rPr>
        <w:t xml:space="preserve"> C-157/99 </w:t>
      </w:r>
      <w:r w:rsidRPr="006F54C1">
        <w:rPr>
          <w:rFonts w:cs="Arial"/>
          <w:i/>
          <w:iCs/>
        </w:rPr>
        <w:t xml:space="preserve">B.S.M. Geraets-Smits </w:t>
      </w:r>
      <w:r>
        <w:rPr>
          <w:rFonts w:cs="Arial"/>
          <w:i/>
          <w:iCs/>
        </w:rPr>
        <w:t>i</w:t>
      </w:r>
      <w:r w:rsidRPr="006F54C1">
        <w:rPr>
          <w:rFonts w:cs="Arial"/>
          <w:i/>
          <w:iCs/>
        </w:rPr>
        <w:t xml:space="preserve"> Stichting Ziekenfonds VGZ </w:t>
      </w:r>
      <w:r>
        <w:rPr>
          <w:rFonts w:cs="Arial"/>
          <w:i/>
          <w:iCs/>
        </w:rPr>
        <w:t>i</w:t>
      </w:r>
      <w:r w:rsidRPr="006F54C1">
        <w:rPr>
          <w:rFonts w:cs="Arial"/>
          <w:i/>
          <w:iCs/>
        </w:rPr>
        <w:t xml:space="preserve"> H.T.M. Peerbooms</w:t>
      </w:r>
      <w:r w:rsidRPr="006F54C1">
        <w:rPr>
          <w:rFonts w:cs="Arial"/>
        </w:rPr>
        <w:t xml:space="preserve"> </w:t>
      </w:r>
      <w:r>
        <w:rPr>
          <w:rFonts w:cs="Arial"/>
        </w:rPr>
        <w:t>protiv</w:t>
      </w:r>
      <w:r w:rsidRPr="006F54C1">
        <w:rPr>
          <w:rFonts w:cs="Arial"/>
          <w:i/>
          <w:iCs/>
        </w:rPr>
        <w:t xml:space="preserve"> Stichting CZ Groep Zorgverzekeringen</w:t>
      </w:r>
      <w:r w:rsidRPr="006F54C1">
        <w:rPr>
          <w:rFonts w:cs="Arial"/>
        </w:rPr>
        <w:t>, (2001) ECR, I-05473, st. 57. - 58.</w:t>
      </w:r>
    </w:p>
  </w:footnote>
  <w:footnote w:id="73">
    <w:p w:rsidR="00761B6C" w:rsidRPr="006F54C1" w:rsidRDefault="00761B6C" w:rsidP="006F54C1">
      <w:pPr>
        <w:pStyle w:val="FootnoteText"/>
        <w:spacing w:line="360" w:lineRule="auto"/>
        <w:jc w:val="both"/>
        <w:rPr>
          <w:rFonts w:cs="Arial"/>
        </w:rPr>
      </w:pPr>
      <w:r w:rsidRPr="006F54C1">
        <w:rPr>
          <w:rStyle w:val="FootnoteReference"/>
          <w:rFonts w:cs="Arial"/>
        </w:rPr>
        <w:footnoteRef/>
      </w:r>
      <w:r w:rsidRPr="006F54C1">
        <w:rPr>
          <w:rFonts w:cs="Arial"/>
        </w:rPr>
        <w:t xml:space="preserve"> Direktiva 2000/31/EZ Europskog </w:t>
      </w:r>
      <w:r w:rsidRPr="00421627">
        <w:rPr>
          <w:rFonts w:cs="Arial"/>
        </w:rPr>
        <w:t xml:space="preserve">parlamenta i Vijeća </w:t>
      </w:r>
      <w:proofErr w:type="gramStart"/>
      <w:r w:rsidRPr="00421627">
        <w:rPr>
          <w:rFonts w:cs="Arial"/>
        </w:rPr>
        <w:t>od</w:t>
      </w:r>
      <w:proofErr w:type="gramEnd"/>
      <w:r w:rsidRPr="00421627">
        <w:rPr>
          <w:rFonts w:cs="Arial"/>
        </w:rPr>
        <w:t xml:space="preserve"> 8. </w:t>
      </w:r>
      <w:proofErr w:type="gramStart"/>
      <w:r w:rsidRPr="00421627">
        <w:rPr>
          <w:rFonts w:cs="Arial"/>
        </w:rPr>
        <w:t>lipnja</w:t>
      </w:r>
      <w:proofErr w:type="gramEnd"/>
      <w:r w:rsidRPr="00421627">
        <w:rPr>
          <w:rFonts w:cs="Arial"/>
        </w:rPr>
        <w:t xml:space="preserve"> 2000. </w:t>
      </w:r>
      <w:proofErr w:type="gramStart"/>
      <w:r w:rsidRPr="00421627">
        <w:rPr>
          <w:rFonts w:cs="Arial"/>
          <w:bCs/>
        </w:rPr>
        <w:t>o</w:t>
      </w:r>
      <w:proofErr w:type="gramEnd"/>
      <w:r w:rsidRPr="00421627">
        <w:rPr>
          <w:rFonts w:cs="Arial"/>
          <w:bCs/>
        </w:rPr>
        <w:t xml:space="preserve"> određenim pravnim aspektima usluga informacijskog društva na unutarnjem tržištu, posebno elektroničke trgovine</w:t>
      </w:r>
      <w:r>
        <w:rPr>
          <w:rFonts w:cs="Arial"/>
          <w:bCs/>
        </w:rPr>
        <w:t xml:space="preserve"> </w:t>
      </w:r>
      <w:r w:rsidRPr="006F54C1">
        <w:rPr>
          <w:rFonts w:cs="Arial"/>
        </w:rPr>
        <w:t>– Direktiva o elektroničkoj trgovini (Službeni list br. L 178/2000, str. 0001-0016.)</w:t>
      </w:r>
      <w:r>
        <w:rPr>
          <w:rFonts w:cs="Arial"/>
        </w:rPr>
        <w:t>.</w:t>
      </w:r>
    </w:p>
  </w:footnote>
  <w:footnote w:id="74">
    <w:p w:rsidR="00761B6C" w:rsidRDefault="00761B6C" w:rsidP="006F54C1">
      <w:pPr>
        <w:pStyle w:val="FootnoteText"/>
        <w:spacing w:line="360" w:lineRule="auto"/>
        <w:jc w:val="both"/>
      </w:pPr>
      <w:r w:rsidRPr="006F54C1">
        <w:rPr>
          <w:rStyle w:val="FootnoteReference"/>
          <w:rFonts w:cs="Arial"/>
        </w:rPr>
        <w:footnoteRef/>
      </w:r>
      <w:r>
        <w:rPr>
          <w:rFonts w:cs="Arial"/>
        </w:rPr>
        <w:t xml:space="preserve"> Z</w:t>
      </w:r>
      <w:r w:rsidRPr="006F54C1">
        <w:rPr>
          <w:rFonts w:cs="Arial"/>
        </w:rPr>
        <w:t>apravo Direktiva o elektroničkoj t</w:t>
      </w:r>
      <w:r>
        <w:rPr>
          <w:rFonts w:cs="Arial"/>
        </w:rPr>
        <w:t>r</w:t>
      </w:r>
      <w:r w:rsidRPr="006F54C1">
        <w:rPr>
          <w:rFonts w:cs="Arial"/>
        </w:rPr>
        <w:t xml:space="preserve">govini koristi definiciju iz Direktive 98/34/EZ Europskog parlamenta i Vijeća </w:t>
      </w:r>
      <w:proofErr w:type="gramStart"/>
      <w:r w:rsidRPr="006F54C1">
        <w:rPr>
          <w:rFonts w:cs="Arial"/>
        </w:rPr>
        <w:t>od</w:t>
      </w:r>
      <w:proofErr w:type="gramEnd"/>
      <w:r w:rsidRPr="006F54C1">
        <w:rPr>
          <w:rFonts w:cs="Arial"/>
        </w:rPr>
        <w:t xml:space="preserve"> 22. </w:t>
      </w:r>
      <w:proofErr w:type="gramStart"/>
      <w:r w:rsidRPr="006F54C1">
        <w:rPr>
          <w:rFonts w:cs="Arial"/>
        </w:rPr>
        <w:t>lipnja</w:t>
      </w:r>
      <w:proofErr w:type="gramEnd"/>
      <w:r w:rsidRPr="006F54C1">
        <w:rPr>
          <w:rFonts w:cs="Arial"/>
        </w:rPr>
        <w:t xml:space="preserve"> 1998. </w:t>
      </w:r>
      <w:proofErr w:type="gramStart"/>
      <w:r w:rsidRPr="006F54C1">
        <w:rPr>
          <w:rFonts w:cs="Arial"/>
        </w:rPr>
        <w:t>o</w:t>
      </w:r>
      <w:proofErr w:type="gramEnd"/>
      <w:r w:rsidRPr="006F54C1">
        <w:rPr>
          <w:rFonts w:cs="Arial"/>
        </w:rPr>
        <w:t xml:space="preserve"> utvrđivanju postupka pružanja informacija u području tehničkih normi i propisa koja je izmijenjena i dopunjena Direktivom 98/48/EZ Europskog parlamenta i Vijeća od 20. </w:t>
      </w:r>
      <w:proofErr w:type="gramStart"/>
      <w:r w:rsidRPr="006F54C1">
        <w:rPr>
          <w:rFonts w:cs="Arial"/>
        </w:rPr>
        <w:t>srpnja</w:t>
      </w:r>
      <w:proofErr w:type="gramEnd"/>
      <w:r w:rsidRPr="006F54C1">
        <w:rPr>
          <w:rFonts w:cs="Arial"/>
        </w:rPr>
        <w:t xml:space="preserve"> 1988. </w:t>
      </w:r>
      <w:proofErr w:type="gramStart"/>
      <w:r w:rsidRPr="006F54C1">
        <w:rPr>
          <w:rFonts w:cs="Arial"/>
        </w:rPr>
        <w:t>(Službeni list br. L 204/1998 str. 37.)</w:t>
      </w:r>
      <w:proofErr w:type="gramEnd"/>
    </w:p>
  </w:footnote>
  <w:footnote w:id="75">
    <w:p w:rsidR="00761B6C" w:rsidRPr="00B54B8F" w:rsidRDefault="00761B6C" w:rsidP="006F54C1">
      <w:pPr>
        <w:pStyle w:val="FootnoteText"/>
        <w:spacing w:line="360" w:lineRule="auto"/>
        <w:jc w:val="both"/>
        <w:rPr>
          <w:rFonts w:cs="Arial"/>
        </w:rPr>
      </w:pPr>
      <w:r w:rsidRPr="006F54C1">
        <w:rPr>
          <w:rStyle w:val="FootnoteReference"/>
          <w:rFonts w:cs="Arial"/>
        </w:rPr>
        <w:footnoteRef/>
      </w:r>
      <w:r w:rsidRPr="006F54C1">
        <w:rPr>
          <w:rFonts w:cs="Arial"/>
        </w:rPr>
        <w:t xml:space="preserve"> Dragičević, Dražen; Gumzej, Nina, Odgovornost posrednika za povrede autorskog i srodnih prava </w:t>
      </w:r>
      <w:proofErr w:type="gramStart"/>
      <w:r w:rsidRPr="006F54C1">
        <w:rPr>
          <w:rFonts w:cs="Arial"/>
        </w:rPr>
        <w:t>na</w:t>
      </w:r>
      <w:proofErr w:type="gramEnd"/>
      <w:r w:rsidRPr="006F54C1">
        <w:rPr>
          <w:rFonts w:cs="Arial"/>
        </w:rPr>
        <w:t xml:space="preserve"> internetu, </w:t>
      </w:r>
      <w:r w:rsidRPr="00B54B8F">
        <w:rPr>
          <w:rFonts w:cs="Arial"/>
          <w:iCs/>
          <w:color w:val="231F20"/>
        </w:rPr>
        <w:t>Zbornik Pravnog fakulteta u Zagrebu, 62:4/2012, str 1004.</w:t>
      </w:r>
    </w:p>
  </w:footnote>
  <w:footnote w:id="76">
    <w:p w:rsidR="00761B6C" w:rsidRPr="00B54B8F" w:rsidRDefault="00761B6C" w:rsidP="006F54C1">
      <w:pPr>
        <w:pStyle w:val="FootnoteText"/>
        <w:spacing w:line="360" w:lineRule="auto"/>
        <w:jc w:val="both"/>
        <w:rPr>
          <w:rFonts w:cs="Arial"/>
        </w:rPr>
      </w:pPr>
      <w:r w:rsidRPr="00B54B8F">
        <w:rPr>
          <w:rStyle w:val="FootnoteReference"/>
          <w:rFonts w:cs="Arial"/>
        </w:rPr>
        <w:footnoteRef/>
      </w:r>
      <w:r w:rsidRPr="00B54B8F">
        <w:rPr>
          <w:rFonts w:cs="Arial"/>
          <w:lang w:val="fr-FR"/>
        </w:rPr>
        <w:t xml:space="preserve"> Direktiva 2000/31/EZ (Službeni list br. </w:t>
      </w:r>
      <w:proofErr w:type="gramStart"/>
      <w:r w:rsidRPr="00B54B8F">
        <w:rPr>
          <w:rFonts w:cs="Arial"/>
        </w:rPr>
        <w:t>L 178/2000, str. 0001-0016.).</w:t>
      </w:r>
      <w:proofErr w:type="gramEnd"/>
    </w:p>
  </w:footnote>
  <w:footnote w:id="77">
    <w:p w:rsidR="00761B6C" w:rsidRPr="00B54B8F" w:rsidRDefault="00761B6C" w:rsidP="006F54C1">
      <w:pPr>
        <w:pStyle w:val="FootnoteText"/>
        <w:spacing w:line="360" w:lineRule="auto"/>
        <w:jc w:val="both"/>
        <w:rPr>
          <w:rFonts w:cs="Arial"/>
        </w:rPr>
      </w:pPr>
      <w:r w:rsidRPr="00B54B8F">
        <w:rPr>
          <w:rStyle w:val="FootnoteReference"/>
          <w:rFonts w:cs="Arial"/>
        </w:rPr>
        <w:footnoteRef/>
      </w:r>
      <w:r w:rsidRPr="00B54B8F">
        <w:rPr>
          <w:rFonts w:cs="Arial"/>
        </w:rPr>
        <w:t xml:space="preserve"> Report from the Commission to the European Parliament, the Council and the European </w:t>
      </w:r>
    </w:p>
    <w:p w:rsidR="00761B6C" w:rsidRPr="00B54B8F" w:rsidRDefault="00761B6C" w:rsidP="006F54C1">
      <w:pPr>
        <w:pStyle w:val="FootnoteText"/>
        <w:spacing w:line="360" w:lineRule="auto"/>
        <w:jc w:val="both"/>
        <w:rPr>
          <w:rFonts w:cs="Arial"/>
          <w:iCs/>
        </w:rPr>
      </w:pPr>
      <w:r w:rsidRPr="00B54B8F">
        <w:rPr>
          <w:rFonts w:cs="Arial"/>
        </w:rPr>
        <w:t xml:space="preserve">Economic and Social Committee, </w:t>
      </w:r>
      <w:r w:rsidRPr="00B54B8F">
        <w:rPr>
          <w:rFonts w:cs="Arial"/>
          <w:iCs/>
        </w:rPr>
        <w:t>First Report on the application of Directive 2000/31/EC of</w:t>
      </w:r>
      <w:r w:rsidRPr="00B54B8F">
        <w:rPr>
          <w:rFonts w:cs="Arial"/>
        </w:rPr>
        <w:t xml:space="preserve"> </w:t>
      </w:r>
    </w:p>
    <w:p w:rsidR="00761B6C" w:rsidRPr="00B54B8F" w:rsidRDefault="00761B6C" w:rsidP="006F54C1">
      <w:pPr>
        <w:pStyle w:val="FootnoteText"/>
        <w:spacing w:line="360" w:lineRule="auto"/>
        <w:jc w:val="both"/>
        <w:rPr>
          <w:rFonts w:cs="Arial"/>
          <w:iCs/>
        </w:rPr>
      </w:pPr>
      <w:r w:rsidRPr="00B54B8F">
        <w:rPr>
          <w:rFonts w:cs="Arial"/>
          <w:iCs/>
        </w:rPr>
        <w:t>the European Parliament and of the Council of 8 June 2000 on certain legal aspects of information</w:t>
      </w:r>
      <w:r w:rsidRPr="00B54B8F">
        <w:rPr>
          <w:rFonts w:cs="Arial"/>
        </w:rPr>
        <w:t xml:space="preserve"> </w:t>
      </w:r>
    </w:p>
    <w:p w:rsidR="00761B6C" w:rsidRPr="00B54B8F" w:rsidRDefault="00761B6C" w:rsidP="006F54C1">
      <w:pPr>
        <w:pStyle w:val="FootnoteText"/>
        <w:spacing w:line="360" w:lineRule="auto"/>
        <w:jc w:val="both"/>
        <w:rPr>
          <w:rFonts w:cs="Arial"/>
          <w:iCs/>
        </w:rPr>
      </w:pPr>
      <w:r w:rsidRPr="00B54B8F">
        <w:rPr>
          <w:rFonts w:cs="Arial"/>
          <w:iCs/>
        </w:rPr>
        <w:t>society services, in particular electronic commerce, in the Internal Market (Directive on electronic</w:t>
      </w:r>
      <w:r w:rsidRPr="00B54B8F">
        <w:rPr>
          <w:rFonts w:cs="Arial"/>
        </w:rPr>
        <w:t xml:space="preserve"> </w:t>
      </w:r>
    </w:p>
    <w:p w:rsidR="00761B6C" w:rsidRPr="006F54C1" w:rsidRDefault="00761B6C" w:rsidP="006F54C1">
      <w:pPr>
        <w:pStyle w:val="FootnoteText"/>
        <w:spacing w:line="360" w:lineRule="auto"/>
        <w:jc w:val="both"/>
        <w:rPr>
          <w:rFonts w:cs="Arial"/>
        </w:rPr>
      </w:pPr>
      <w:proofErr w:type="gramStart"/>
      <w:r w:rsidRPr="00B54B8F">
        <w:rPr>
          <w:rFonts w:cs="Arial"/>
          <w:iCs/>
        </w:rPr>
        <w:t>commerce</w:t>
      </w:r>
      <w:proofErr w:type="gramEnd"/>
      <w:r w:rsidRPr="00B54B8F">
        <w:rPr>
          <w:rFonts w:cs="Arial"/>
          <w:iCs/>
        </w:rPr>
        <w:t>)</w:t>
      </w:r>
      <w:r w:rsidRPr="00B54B8F">
        <w:rPr>
          <w:rFonts w:cs="Arial"/>
        </w:rPr>
        <w:t>, COM(2003) 0702</w:t>
      </w:r>
      <w:r w:rsidRPr="006F54C1">
        <w:rPr>
          <w:rFonts w:cs="Arial"/>
        </w:rPr>
        <w:t xml:space="preserve"> final, Bruxelles, 21. </w:t>
      </w:r>
      <w:proofErr w:type="gramStart"/>
      <w:r w:rsidRPr="006F54C1">
        <w:rPr>
          <w:rFonts w:cs="Arial"/>
        </w:rPr>
        <w:t>studenoga</w:t>
      </w:r>
      <w:proofErr w:type="gramEnd"/>
      <w:r w:rsidRPr="006F54C1">
        <w:rPr>
          <w:rFonts w:cs="Arial"/>
        </w:rPr>
        <w:t xml:space="preserve"> 2003., t. 4.6.</w:t>
      </w:r>
    </w:p>
  </w:footnote>
  <w:footnote w:id="78">
    <w:p w:rsidR="00761B6C" w:rsidRPr="006F54C1" w:rsidRDefault="00761B6C" w:rsidP="006F54C1">
      <w:pPr>
        <w:pStyle w:val="FootnoteText"/>
        <w:spacing w:line="360" w:lineRule="auto"/>
        <w:jc w:val="both"/>
        <w:rPr>
          <w:rFonts w:cs="Arial"/>
        </w:rPr>
      </w:pPr>
      <w:r w:rsidRPr="006F54C1">
        <w:rPr>
          <w:rStyle w:val="FootnoteReference"/>
          <w:rFonts w:cs="Arial"/>
        </w:rPr>
        <w:footnoteRef/>
      </w:r>
      <w:r w:rsidRPr="006F54C1">
        <w:rPr>
          <w:rFonts w:cs="Arial"/>
        </w:rPr>
        <w:t xml:space="preserve"> Za razliku </w:t>
      </w:r>
      <w:proofErr w:type="gramStart"/>
      <w:r w:rsidRPr="006F54C1">
        <w:rPr>
          <w:rFonts w:cs="Arial"/>
        </w:rPr>
        <w:t>od</w:t>
      </w:r>
      <w:proofErr w:type="gramEnd"/>
      <w:r w:rsidRPr="006F54C1">
        <w:rPr>
          <w:rFonts w:cs="Arial"/>
        </w:rPr>
        <w:t xml:space="preserve"> operativnih odredbi (članaka) direktive, recitali (uvodne izjave) nemaju samostalnu pravnu snagu. </w:t>
      </w:r>
      <w:proofErr w:type="gramStart"/>
      <w:r w:rsidRPr="006F54C1">
        <w:rPr>
          <w:rFonts w:cs="Arial"/>
        </w:rPr>
        <w:t>Međutim, recitali mogu imati funkciju pomoćnog sredstva za tumačenje, tj.</w:t>
      </w:r>
      <w:proofErr w:type="gramEnd"/>
      <w:r w:rsidRPr="006F54C1">
        <w:rPr>
          <w:rFonts w:cs="Arial"/>
        </w:rPr>
        <w:t xml:space="preserve"> </w:t>
      </w:r>
      <w:proofErr w:type="gramStart"/>
      <w:r w:rsidRPr="006F54C1">
        <w:rPr>
          <w:rFonts w:cs="Arial"/>
        </w:rPr>
        <w:t>pojašnjavanje</w:t>
      </w:r>
      <w:proofErr w:type="gramEnd"/>
      <w:r w:rsidRPr="006F54C1">
        <w:rPr>
          <w:rFonts w:cs="Arial"/>
        </w:rPr>
        <w:t xml:space="preserve"> operativnih odredbi direktiva, na što upućuje i praksa </w:t>
      </w:r>
      <w:r>
        <w:rPr>
          <w:rFonts w:cs="Arial"/>
        </w:rPr>
        <w:t>Europskog suda pravde</w:t>
      </w:r>
      <w:r w:rsidRPr="006F54C1">
        <w:rPr>
          <w:rFonts w:cs="Arial"/>
        </w:rPr>
        <w:t>.</w:t>
      </w:r>
    </w:p>
  </w:footnote>
  <w:footnote w:id="79">
    <w:p w:rsidR="00761B6C" w:rsidRDefault="00761B6C" w:rsidP="006F54C1">
      <w:pPr>
        <w:pStyle w:val="FootnoteText"/>
        <w:spacing w:line="360" w:lineRule="auto"/>
        <w:jc w:val="both"/>
      </w:pPr>
      <w:r w:rsidRPr="006F54C1">
        <w:rPr>
          <w:rStyle w:val="FootnoteReference"/>
          <w:rFonts w:cs="Arial"/>
        </w:rPr>
        <w:footnoteRef/>
      </w:r>
      <w:r w:rsidRPr="006F54C1">
        <w:rPr>
          <w:rFonts w:cs="Arial"/>
        </w:rPr>
        <w:t xml:space="preserve"> Matić, </w:t>
      </w:r>
      <w:proofErr w:type="gramStart"/>
      <w:r w:rsidRPr="006F54C1">
        <w:rPr>
          <w:rFonts w:cs="Arial"/>
        </w:rPr>
        <w:t>2012.,</w:t>
      </w:r>
      <w:proofErr w:type="gramEnd"/>
      <w:r w:rsidRPr="006F54C1">
        <w:rPr>
          <w:rFonts w:cs="Arial"/>
        </w:rPr>
        <w:t xml:space="preserve"> str. 197-198.</w:t>
      </w:r>
    </w:p>
  </w:footnote>
  <w:footnote w:id="80">
    <w:p w:rsidR="00761B6C" w:rsidRPr="00260502" w:rsidRDefault="00761B6C" w:rsidP="00260502">
      <w:pPr>
        <w:pStyle w:val="FootnoteText"/>
        <w:spacing w:line="360" w:lineRule="auto"/>
        <w:rPr>
          <w:rFonts w:cs="Arial"/>
        </w:rPr>
      </w:pPr>
      <w:r w:rsidRPr="00260502">
        <w:rPr>
          <w:rStyle w:val="FootnoteReference"/>
          <w:rFonts w:cs="Arial"/>
        </w:rPr>
        <w:footnoteRef/>
      </w:r>
      <w:r w:rsidRPr="00260502">
        <w:rPr>
          <w:rFonts w:cs="Arial"/>
        </w:rPr>
        <w:t xml:space="preserve"> </w:t>
      </w:r>
      <w:proofErr w:type="gramStart"/>
      <w:r>
        <w:rPr>
          <w:rFonts w:cs="Arial"/>
          <w:i/>
        </w:rPr>
        <w:t>I</w:t>
      </w:r>
      <w:r w:rsidRPr="002E41EA">
        <w:rPr>
          <w:rFonts w:cs="Arial"/>
          <w:i/>
        </w:rPr>
        <w:t>bid.,</w:t>
      </w:r>
      <w:proofErr w:type="gramEnd"/>
      <w:r w:rsidRPr="00260502">
        <w:rPr>
          <w:rFonts w:cs="Arial"/>
        </w:rPr>
        <w:t xml:space="preserve"> str. 194.</w:t>
      </w:r>
    </w:p>
  </w:footnote>
  <w:footnote w:id="81">
    <w:p w:rsidR="00761B6C" w:rsidRPr="00260502" w:rsidRDefault="00761B6C" w:rsidP="00260502">
      <w:pPr>
        <w:pStyle w:val="FootnoteText"/>
        <w:spacing w:line="360" w:lineRule="auto"/>
        <w:rPr>
          <w:rFonts w:cs="Arial"/>
        </w:rPr>
      </w:pPr>
      <w:r w:rsidRPr="00260502">
        <w:rPr>
          <w:rStyle w:val="FootnoteReference"/>
          <w:rFonts w:cs="Arial"/>
        </w:rPr>
        <w:footnoteRef/>
      </w:r>
      <w:r w:rsidRPr="00260502">
        <w:rPr>
          <w:rFonts w:cs="Arial"/>
        </w:rPr>
        <w:t xml:space="preserve"> Dragičević, Dražen; Gumzej, Nina, Odgovornost posrednika za povrede autorskog i srodnih prava </w:t>
      </w:r>
      <w:proofErr w:type="gramStart"/>
      <w:r w:rsidRPr="00260502">
        <w:rPr>
          <w:rFonts w:cs="Arial"/>
        </w:rPr>
        <w:t>na</w:t>
      </w:r>
      <w:proofErr w:type="gramEnd"/>
      <w:r w:rsidRPr="00260502">
        <w:rPr>
          <w:rFonts w:cs="Arial"/>
        </w:rPr>
        <w:t xml:space="preserve"> internetu, </w:t>
      </w:r>
      <w:r>
        <w:rPr>
          <w:rFonts w:cs="Arial"/>
          <w:iCs/>
          <w:color w:val="231F20"/>
        </w:rPr>
        <w:t>(</w:t>
      </w:r>
      <w:r w:rsidRPr="00B54B8F">
        <w:rPr>
          <w:rFonts w:cs="Arial"/>
          <w:i/>
          <w:iCs/>
          <w:color w:val="231F20"/>
        </w:rPr>
        <w:t>op.cit.</w:t>
      </w:r>
      <w:r>
        <w:rPr>
          <w:rFonts w:cs="Arial"/>
          <w:iCs/>
          <w:color w:val="231F20"/>
        </w:rPr>
        <w:t xml:space="preserve"> (br. 75)),</w:t>
      </w:r>
      <w:r w:rsidRPr="00260502">
        <w:rPr>
          <w:rFonts w:cs="Arial"/>
          <w:iCs/>
          <w:color w:val="231F20"/>
        </w:rPr>
        <w:t xml:space="preserve"> </w:t>
      </w:r>
      <w:proofErr w:type="gramStart"/>
      <w:r w:rsidRPr="00260502">
        <w:rPr>
          <w:rFonts w:cs="Arial"/>
          <w:iCs/>
          <w:color w:val="231F20"/>
        </w:rPr>
        <w:t>str</w:t>
      </w:r>
      <w:proofErr w:type="gramEnd"/>
      <w:r w:rsidRPr="00260502">
        <w:rPr>
          <w:rFonts w:cs="Arial"/>
          <w:iCs/>
          <w:color w:val="231F20"/>
        </w:rPr>
        <w:t xml:space="preserve"> 1010.</w:t>
      </w:r>
    </w:p>
  </w:footnote>
  <w:footnote w:id="82">
    <w:p w:rsidR="00761B6C" w:rsidRPr="00260502" w:rsidRDefault="00761B6C" w:rsidP="00260502">
      <w:pPr>
        <w:pStyle w:val="FootnoteText"/>
        <w:spacing w:line="360" w:lineRule="auto"/>
        <w:rPr>
          <w:rFonts w:cs="Arial"/>
        </w:rPr>
      </w:pPr>
      <w:r w:rsidRPr="00260502">
        <w:rPr>
          <w:rStyle w:val="FootnoteReference"/>
          <w:rFonts w:cs="Arial"/>
        </w:rPr>
        <w:footnoteRef/>
      </w:r>
      <w:r w:rsidRPr="00260502">
        <w:rPr>
          <w:rFonts w:cs="Arial"/>
        </w:rPr>
        <w:t xml:space="preserve"> </w:t>
      </w:r>
      <w:proofErr w:type="gramStart"/>
      <w:r>
        <w:rPr>
          <w:rFonts w:cs="Arial"/>
        </w:rPr>
        <w:t>Ne</w:t>
      </w:r>
      <w:r w:rsidRPr="00260502">
        <w:rPr>
          <w:rFonts w:cs="Arial"/>
        </w:rPr>
        <w:t xml:space="preserve"> postoji istovjetna odredba u Direktivi, reguliranje tzv.</w:t>
      </w:r>
      <w:proofErr w:type="gramEnd"/>
      <w:r w:rsidRPr="00260502">
        <w:rPr>
          <w:rFonts w:cs="Arial"/>
        </w:rPr>
        <w:t xml:space="preserve"> </w:t>
      </w:r>
      <w:proofErr w:type="gramStart"/>
      <w:r w:rsidRPr="00260502">
        <w:rPr>
          <w:rFonts w:cs="Arial"/>
          <w:i/>
        </w:rPr>
        <w:t>linkinga</w:t>
      </w:r>
      <w:proofErr w:type="gramEnd"/>
      <w:r w:rsidRPr="00260502">
        <w:rPr>
          <w:rFonts w:cs="Arial"/>
          <w:i/>
        </w:rPr>
        <w:t xml:space="preserve"> </w:t>
      </w:r>
      <w:r w:rsidRPr="00260502">
        <w:rPr>
          <w:rFonts w:cs="Arial"/>
        </w:rPr>
        <w:t>Direktivom je ostavljeno na procjenu državama, a Hrvatska je to uredila kako je gore navedeno</w:t>
      </w:r>
      <w:r>
        <w:rPr>
          <w:rFonts w:cs="Arial"/>
        </w:rPr>
        <w:t>.</w:t>
      </w:r>
    </w:p>
  </w:footnote>
  <w:footnote w:id="83">
    <w:p w:rsidR="00761B6C" w:rsidRPr="00260502" w:rsidRDefault="00761B6C" w:rsidP="00260502">
      <w:pPr>
        <w:pStyle w:val="FootnoteText"/>
        <w:spacing w:line="360" w:lineRule="auto"/>
        <w:rPr>
          <w:rFonts w:cs="Arial"/>
        </w:rPr>
      </w:pPr>
      <w:r w:rsidRPr="00260502">
        <w:rPr>
          <w:rStyle w:val="FootnoteReference"/>
          <w:rFonts w:cs="Arial"/>
        </w:rPr>
        <w:footnoteRef/>
      </w:r>
      <w:r w:rsidRPr="00260502">
        <w:rPr>
          <w:rFonts w:cs="Arial"/>
        </w:rPr>
        <w:t xml:space="preserve"> Matić, </w:t>
      </w:r>
      <w:proofErr w:type="gramStart"/>
      <w:r w:rsidRPr="00260502">
        <w:rPr>
          <w:rFonts w:cs="Arial"/>
        </w:rPr>
        <w:t>2012.,</w:t>
      </w:r>
      <w:proofErr w:type="gramEnd"/>
      <w:r w:rsidRPr="00260502">
        <w:rPr>
          <w:rFonts w:cs="Arial"/>
        </w:rPr>
        <w:t xml:space="preserve"> str. 195.</w:t>
      </w:r>
    </w:p>
  </w:footnote>
  <w:footnote w:id="84">
    <w:p w:rsidR="00761B6C" w:rsidRDefault="00761B6C" w:rsidP="00260502">
      <w:pPr>
        <w:pStyle w:val="FootnoteText"/>
        <w:spacing w:line="360" w:lineRule="auto"/>
      </w:pPr>
      <w:r w:rsidRPr="00260502">
        <w:rPr>
          <w:rStyle w:val="FootnoteReference"/>
          <w:rFonts w:cs="Arial"/>
        </w:rPr>
        <w:footnoteRef/>
      </w:r>
      <w:r w:rsidRPr="00260502">
        <w:rPr>
          <w:rFonts w:cs="Arial"/>
        </w:rPr>
        <w:t xml:space="preserve"> Dragičević, Dražen; Gumzej, Nina, Odgovornost posrednika za povrede autorskog i srodnih prava </w:t>
      </w:r>
      <w:proofErr w:type="gramStart"/>
      <w:r w:rsidRPr="00260502">
        <w:rPr>
          <w:rFonts w:cs="Arial"/>
        </w:rPr>
        <w:t>na</w:t>
      </w:r>
      <w:proofErr w:type="gramEnd"/>
      <w:r w:rsidRPr="00260502">
        <w:rPr>
          <w:rFonts w:cs="Arial"/>
        </w:rPr>
        <w:t xml:space="preserve"> internetu</w:t>
      </w:r>
      <w:r w:rsidRPr="00260502">
        <w:rPr>
          <w:rFonts w:cs="Arial"/>
          <w:iCs/>
          <w:color w:val="231F20"/>
        </w:rPr>
        <w:t>,</w:t>
      </w:r>
      <w:r>
        <w:rPr>
          <w:rFonts w:cs="Arial"/>
          <w:iCs/>
          <w:color w:val="231F20"/>
        </w:rPr>
        <w:t xml:space="preserve"> (</w:t>
      </w:r>
      <w:r w:rsidRPr="002E41EA">
        <w:rPr>
          <w:rFonts w:cs="Arial"/>
          <w:i/>
          <w:iCs/>
          <w:color w:val="231F20"/>
        </w:rPr>
        <w:t>op.cit.</w:t>
      </w:r>
      <w:r>
        <w:rPr>
          <w:rFonts w:cs="Arial"/>
          <w:iCs/>
          <w:color w:val="231F20"/>
        </w:rPr>
        <w:t xml:space="preserve"> (br. 75)),</w:t>
      </w:r>
      <w:r w:rsidRPr="00260502">
        <w:rPr>
          <w:rFonts w:cs="Arial"/>
          <w:iCs/>
          <w:color w:val="231F20"/>
        </w:rPr>
        <w:t xml:space="preserve"> </w:t>
      </w:r>
      <w:proofErr w:type="gramStart"/>
      <w:r w:rsidRPr="00260502">
        <w:rPr>
          <w:rFonts w:cs="Arial"/>
          <w:iCs/>
          <w:color w:val="231F20"/>
        </w:rPr>
        <w:t>str</w:t>
      </w:r>
      <w:proofErr w:type="gramEnd"/>
      <w:r w:rsidRPr="00260502">
        <w:rPr>
          <w:rFonts w:cs="Arial"/>
          <w:iCs/>
          <w:color w:val="231F20"/>
        </w:rPr>
        <w:t xml:space="preserve"> 1004.</w:t>
      </w:r>
    </w:p>
  </w:footnote>
  <w:footnote w:id="85">
    <w:p w:rsidR="00761B6C" w:rsidRPr="00260502" w:rsidRDefault="00761B6C" w:rsidP="00260502">
      <w:pPr>
        <w:pStyle w:val="FootnoteText"/>
        <w:spacing w:line="360" w:lineRule="auto"/>
        <w:rPr>
          <w:rFonts w:cs="Arial"/>
        </w:rPr>
      </w:pPr>
      <w:r w:rsidRPr="00260502">
        <w:rPr>
          <w:rStyle w:val="FootnoteReference"/>
          <w:rFonts w:cs="Arial"/>
        </w:rPr>
        <w:footnoteRef/>
      </w:r>
      <w:r w:rsidRPr="00260502">
        <w:rPr>
          <w:rFonts w:cs="Arial"/>
        </w:rPr>
        <w:t xml:space="preserve"> Matić, </w:t>
      </w:r>
      <w:proofErr w:type="gramStart"/>
      <w:r w:rsidRPr="00260502">
        <w:rPr>
          <w:rFonts w:cs="Arial"/>
        </w:rPr>
        <w:t>2012.,</w:t>
      </w:r>
      <w:proofErr w:type="gramEnd"/>
      <w:r w:rsidRPr="00260502">
        <w:rPr>
          <w:rFonts w:cs="Arial"/>
        </w:rPr>
        <w:t xml:space="preserve"> str. 196-197.</w:t>
      </w:r>
    </w:p>
  </w:footnote>
  <w:footnote w:id="86">
    <w:p w:rsidR="00761B6C" w:rsidRDefault="00761B6C" w:rsidP="00260502">
      <w:pPr>
        <w:pStyle w:val="FootnoteText"/>
        <w:spacing w:line="360" w:lineRule="auto"/>
      </w:pPr>
      <w:r w:rsidRPr="00260502">
        <w:rPr>
          <w:rStyle w:val="FootnoteReference"/>
          <w:rFonts w:cs="Arial"/>
        </w:rPr>
        <w:footnoteRef/>
      </w:r>
      <w:r>
        <w:rPr>
          <w:rFonts w:cs="Arial"/>
        </w:rPr>
        <w:t xml:space="preserve"> </w:t>
      </w:r>
      <w:proofErr w:type="gramStart"/>
      <w:r w:rsidRPr="00260502">
        <w:rPr>
          <w:rFonts w:cs="Arial"/>
          <w:i/>
        </w:rPr>
        <w:t>Ibid.</w:t>
      </w:r>
      <w:r w:rsidRPr="00260502">
        <w:rPr>
          <w:rFonts w:cs="Arial"/>
        </w:rPr>
        <w:t>,</w:t>
      </w:r>
      <w:proofErr w:type="gramEnd"/>
      <w:r w:rsidRPr="00260502">
        <w:rPr>
          <w:rFonts w:cs="Arial"/>
        </w:rPr>
        <w:t xml:space="preserve"> str. 199.</w:t>
      </w:r>
    </w:p>
  </w:footnote>
  <w:footnote w:id="87">
    <w:p w:rsidR="00761B6C" w:rsidRPr="00B830BB" w:rsidRDefault="00761B6C" w:rsidP="00740D3F">
      <w:pPr>
        <w:spacing w:line="360" w:lineRule="auto"/>
        <w:jc w:val="both"/>
        <w:rPr>
          <w:rFonts w:cs="Arial"/>
          <w:szCs w:val="22"/>
          <w:lang w:val="hr-HR"/>
        </w:rPr>
      </w:pPr>
      <w:r>
        <w:rPr>
          <w:rStyle w:val="FootnoteReference"/>
        </w:rPr>
        <w:footnoteRef/>
      </w:r>
      <w:r>
        <w:t xml:space="preserve"> </w:t>
      </w:r>
      <w:proofErr w:type="gramStart"/>
      <w:r w:rsidRPr="00740D3F">
        <w:rPr>
          <w:rFonts w:cs="Arial"/>
          <w:sz w:val="20"/>
          <w:szCs w:val="20"/>
        </w:rPr>
        <w:t>Zakon o odgovornosti pravnih osoba za kaznena djela (NN 151/03, 110/07, 45/11, 143/12)</w:t>
      </w:r>
      <w:r>
        <w:rPr>
          <w:rFonts w:cs="Arial"/>
          <w:sz w:val="20"/>
          <w:szCs w:val="20"/>
        </w:rPr>
        <w:t>.</w:t>
      </w:r>
      <w:proofErr w:type="gramEnd"/>
    </w:p>
    <w:p w:rsidR="00761B6C" w:rsidRPr="00740D3F" w:rsidRDefault="00761B6C">
      <w:pPr>
        <w:pStyle w:val="FootnoteText"/>
        <w:rPr>
          <w:lang w:val="hr-HR"/>
        </w:rPr>
      </w:pPr>
    </w:p>
  </w:footnote>
  <w:footnote w:id="88">
    <w:p w:rsidR="00761B6C" w:rsidRPr="001F55B4" w:rsidRDefault="00761B6C" w:rsidP="00870891">
      <w:pPr>
        <w:pStyle w:val="FootnoteText"/>
        <w:spacing w:line="360" w:lineRule="auto"/>
        <w:rPr>
          <w:lang w:val="hr-HR"/>
        </w:rPr>
      </w:pPr>
      <w:r>
        <w:rPr>
          <w:rStyle w:val="FootnoteReference"/>
        </w:rPr>
        <w:footnoteRef/>
      </w:r>
      <w:r w:rsidRPr="00057189">
        <w:rPr>
          <w:lang w:val="hr-HR"/>
        </w:rPr>
        <w:t xml:space="preserve"> </w:t>
      </w:r>
      <w:r>
        <w:rPr>
          <w:rFonts w:cs="Arial"/>
        </w:rPr>
        <w:t>Prikaz</w:t>
      </w:r>
      <w:r w:rsidRPr="00057189">
        <w:rPr>
          <w:rFonts w:cs="Arial"/>
          <w:lang w:val="hr-HR"/>
        </w:rPr>
        <w:t xml:space="preserve"> </w:t>
      </w:r>
      <w:r>
        <w:rPr>
          <w:rFonts w:cs="Arial"/>
        </w:rPr>
        <w:t>tijeka</w:t>
      </w:r>
      <w:r w:rsidRPr="00057189">
        <w:rPr>
          <w:rFonts w:cs="Arial"/>
          <w:lang w:val="hr-HR"/>
        </w:rPr>
        <w:t xml:space="preserve"> </w:t>
      </w:r>
      <w:r>
        <w:rPr>
          <w:rFonts w:cs="Arial"/>
        </w:rPr>
        <w:t>nacionalnog</w:t>
      </w:r>
      <w:r w:rsidRPr="00057189">
        <w:rPr>
          <w:rFonts w:cs="Arial"/>
          <w:lang w:val="hr-HR"/>
        </w:rPr>
        <w:t xml:space="preserve"> </w:t>
      </w:r>
      <w:r>
        <w:rPr>
          <w:rFonts w:cs="Arial"/>
        </w:rPr>
        <w:t>postupka</w:t>
      </w:r>
      <w:r w:rsidRPr="00057189">
        <w:rPr>
          <w:rFonts w:cs="Arial"/>
          <w:lang w:val="hr-HR"/>
        </w:rPr>
        <w:t xml:space="preserve"> </w:t>
      </w:r>
      <w:r w:rsidRPr="00260502">
        <w:rPr>
          <w:rFonts w:cs="Arial"/>
        </w:rPr>
        <w:t>dan</w:t>
      </w:r>
      <w:r w:rsidRPr="00057189">
        <w:rPr>
          <w:rFonts w:cs="Arial"/>
          <w:lang w:val="hr-HR"/>
        </w:rPr>
        <w:t xml:space="preserve"> </w:t>
      </w:r>
      <w:r>
        <w:rPr>
          <w:rFonts w:cs="Arial"/>
        </w:rPr>
        <w:t>je</w:t>
      </w:r>
      <w:r w:rsidRPr="00057189">
        <w:rPr>
          <w:rFonts w:cs="Arial"/>
          <w:lang w:val="hr-HR"/>
        </w:rPr>
        <w:t xml:space="preserve"> </w:t>
      </w:r>
      <w:r w:rsidRPr="00260502">
        <w:rPr>
          <w:rFonts w:cs="Arial"/>
        </w:rPr>
        <w:t>po</w:t>
      </w:r>
      <w:r w:rsidRPr="00057189">
        <w:rPr>
          <w:rFonts w:cs="Arial"/>
          <w:lang w:val="hr-HR"/>
        </w:rPr>
        <w:t xml:space="preserve"> </w:t>
      </w:r>
      <w:r w:rsidRPr="00260502">
        <w:rPr>
          <w:rFonts w:cs="Arial"/>
        </w:rPr>
        <w:t>uzoru</w:t>
      </w:r>
      <w:r w:rsidRPr="00057189">
        <w:rPr>
          <w:rFonts w:cs="Arial"/>
          <w:lang w:val="hr-HR"/>
        </w:rPr>
        <w:t xml:space="preserve"> </w:t>
      </w:r>
      <w:r w:rsidRPr="00260502">
        <w:rPr>
          <w:rFonts w:cs="Arial"/>
        </w:rPr>
        <w:t>na</w:t>
      </w:r>
      <w:r w:rsidRPr="00057189">
        <w:rPr>
          <w:rFonts w:cs="Arial"/>
          <w:lang w:val="hr-HR"/>
        </w:rPr>
        <w:t xml:space="preserve"> </w:t>
      </w:r>
      <w:r w:rsidRPr="00260502">
        <w:rPr>
          <w:rFonts w:cs="Arial"/>
        </w:rPr>
        <w:t>onaj</w:t>
      </w:r>
      <w:r w:rsidRPr="00057189">
        <w:rPr>
          <w:rFonts w:cs="Arial"/>
          <w:lang w:val="hr-HR"/>
        </w:rPr>
        <w:t xml:space="preserve"> </w:t>
      </w:r>
      <w:r w:rsidRPr="00260502">
        <w:rPr>
          <w:rFonts w:cs="Arial"/>
        </w:rPr>
        <w:t>predstavljen</w:t>
      </w:r>
      <w:r w:rsidRPr="00057189">
        <w:rPr>
          <w:rFonts w:cs="Arial"/>
          <w:lang w:val="hr-HR"/>
        </w:rPr>
        <w:t xml:space="preserve">: </w:t>
      </w:r>
      <w:r w:rsidRPr="00260502">
        <w:rPr>
          <w:rFonts w:cs="Arial"/>
        </w:rPr>
        <w:t>u</w:t>
      </w:r>
      <w:r w:rsidRPr="00057189">
        <w:rPr>
          <w:rFonts w:cs="Arial"/>
          <w:lang w:val="hr-HR"/>
        </w:rPr>
        <w:t xml:space="preserve"> </w:t>
      </w:r>
      <w:r w:rsidRPr="00260502">
        <w:rPr>
          <w:rFonts w:cs="Arial"/>
        </w:rPr>
        <w:t>Mati</w:t>
      </w:r>
      <w:r w:rsidRPr="00057189">
        <w:rPr>
          <w:rFonts w:cs="Arial"/>
          <w:lang w:val="hr-HR"/>
        </w:rPr>
        <w:t xml:space="preserve">ć, 2012., </w:t>
      </w:r>
      <w:r w:rsidRPr="00260502">
        <w:rPr>
          <w:rFonts w:cs="Arial"/>
        </w:rPr>
        <w:t>str</w:t>
      </w:r>
      <w:r w:rsidRPr="00057189">
        <w:rPr>
          <w:rFonts w:cs="Arial"/>
          <w:lang w:val="hr-HR"/>
        </w:rPr>
        <w:t>. 199-</w:t>
      </w:r>
      <w:r>
        <w:rPr>
          <w:rFonts w:cs="Arial"/>
          <w:lang w:val="hr-HR"/>
        </w:rPr>
        <w:t>200</w:t>
      </w:r>
      <w:r w:rsidRPr="00057189">
        <w:rPr>
          <w:rFonts w:cs="Arial"/>
          <w:lang w:val="hr-HR"/>
        </w:rPr>
        <w:t xml:space="preserve">., </w:t>
      </w:r>
      <w:r w:rsidRPr="00260502">
        <w:rPr>
          <w:rFonts w:cs="Arial"/>
        </w:rPr>
        <w:t>a</w:t>
      </w:r>
      <w:r w:rsidRPr="00057189">
        <w:rPr>
          <w:rFonts w:cs="Arial"/>
          <w:lang w:val="hr-HR"/>
        </w:rPr>
        <w:t xml:space="preserve"> </w:t>
      </w:r>
      <w:r w:rsidRPr="00260502">
        <w:rPr>
          <w:rFonts w:cs="Arial"/>
        </w:rPr>
        <w:t>koji</w:t>
      </w:r>
      <w:r w:rsidRPr="00057189">
        <w:rPr>
          <w:rFonts w:cs="Arial"/>
          <w:lang w:val="hr-HR"/>
        </w:rPr>
        <w:t xml:space="preserve"> </w:t>
      </w:r>
      <w:r w:rsidRPr="00260502">
        <w:rPr>
          <w:rFonts w:cs="Arial"/>
        </w:rPr>
        <w:t>je</w:t>
      </w:r>
      <w:r w:rsidRPr="00057189">
        <w:rPr>
          <w:rFonts w:cs="Arial"/>
          <w:lang w:val="hr-HR"/>
        </w:rPr>
        <w:t xml:space="preserve"> </w:t>
      </w:r>
      <w:r w:rsidRPr="00260502">
        <w:rPr>
          <w:rFonts w:cs="Arial"/>
        </w:rPr>
        <w:t>izvorno</w:t>
      </w:r>
      <w:r w:rsidRPr="00057189">
        <w:rPr>
          <w:rFonts w:cs="Arial"/>
          <w:lang w:val="hr-HR"/>
        </w:rPr>
        <w:t xml:space="preserve"> </w:t>
      </w:r>
      <w:r w:rsidRPr="00260502">
        <w:rPr>
          <w:rFonts w:cs="Arial"/>
        </w:rPr>
        <w:t>preuzet</w:t>
      </w:r>
      <w:r w:rsidRPr="00057189">
        <w:rPr>
          <w:rFonts w:cs="Arial"/>
          <w:lang w:val="hr-HR"/>
        </w:rPr>
        <w:t xml:space="preserve"> </w:t>
      </w:r>
      <w:r w:rsidRPr="00260502">
        <w:rPr>
          <w:rFonts w:cs="Arial"/>
        </w:rPr>
        <w:t>iz</w:t>
      </w:r>
      <w:r w:rsidRPr="00057189">
        <w:rPr>
          <w:rFonts w:cs="Arial"/>
          <w:lang w:val="hr-HR"/>
        </w:rPr>
        <w:t xml:space="preserve">: </w:t>
      </w:r>
      <w:r w:rsidRPr="00260502">
        <w:rPr>
          <w:rFonts w:cs="Arial"/>
        </w:rPr>
        <w:t>Senini</w:t>
      </w:r>
      <w:r w:rsidRPr="00057189">
        <w:rPr>
          <w:rFonts w:cs="Arial"/>
          <w:lang w:val="hr-HR"/>
        </w:rPr>
        <w:t xml:space="preserve">, </w:t>
      </w:r>
      <w:r w:rsidRPr="00260502">
        <w:rPr>
          <w:rFonts w:cs="Arial"/>
        </w:rPr>
        <w:t>Erica</w:t>
      </w:r>
      <w:r w:rsidRPr="00057189">
        <w:rPr>
          <w:rFonts w:cs="Arial"/>
          <w:lang w:val="hr-HR"/>
        </w:rPr>
        <w:t xml:space="preserve">, </w:t>
      </w:r>
      <w:r w:rsidRPr="00260502">
        <w:rPr>
          <w:rFonts w:cs="Arial"/>
          <w:i/>
        </w:rPr>
        <w:t>Cyberspace</w:t>
      </w:r>
      <w:r w:rsidRPr="00057189">
        <w:rPr>
          <w:rFonts w:cs="Arial"/>
          <w:i/>
          <w:lang w:val="hr-HR"/>
        </w:rPr>
        <w:t xml:space="preserve"> </w:t>
      </w:r>
      <w:r w:rsidRPr="00260502">
        <w:rPr>
          <w:rFonts w:cs="Arial"/>
          <w:i/>
        </w:rPr>
        <w:t>usages</w:t>
      </w:r>
      <w:r w:rsidRPr="00057189">
        <w:rPr>
          <w:rFonts w:cs="Arial"/>
          <w:i/>
          <w:lang w:val="hr-HR"/>
        </w:rPr>
        <w:t xml:space="preserve"> –</w:t>
      </w:r>
      <w:r w:rsidRPr="00260502">
        <w:rPr>
          <w:rFonts w:cs="Arial"/>
          <w:i/>
        </w:rPr>
        <w:t>Challenges</w:t>
      </w:r>
      <w:r w:rsidRPr="00057189">
        <w:rPr>
          <w:rFonts w:cs="Arial"/>
          <w:i/>
          <w:lang w:val="hr-HR"/>
        </w:rPr>
        <w:t xml:space="preserve"> </w:t>
      </w:r>
      <w:r w:rsidRPr="00260502">
        <w:rPr>
          <w:rFonts w:cs="Arial"/>
          <w:i/>
        </w:rPr>
        <w:t>and</w:t>
      </w:r>
      <w:r w:rsidRPr="00057189">
        <w:rPr>
          <w:rFonts w:cs="Arial"/>
          <w:i/>
          <w:lang w:val="hr-HR"/>
        </w:rPr>
        <w:t xml:space="preserve"> </w:t>
      </w:r>
      <w:r w:rsidRPr="00260502">
        <w:rPr>
          <w:rFonts w:cs="Arial"/>
          <w:i/>
        </w:rPr>
        <w:t>Dispute</w:t>
      </w:r>
      <w:r w:rsidRPr="00057189">
        <w:rPr>
          <w:rFonts w:cs="Arial"/>
          <w:i/>
          <w:lang w:val="hr-HR"/>
        </w:rPr>
        <w:t xml:space="preserve"> </w:t>
      </w:r>
      <w:r w:rsidRPr="00260502">
        <w:rPr>
          <w:rFonts w:cs="Arial"/>
          <w:i/>
        </w:rPr>
        <w:t>resolution</w:t>
      </w:r>
      <w:r w:rsidRPr="00057189">
        <w:rPr>
          <w:rFonts w:cs="Arial"/>
          <w:i/>
          <w:lang w:val="hr-HR"/>
        </w:rPr>
        <w:t>,</w:t>
      </w:r>
      <w:r w:rsidRPr="00057189">
        <w:rPr>
          <w:rFonts w:cs="Arial"/>
          <w:lang w:val="hr-HR"/>
        </w:rPr>
        <w:t xml:space="preserve"> </w:t>
      </w:r>
      <w:r w:rsidRPr="00260502">
        <w:rPr>
          <w:rFonts w:cs="Arial"/>
        </w:rPr>
        <w:t>referat</w:t>
      </w:r>
      <w:r w:rsidRPr="00057189">
        <w:rPr>
          <w:rFonts w:cs="Arial"/>
          <w:lang w:val="hr-HR"/>
        </w:rPr>
        <w:t xml:space="preserve"> </w:t>
      </w:r>
      <w:r w:rsidRPr="00260502">
        <w:rPr>
          <w:rFonts w:cs="Arial"/>
        </w:rPr>
        <w:t>na</w:t>
      </w:r>
      <w:r w:rsidRPr="00057189">
        <w:rPr>
          <w:rFonts w:cs="Arial"/>
          <w:lang w:val="hr-HR"/>
        </w:rPr>
        <w:t xml:space="preserve"> </w:t>
      </w:r>
      <w:r w:rsidRPr="00260502">
        <w:rPr>
          <w:rFonts w:cs="Arial"/>
        </w:rPr>
        <w:t>savjetovanju</w:t>
      </w:r>
      <w:r w:rsidRPr="00057189">
        <w:rPr>
          <w:rFonts w:cs="Arial"/>
          <w:lang w:val="hr-HR"/>
        </w:rPr>
        <w:t xml:space="preserve">, </w:t>
      </w:r>
      <w:r w:rsidRPr="00260502">
        <w:rPr>
          <w:rFonts w:cs="Arial"/>
        </w:rPr>
        <w:t>UIA</w:t>
      </w:r>
      <w:r w:rsidRPr="00057189">
        <w:rPr>
          <w:rFonts w:cs="Arial"/>
          <w:lang w:val="hr-HR"/>
        </w:rPr>
        <w:t xml:space="preserve">, </w:t>
      </w:r>
      <w:r w:rsidRPr="00260502">
        <w:rPr>
          <w:rFonts w:cs="Arial"/>
        </w:rPr>
        <w:t>Kocchi</w:t>
      </w:r>
      <w:r w:rsidRPr="00057189">
        <w:rPr>
          <w:rFonts w:cs="Arial"/>
          <w:lang w:val="hr-HR"/>
        </w:rPr>
        <w:t xml:space="preserve">, </w:t>
      </w:r>
      <w:r w:rsidRPr="00260502">
        <w:rPr>
          <w:rFonts w:cs="Arial"/>
        </w:rPr>
        <w:t>Kerala</w:t>
      </w:r>
      <w:r w:rsidRPr="00057189">
        <w:rPr>
          <w:rFonts w:cs="Arial"/>
          <w:lang w:val="hr-HR"/>
        </w:rPr>
        <w:t xml:space="preserve">, </w:t>
      </w:r>
      <w:r w:rsidRPr="00260502">
        <w:rPr>
          <w:rFonts w:cs="Arial"/>
        </w:rPr>
        <w:t>India</w:t>
      </w:r>
      <w:r w:rsidRPr="00057189">
        <w:rPr>
          <w:rFonts w:cs="Arial"/>
          <w:lang w:val="hr-HR"/>
        </w:rPr>
        <w:t xml:space="preserve">, </w:t>
      </w:r>
      <w:r w:rsidRPr="00260502">
        <w:rPr>
          <w:rFonts w:cs="Arial"/>
        </w:rPr>
        <w:t>February</w:t>
      </w:r>
      <w:r w:rsidRPr="00057189">
        <w:rPr>
          <w:rFonts w:cs="Arial"/>
          <w:lang w:val="hr-HR"/>
        </w:rPr>
        <w:t xml:space="preserve"> 2011., </w:t>
      </w:r>
      <w:r w:rsidRPr="00260502">
        <w:rPr>
          <w:rFonts w:cs="Arial"/>
        </w:rPr>
        <w:t>referat</w:t>
      </w:r>
      <w:r w:rsidRPr="00057189">
        <w:rPr>
          <w:rFonts w:cs="Arial"/>
          <w:lang w:val="hr-HR"/>
        </w:rPr>
        <w:t xml:space="preserve"> </w:t>
      </w:r>
      <w:r w:rsidRPr="00260502">
        <w:rPr>
          <w:rFonts w:cs="Arial"/>
          <w:i/>
        </w:rPr>
        <w:t>Internet</w:t>
      </w:r>
      <w:r w:rsidRPr="00057189">
        <w:rPr>
          <w:rFonts w:cs="Arial"/>
          <w:i/>
          <w:lang w:val="hr-HR"/>
        </w:rPr>
        <w:t xml:space="preserve"> </w:t>
      </w:r>
      <w:r w:rsidRPr="00260502">
        <w:rPr>
          <w:rFonts w:cs="Arial"/>
          <w:i/>
        </w:rPr>
        <w:t>service</w:t>
      </w:r>
      <w:r w:rsidRPr="00057189">
        <w:rPr>
          <w:rFonts w:cs="Arial"/>
          <w:i/>
          <w:lang w:val="hr-HR"/>
        </w:rPr>
        <w:t xml:space="preserve"> </w:t>
      </w:r>
      <w:r w:rsidRPr="00260502">
        <w:rPr>
          <w:rFonts w:cs="Arial"/>
          <w:i/>
        </w:rPr>
        <w:t>provider</w:t>
      </w:r>
      <w:r w:rsidRPr="00057189">
        <w:rPr>
          <w:rFonts w:cs="Arial"/>
          <w:i/>
          <w:lang w:val="hr-HR"/>
        </w:rPr>
        <w:t xml:space="preserve"> </w:t>
      </w:r>
      <w:r w:rsidRPr="00260502">
        <w:rPr>
          <w:rFonts w:cs="Arial"/>
          <w:i/>
        </w:rPr>
        <w:t>in</w:t>
      </w:r>
      <w:r w:rsidRPr="00057189">
        <w:rPr>
          <w:rFonts w:cs="Arial"/>
          <w:i/>
          <w:lang w:val="hr-HR"/>
        </w:rPr>
        <w:t xml:space="preserve"> </w:t>
      </w:r>
      <w:r w:rsidRPr="00260502">
        <w:rPr>
          <w:rFonts w:cs="Arial"/>
          <w:i/>
        </w:rPr>
        <w:t>Italy</w:t>
      </w:r>
      <w:r>
        <w:rPr>
          <w:rFonts w:cs="Arial"/>
          <w:i/>
        </w:rPr>
        <w:t>.</w:t>
      </w:r>
    </w:p>
  </w:footnote>
  <w:footnote w:id="89">
    <w:p w:rsidR="00761B6C" w:rsidRPr="002B156F" w:rsidRDefault="00761B6C" w:rsidP="00870891">
      <w:pPr>
        <w:pStyle w:val="FootnoteText"/>
        <w:spacing w:line="360" w:lineRule="auto"/>
        <w:rPr>
          <w:rFonts w:cs="Arial"/>
          <w:lang w:val="hr-HR"/>
        </w:rPr>
      </w:pPr>
      <w:r>
        <w:rPr>
          <w:rStyle w:val="FootnoteReference"/>
        </w:rPr>
        <w:footnoteRef/>
      </w:r>
      <w:r>
        <w:rPr>
          <w:rFonts w:cs="Arial"/>
          <w:lang w:val="hr-HR"/>
        </w:rPr>
        <w:t xml:space="preserve"> Odluka o nedopuštenosti </w:t>
      </w:r>
      <w:r w:rsidRPr="002B156F">
        <w:rPr>
          <w:rFonts w:cs="Arial"/>
          <w:i/>
          <w:lang w:val="hr-HR"/>
        </w:rPr>
        <w:t xml:space="preserve">Neij and Sunde Kolmisoppi </w:t>
      </w:r>
      <w:r>
        <w:rPr>
          <w:rFonts w:cs="Arial"/>
          <w:i/>
          <w:lang w:val="hr-HR"/>
        </w:rPr>
        <w:t>protiv Švedske</w:t>
      </w:r>
      <w:r>
        <w:rPr>
          <w:rFonts w:cs="Arial"/>
          <w:lang w:val="hr-HR"/>
        </w:rPr>
        <w:t xml:space="preserve">, zahtjev broj  </w:t>
      </w:r>
      <w:r w:rsidRPr="002B156F">
        <w:rPr>
          <w:rFonts w:cs="Arial"/>
          <w:lang w:val="hr-HR"/>
        </w:rPr>
        <w:t>40397/12</w:t>
      </w:r>
      <w:r>
        <w:rPr>
          <w:rFonts w:cs="Arial"/>
          <w:lang w:val="hr-HR"/>
        </w:rPr>
        <w:t xml:space="preserve">, </w:t>
      </w:r>
      <w:r w:rsidRPr="00EE7791">
        <w:rPr>
          <w:rFonts w:cs="Arial"/>
          <w:lang w:val="hr-HR"/>
        </w:rPr>
        <w:t>odluka od 19. veljače 2013.</w:t>
      </w:r>
    </w:p>
  </w:footnote>
  <w:footnote w:id="90">
    <w:p w:rsidR="00761B6C" w:rsidRPr="005C0167" w:rsidRDefault="00761B6C" w:rsidP="005C0167">
      <w:pPr>
        <w:spacing w:line="360" w:lineRule="auto"/>
        <w:rPr>
          <w:rFonts w:cs="Arial"/>
          <w:sz w:val="20"/>
          <w:szCs w:val="20"/>
          <w:lang w:val="hr-HR"/>
        </w:rPr>
      </w:pPr>
      <w:r w:rsidRPr="005C0167">
        <w:rPr>
          <w:sz w:val="20"/>
          <w:szCs w:val="20"/>
          <w:vertAlign w:val="superscript"/>
        </w:rPr>
        <w:footnoteRef/>
      </w:r>
      <w:r w:rsidRPr="005C0167">
        <w:rPr>
          <w:rFonts w:cs="Arial"/>
          <w:sz w:val="20"/>
          <w:szCs w:val="20"/>
          <w:lang w:val="hr-HR"/>
        </w:rPr>
        <w:t xml:space="preserve"> </w:t>
      </w:r>
      <w:r w:rsidRPr="005C0167">
        <w:rPr>
          <w:rFonts w:cs="Arial"/>
          <w:i/>
          <w:sz w:val="20"/>
          <w:szCs w:val="20"/>
        </w:rPr>
        <w:t>Delfi</w:t>
      </w:r>
      <w:r w:rsidRPr="005C0167">
        <w:rPr>
          <w:rFonts w:cs="Arial"/>
          <w:i/>
          <w:sz w:val="20"/>
          <w:szCs w:val="20"/>
          <w:lang w:val="hr-HR"/>
        </w:rPr>
        <w:t xml:space="preserve"> </w:t>
      </w:r>
      <w:r w:rsidRPr="005C0167">
        <w:rPr>
          <w:rFonts w:cs="Arial"/>
          <w:i/>
          <w:sz w:val="20"/>
          <w:szCs w:val="20"/>
        </w:rPr>
        <w:t>AS</w:t>
      </w:r>
      <w:r w:rsidRPr="005C0167">
        <w:rPr>
          <w:rFonts w:cs="Arial"/>
          <w:i/>
          <w:sz w:val="20"/>
          <w:szCs w:val="20"/>
          <w:lang w:val="hr-HR"/>
        </w:rPr>
        <w:t xml:space="preserve"> </w:t>
      </w:r>
      <w:r w:rsidRPr="005C0167">
        <w:rPr>
          <w:rFonts w:cs="Arial"/>
          <w:i/>
          <w:sz w:val="20"/>
          <w:szCs w:val="20"/>
        </w:rPr>
        <w:t>protiv</w:t>
      </w:r>
      <w:r w:rsidRPr="005C0167">
        <w:rPr>
          <w:rFonts w:cs="Arial"/>
          <w:i/>
          <w:sz w:val="20"/>
          <w:szCs w:val="20"/>
          <w:lang w:val="hr-HR"/>
        </w:rPr>
        <w:t xml:space="preserve"> </w:t>
      </w:r>
      <w:r w:rsidRPr="005C0167">
        <w:rPr>
          <w:rFonts w:cs="Arial"/>
          <w:i/>
          <w:sz w:val="20"/>
          <w:szCs w:val="20"/>
        </w:rPr>
        <w:t>Estonije</w:t>
      </w:r>
      <w:r w:rsidRPr="005C0167">
        <w:rPr>
          <w:rFonts w:cs="Arial"/>
          <w:sz w:val="20"/>
          <w:szCs w:val="20"/>
          <w:lang w:val="hr-HR"/>
        </w:rPr>
        <w:t xml:space="preserve">, </w:t>
      </w:r>
      <w:r w:rsidRPr="005C0167">
        <w:rPr>
          <w:rFonts w:cs="Arial"/>
          <w:sz w:val="20"/>
          <w:szCs w:val="20"/>
        </w:rPr>
        <w:t>zahtjev</w:t>
      </w:r>
      <w:r w:rsidRPr="005C0167">
        <w:rPr>
          <w:rFonts w:cs="Arial"/>
          <w:sz w:val="20"/>
          <w:szCs w:val="20"/>
          <w:lang w:val="hr-HR"/>
        </w:rPr>
        <w:t xml:space="preserve"> </w:t>
      </w:r>
      <w:r w:rsidRPr="005C0167">
        <w:rPr>
          <w:rFonts w:cs="Arial"/>
          <w:sz w:val="20"/>
          <w:szCs w:val="20"/>
        </w:rPr>
        <w:t>broj</w:t>
      </w:r>
      <w:r w:rsidRPr="005C0167">
        <w:rPr>
          <w:rFonts w:cs="Arial"/>
          <w:sz w:val="20"/>
          <w:szCs w:val="20"/>
          <w:lang w:val="hr-HR"/>
        </w:rPr>
        <w:t xml:space="preserve"> 64569/09., presuda </w:t>
      </w:r>
      <w:proofErr w:type="gramStart"/>
      <w:r w:rsidRPr="005C0167">
        <w:rPr>
          <w:rFonts w:cs="Arial"/>
          <w:sz w:val="20"/>
          <w:szCs w:val="20"/>
          <w:lang w:val="hr-HR"/>
        </w:rPr>
        <w:t>od</w:t>
      </w:r>
      <w:proofErr w:type="gramEnd"/>
      <w:r w:rsidRPr="005C0167">
        <w:rPr>
          <w:rFonts w:cs="Arial"/>
          <w:sz w:val="20"/>
          <w:szCs w:val="20"/>
          <w:lang w:val="hr-HR"/>
        </w:rPr>
        <w:t xml:space="preserve"> 10. </w:t>
      </w:r>
      <w:r>
        <w:rPr>
          <w:rFonts w:cs="Arial"/>
          <w:sz w:val="20"/>
          <w:szCs w:val="20"/>
          <w:lang w:val="hr-HR"/>
        </w:rPr>
        <w:t>listopada</w:t>
      </w:r>
      <w:r w:rsidRPr="005C0167">
        <w:rPr>
          <w:rFonts w:cs="Arial"/>
          <w:sz w:val="20"/>
          <w:szCs w:val="20"/>
          <w:lang w:val="hr-HR"/>
        </w:rPr>
        <w:t xml:space="preserve"> 2013. </w:t>
      </w:r>
    </w:p>
    <w:p w:rsidR="00761B6C" w:rsidRPr="005C0167" w:rsidRDefault="00761B6C" w:rsidP="009A08DB">
      <w:pPr>
        <w:pStyle w:val="FootnoteText"/>
        <w:spacing w:line="360" w:lineRule="auto"/>
        <w:rPr>
          <w:rFonts w:cs="Arial"/>
          <w:sz w:val="22"/>
          <w:szCs w:val="24"/>
          <w:lang w:val="hr-HR"/>
        </w:rPr>
      </w:pPr>
      <w:r w:rsidRPr="005C0167">
        <w:rPr>
          <w:rFonts w:cs="Arial"/>
          <w:lang w:val="hr-HR"/>
        </w:rPr>
        <w:t>Presuda nije konačna jer je</w:t>
      </w:r>
      <w:r>
        <w:rPr>
          <w:rFonts w:cs="Arial"/>
          <w:lang w:val="hr-HR"/>
        </w:rPr>
        <w:t xml:space="preserve"> predmet upućen Velikom vijeću, Request for referral to the Grand Chamber on behalf of the applicant </w:t>
      </w:r>
      <w:r w:rsidRPr="005C0167">
        <w:rPr>
          <w:rFonts w:cs="Arial"/>
          <w:lang w:val="hr-HR"/>
        </w:rPr>
        <w:t>dostupan je na: http://www.psw.ugent.be/cms_global/uploads/publicaties/dv/REQUEST%20FOR%20REFERRAL%20TO%20THE%20GRAND%20CHAMBER_DELFI_2014%2001%2008%2</w:t>
      </w:r>
      <w:r>
        <w:rPr>
          <w:rFonts w:cs="Arial"/>
          <w:lang w:val="hr-HR"/>
        </w:rPr>
        <w:t>0FINALDV.pdf, pristupljeno 26. t</w:t>
      </w:r>
      <w:r w:rsidRPr="005C0167">
        <w:rPr>
          <w:rFonts w:cs="Arial"/>
          <w:lang w:val="hr-HR"/>
        </w:rPr>
        <w:t xml:space="preserve">ravnja 2014. </w:t>
      </w:r>
    </w:p>
  </w:footnote>
  <w:footnote w:id="91">
    <w:p w:rsidR="00761B6C" w:rsidRPr="0066355E" w:rsidRDefault="00761B6C" w:rsidP="008D5A70">
      <w:pPr>
        <w:pStyle w:val="FootnoteText"/>
        <w:spacing w:line="360" w:lineRule="auto"/>
        <w:rPr>
          <w:rFonts w:cs="Arial"/>
          <w:lang w:val="fr-FR"/>
        </w:rPr>
      </w:pPr>
      <w:r w:rsidRPr="008D5A70">
        <w:rPr>
          <w:rFonts w:cs="Arial"/>
          <w:vertAlign w:val="superscript"/>
        </w:rPr>
        <w:footnoteRef/>
      </w:r>
      <w:r w:rsidRPr="0066355E">
        <w:rPr>
          <w:rFonts w:cs="Arial"/>
          <w:lang w:val="fr-FR"/>
        </w:rPr>
        <w:t xml:space="preserve"> </w:t>
      </w:r>
      <w:r w:rsidRPr="00870891">
        <w:rPr>
          <w:rFonts w:cs="Arial"/>
          <w:lang w:val="hr-HR"/>
        </w:rPr>
        <w:t xml:space="preserve">Primjerice, </w:t>
      </w:r>
      <w:r>
        <w:rPr>
          <w:rFonts w:cs="Arial"/>
          <w:lang w:val="hr-HR"/>
        </w:rPr>
        <w:t xml:space="preserve">European Court strikes serious blow to free speech online, </w:t>
      </w:r>
      <w:hyperlink r:id="rId10" w:history="1">
        <w:r w:rsidRPr="00870891">
          <w:rPr>
            <w:rFonts w:cs="Arial"/>
            <w:lang w:val="hr-HR"/>
          </w:rPr>
          <w:t>http://www.article19.org/resources.php/resource/37287/en/european-court-strikes-serious-blow-to-free-speech-online</w:t>
        </w:r>
      </w:hyperlink>
      <w:r w:rsidRPr="00870891">
        <w:rPr>
          <w:rFonts w:cs="Arial"/>
          <w:lang w:val="hr-HR"/>
        </w:rPr>
        <w:t xml:space="preserve"> </w:t>
      </w:r>
      <w:r>
        <w:rPr>
          <w:rFonts w:cs="Arial"/>
          <w:lang w:val="hr-HR"/>
        </w:rPr>
        <w:t>, pristupljeno 10. travnja 2014.</w:t>
      </w:r>
      <w:r w:rsidRPr="00870891">
        <w:rPr>
          <w:rFonts w:cs="Arial"/>
          <w:lang w:val="hr-HR"/>
        </w:rPr>
        <w:t xml:space="preserve">; </w:t>
      </w:r>
      <w:r>
        <w:rPr>
          <w:rFonts w:cs="Arial"/>
          <w:lang w:val="hr-HR"/>
        </w:rPr>
        <w:t xml:space="preserve">Qualification of news portal as publisher of users comment may have far-reaching consequences for online freedom of expression, </w:t>
      </w:r>
      <w:r w:rsidRPr="00870891">
        <w:rPr>
          <w:rFonts w:cs="Arial"/>
          <w:lang w:val="hr-HR"/>
        </w:rPr>
        <w:t>http://strasbourgobservers.com/2013/10/25/qualification-of-news-portal-as-publisher-of-users-comment-may-have-far-reaching-consequences-for-online-freedom-of-expression-delfi-as-v-estonia/, pristupljeno 10. travnja 2014.</w:t>
      </w:r>
    </w:p>
  </w:footnote>
  <w:footnote w:id="92">
    <w:p w:rsidR="00761B6C" w:rsidRPr="00870891" w:rsidRDefault="00761B6C" w:rsidP="008D5A70">
      <w:pPr>
        <w:pStyle w:val="FootnoteText"/>
        <w:spacing w:line="360" w:lineRule="auto"/>
        <w:rPr>
          <w:lang w:val="hr-HR"/>
        </w:rPr>
      </w:pPr>
      <w:r w:rsidRPr="008D5A70">
        <w:rPr>
          <w:rFonts w:cs="Arial"/>
          <w:vertAlign w:val="superscript"/>
        </w:rPr>
        <w:footnoteRef/>
      </w:r>
      <w:r w:rsidRPr="0066355E">
        <w:rPr>
          <w:rFonts w:cs="Arial"/>
          <w:lang w:val="fr-FR"/>
        </w:rPr>
        <w:t xml:space="preserve"> </w:t>
      </w:r>
      <w:r w:rsidRPr="00870891">
        <w:rPr>
          <w:rFonts w:cs="Arial"/>
          <w:lang w:val="hr-HR"/>
        </w:rPr>
        <w:t xml:space="preserve">Primjerice, </w:t>
      </w:r>
      <w:r w:rsidRPr="00D31605">
        <w:rPr>
          <w:rFonts w:cs="Arial"/>
          <w:lang w:val="hr-HR"/>
        </w:rPr>
        <w:t>Civil Society Calls on the ECHR's Grand Chamber to Overturn Delfi v. Estonia Ruling</w:t>
      </w:r>
      <w:r>
        <w:rPr>
          <w:rFonts w:cs="Arial"/>
          <w:lang w:val="hr-HR"/>
        </w:rPr>
        <w:t xml:space="preserve">, </w:t>
      </w:r>
      <w:hyperlink r:id="rId11" w:history="1">
        <w:r w:rsidRPr="00870891">
          <w:rPr>
            <w:rFonts w:cs="Arial"/>
            <w:lang w:val="hr-HR"/>
          </w:rPr>
          <w:t>http://www.laquadrature.net/en/civil-society-calls-on-the-echrs-grand-chamber-to-overturn-delfi-v-estonia-ruling</w:t>
        </w:r>
      </w:hyperlink>
      <w:r>
        <w:t xml:space="preserve"> , pristupljeno 10. </w:t>
      </w:r>
      <w:proofErr w:type="gramStart"/>
      <w:r>
        <w:t>travnja</w:t>
      </w:r>
      <w:proofErr w:type="gramEnd"/>
      <w:r>
        <w:t xml:space="preserve"> 2014.</w:t>
      </w:r>
      <w:r w:rsidRPr="00870891">
        <w:rPr>
          <w:rFonts w:cs="Arial"/>
          <w:lang w:val="hr-HR"/>
        </w:rPr>
        <w:t xml:space="preserve"> ; </w:t>
      </w:r>
      <w:r w:rsidRPr="00F20550">
        <w:rPr>
          <w:rFonts w:cs="Arial"/>
          <w:lang w:val="hr-HR"/>
        </w:rPr>
        <w:t>Human Rights Centre Supports Request for Referral to the Grand Chamber in Delfi AS v. Estonia</w:t>
      </w:r>
      <w:r>
        <w:rPr>
          <w:rFonts w:cs="Arial"/>
          <w:lang w:val="hr-HR"/>
        </w:rPr>
        <w:t xml:space="preserve">, </w:t>
      </w:r>
      <w:r w:rsidRPr="00870891">
        <w:rPr>
          <w:rFonts w:cs="Arial"/>
          <w:lang w:val="hr-HR"/>
        </w:rPr>
        <w:t>http://strasbourgobservers.com/2014/01/17/human-rights-centre-supports-request-for-referral-to-the-grand-chamber-in-delfi-as-v-estonia/, pristupljeno 10. travnja 2014.</w:t>
      </w:r>
    </w:p>
  </w:footnote>
  <w:footnote w:id="93">
    <w:p w:rsidR="00761B6C" w:rsidRDefault="00761B6C" w:rsidP="00D614A4">
      <w:pPr>
        <w:pStyle w:val="FootnoteText"/>
        <w:spacing w:line="360" w:lineRule="auto"/>
      </w:pPr>
      <w:r w:rsidRPr="00C228F9">
        <w:rPr>
          <w:rFonts w:cs="Arial"/>
          <w:vertAlign w:val="superscript"/>
          <w:lang w:val="hr-HR"/>
        </w:rPr>
        <w:footnoteRef/>
      </w:r>
      <w:r w:rsidRPr="00260502">
        <w:rPr>
          <w:rFonts w:cs="Arial"/>
          <w:lang w:val="hr-HR"/>
        </w:rPr>
        <w:t xml:space="preserve"> </w:t>
      </w:r>
      <w:r>
        <w:rPr>
          <w:lang w:val="hr-HR"/>
        </w:rPr>
        <w:t xml:space="preserve">Slučaj je predstavljen </w:t>
      </w:r>
      <w:r>
        <w:rPr>
          <w:rFonts w:cs="Arial"/>
        </w:rPr>
        <w:t>temeljem prikaza predmeta u:</w:t>
      </w:r>
      <w:r w:rsidRPr="00057189">
        <w:rPr>
          <w:rFonts w:cs="Arial"/>
          <w:lang w:val="hr-HR"/>
        </w:rPr>
        <w:t xml:space="preserve"> </w:t>
      </w:r>
      <w:r w:rsidRPr="00260502">
        <w:rPr>
          <w:rFonts w:cs="Arial"/>
        </w:rPr>
        <w:t>Mati</w:t>
      </w:r>
      <w:r w:rsidRPr="00057189">
        <w:rPr>
          <w:rFonts w:cs="Arial"/>
          <w:lang w:val="hr-HR"/>
        </w:rPr>
        <w:t xml:space="preserve">ć, 2012., </w:t>
      </w:r>
      <w:r>
        <w:rPr>
          <w:rFonts w:cs="Arial"/>
          <w:lang w:val="hr-HR"/>
        </w:rPr>
        <w:t>(</w:t>
      </w:r>
      <w:r w:rsidRPr="006A0B76">
        <w:rPr>
          <w:rFonts w:cs="Arial"/>
          <w:i/>
          <w:lang w:val="hr-HR"/>
        </w:rPr>
        <w:t>op. cit</w:t>
      </w:r>
      <w:r>
        <w:rPr>
          <w:rFonts w:cs="Arial"/>
          <w:lang w:val="hr-HR"/>
        </w:rPr>
        <w:t xml:space="preserve">. (br. 88), </w:t>
      </w:r>
      <w:r w:rsidRPr="00260502">
        <w:rPr>
          <w:rFonts w:cs="Arial"/>
        </w:rPr>
        <w:t>str</w:t>
      </w:r>
      <w:r>
        <w:rPr>
          <w:rFonts w:cs="Arial"/>
          <w:lang w:val="hr-HR"/>
        </w:rPr>
        <w:t>. 201</w:t>
      </w:r>
      <w:r w:rsidRPr="00057189">
        <w:rPr>
          <w:rFonts w:cs="Arial"/>
          <w:lang w:val="hr-HR"/>
        </w:rPr>
        <w:t>-202.</w:t>
      </w:r>
      <w:r>
        <w:rPr>
          <w:rFonts w:cs="Arial"/>
        </w:rPr>
        <w:t xml:space="preserve"> </w:t>
      </w:r>
      <w:r w:rsidRPr="007C3B3F">
        <w:rPr>
          <w:rFonts w:cs="Arial"/>
        </w:rPr>
        <w:t>http://www.nytimes.com/idg/IDG_852573C400693880002574960063ABD7.html</w:t>
      </w:r>
      <w:r>
        <w:rPr>
          <w:rFonts w:cs="Arial"/>
        </w:rPr>
        <w:t xml:space="preserve"> , pristupljeno 10. </w:t>
      </w:r>
      <w:proofErr w:type="gramStart"/>
      <w:r>
        <w:rPr>
          <w:rFonts w:cs="Arial"/>
        </w:rPr>
        <w:t>travnja</w:t>
      </w:r>
      <w:proofErr w:type="gramEnd"/>
      <w:r>
        <w:rPr>
          <w:rFonts w:cs="Arial"/>
        </w:rPr>
        <w:t xml:space="preserve"> 2014. ; </w:t>
      </w:r>
    </w:p>
  </w:footnote>
  <w:footnote w:id="94">
    <w:p w:rsidR="00761B6C" w:rsidRPr="008D5A70" w:rsidRDefault="00761B6C" w:rsidP="00D614A4">
      <w:pPr>
        <w:pStyle w:val="FootnoteText"/>
        <w:spacing w:line="360" w:lineRule="auto"/>
        <w:rPr>
          <w:rFonts w:cs="Arial"/>
        </w:rPr>
      </w:pPr>
      <w:r w:rsidRPr="008D5A70">
        <w:rPr>
          <w:rFonts w:cs="Arial"/>
          <w:vertAlign w:val="superscript"/>
        </w:rPr>
        <w:footnoteRef/>
      </w:r>
      <w:r w:rsidRPr="008D5A70">
        <w:rPr>
          <w:rFonts w:cs="Arial"/>
        </w:rPr>
        <w:t xml:space="preserve"> </w:t>
      </w:r>
      <w:r w:rsidRPr="008D5A70">
        <w:rPr>
          <w:rFonts w:cs="Arial"/>
          <w:i/>
        </w:rPr>
        <w:t>Tamiz v Google Inc</w:t>
      </w:r>
      <w:r w:rsidRPr="008D5A70">
        <w:rPr>
          <w:rFonts w:cs="Arial"/>
        </w:rPr>
        <w:t xml:space="preserve"> [2013] EWCA Civ 68 (14 February 2013)</w:t>
      </w:r>
    </w:p>
  </w:footnote>
  <w:footnote w:id="95">
    <w:p w:rsidR="00761B6C" w:rsidRPr="008D5A70" w:rsidRDefault="00761B6C" w:rsidP="00D614A4">
      <w:pPr>
        <w:pStyle w:val="FootnoteText"/>
        <w:spacing w:line="360" w:lineRule="auto"/>
        <w:rPr>
          <w:rFonts w:cs="Arial"/>
        </w:rPr>
      </w:pPr>
      <w:r w:rsidRPr="008D5A70">
        <w:rPr>
          <w:rFonts w:cs="Arial"/>
          <w:vertAlign w:val="superscript"/>
        </w:rPr>
        <w:footnoteRef/>
      </w:r>
      <w:r>
        <w:rPr>
          <w:rFonts w:cs="Arial"/>
        </w:rPr>
        <w:t xml:space="preserve"> Vidi:</w:t>
      </w:r>
      <w:r w:rsidRPr="008D5A70">
        <w:rPr>
          <w:rFonts w:cs="Arial"/>
        </w:rPr>
        <w:t xml:space="preserve"> </w:t>
      </w:r>
      <w:r>
        <w:rPr>
          <w:rFonts w:cs="Arial"/>
        </w:rPr>
        <w:t>United Kingdom ruling on Google’s liability is bad news for free speech online</w:t>
      </w:r>
      <w:r>
        <w:t xml:space="preserve">, </w:t>
      </w:r>
      <w:hyperlink r:id="rId12" w:history="1">
        <w:r w:rsidRPr="008D5A70">
          <w:rPr>
            <w:rFonts w:cs="Arial"/>
          </w:rPr>
          <w:t>http://www.article19.org/resources.php/resource/3611/en/united-kingdom:-ruling-on-google%E2%80%99s-liability-is-bad-news-for-free-speech-online</w:t>
        </w:r>
      </w:hyperlink>
      <w:r>
        <w:t xml:space="preserve"> </w:t>
      </w:r>
      <w:proofErr w:type="gramStart"/>
      <w:r>
        <w:rPr>
          <w:rFonts w:cs="Arial"/>
        </w:rPr>
        <w:t>,,</w:t>
      </w:r>
      <w:proofErr w:type="gramEnd"/>
      <w:r>
        <w:rPr>
          <w:rFonts w:cs="Arial"/>
        </w:rPr>
        <w:t xml:space="preserve"> pristupljeno 10. </w:t>
      </w:r>
      <w:proofErr w:type="gramStart"/>
      <w:r>
        <w:rPr>
          <w:rFonts w:cs="Arial"/>
        </w:rPr>
        <w:t>travnja</w:t>
      </w:r>
      <w:proofErr w:type="gramEnd"/>
      <w:r>
        <w:rPr>
          <w:rFonts w:cs="Arial"/>
        </w:rPr>
        <w:t xml:space="preserve"> 2014.</w:t>
      </w:r>
    </w:p>
  </w:footnote>
  <w:footnote w:id="96">
    <w:p w:rsidR="00761B6C" w:rsidRPr="00870891" w:rsidRDefault="00761B6C" w:rsidP="00296AAF">
      <w:pPr>
        <w:pStyle w:val="FootnoteText"/>
        <w:spacing w:line="360" w:lineRule="auto"/>
        <w:rPr>
          <w:rFonts w:cs="Arial"/>
          <w:lang w:val="hr-HR"/>
        </w:rPr>
      </w:pPr>
      <w:r w:rsidRPr="00870891">
        <w:rPr>
          <w:rFonts w:cs="Arial"/>
          <w:vertAlign w:val="superscript"/>
          <w:lang w:val="hr-HR"/>
        </w:rPr>
        <w:footnoteRef/>
      </w:r>
      <w:r w:rsidRPr="00870891">
        <w:rPr>
          <w:rFonts w:cs="Arial"/>
          <w:lang w:val="hr-HR"/>
        </w:rPr>
        <w:t xml:space="preserve"> Preuzeto s: </w:t>
      </w:r>
      <w:r>
        <w:rPr>
          <w:rFonts w:cs="Arial"/>
          <w:lang w:val="hr-HR"/>
        </w:rPr>
        <w:t>Prvi bloger u hrvatskom zatvoru</w:t>
      </w:r>
      <w:r>
        <w:t xml:space="preserve"> , </w:t>
      </w:r>
      <w:hyperlink r:id="rId13" w:history="1">
        <w:r w:rsidRPr="00870891">
          <w:rPr>
            <w:rFonts w:cs="Arial"/>
            <w:lang w:val="hr-HR"/>
          </w:rPr>
          <w:t>http://www.nacional.hr/clanak/65058/prvi-bloger-u-hrvatskom-zatvoru</w:t>
        </w:r>
      </w:hyperlink>
      <w:r w:rsidRPr="00870891">
        <w:rPr>
          <w:rFonts w:cs="Arial"/>
          <w:lang w:val="hr-HR"/>
        </w:rPr>
        <w:t xml:space="preserve">, pristupljeno 10. travnja 2014. </w:t>
      </w:r>
    </w:p>
  </w:footnote>
  <w:footnote w:id="97">
    <w:p w:rsidR="00761B6C" w:rsidRPr="007C4CE4" w:rsidRDefault="00761B6C" w:rsidP="00296AAF">
      <w:pPr>
        <w:pStyle w:val="FootnoteText"/>
        <w:spacing w:line="360" w:lineRule="auto"/>
        <w:rPr>
          <w:rFonts w:cs="Arial"/>
          <w:lang w:val="hr-HR"/>
        </w:rPr>
      </w:pPr>
      <w:r w:rsidRPr="00296AAF">
        <w:rPr>
          <w:rFonts w:cs="Arial"/>
          <w:vertAlign w:val="superscript"/>
        </w:rPr>
        <w:footnoteRef/>
      </w:r>
      <w:r w:rsidRPr="007C4CE4">
        <w:rPr>
          <w:rFonts w:cs="Arial"/>
          <w:lang w:val="hr-HR"/>
        </w:rPr>
        <w:t xml:space="preserve"> </w:t>
      </w:r>
      <w:r>
        <w:rPr>
          <w:rFonts w:cs="Arial"/>
        </w:rPr>
        <w:t>P</w:t>
      </w:r>
      <w:r w:rsidRPr="00296AAF">
        <w:rPr>
          <w:rFonts w:cs="Arial"/>
        </w:rPr>
        <w:t>rimjerice</w:t>
      </w:r>
      <w:r>
        <w:rPr>
          <w:rFonts w:cs="Arial"/>
        </w:rPr>
        <w:t>,</w:t>
      </w:r>
      <w:r w:rsidRPr="007C4CE4">
        <w:rPr>
          <w:rFonts w:cs="Arial"/>
          <w:lang w:val="hr-HR"/>
        </w:rPr>
        <w:t xml:space="preserve"> </w:t>
      </w:r>
      <w:r w:rsidRPr="00296AAF">
        <w:rPr>
          <w:rFonts w:cs="Arial"/>
        </w:rPr>
        <w:t>portal</w:t>
      </w:r>
      <w:r w:rsidRPr="007C4CE4">
        <w:rPr>
          <w:rFonts w:cs="Arial"/>
          <w:lang w:val="hr-HR"/>
        </w:rPr>
        <w:t xml:space="preserve">: </w:t>
      </w:r>
      <w:r>
        <w:rPr>
          <w:rFonts w:cs="Arial"/>
          <w:lang w:val="hr-HR"/>
        </w:rPr>
        <w:t>Vrhovni Sud srušio treću presudu</w:t>
      </w:r>
      <w:r>
        <w:t xml:space="preserve">, </w:t>
      </w:r>
      <w:hyperlink r:id="rId14" w:history="1">
        <w:r w:rsidRPr="00296AAF">
          <w:rPr>
            <w:rFonts w:cs="Arial"/>
          </w:rPr>
          <w:t>http</w:t>
        </w:r>
        <w:r w:rsidRPr="007C4CE4">
          <w:rPr>
            <w:rFonts w:cs="Arial"/>
            <w:lang w:val="hr-HR"/>
          </w:rPr>
          <w:t>://</w:t>
        </w:r>
        <w:r w:rsidRPr="00296AAF">
          <w:rPr>
            <w:rFonts w:cs="Arial"/>
          </w:rPr>
          <w:t>pollitika</w:t>
        </w:r>
        <w:r w:rsidRPr="007C4CE4">
          <w:rPr>
            <w:rFonts w:cs="Arial"/>
            <w:lang w:val="hr-HR"/>
          </w:rPr>
          <w:t>.</w:t>
        </w:r>
        <w:r w:rsidRPr="00296AAF">
          <w:rPr>
            <w:rFonts w:cs="Arial"/>
          </w:rPr>
          <w:t>com</w:t>
        </w:r>
        <w:r w:rsidRPr="007C4CE4">
          <w:rPr>
            <w:rFonts w:cs="Arial"/>
            <w:lang w:val="hr-HR"/>
          </w:rPr>
          <w:t>/</w:t>
        </w:r>
        <w:r w:rsidRPr="00296AAF">
          <w:rPr>
            <w:rFonts w:cs="Arial"/>
          </w:rPr>
          <w:t>vrhovni</w:t>
        </w:r>
        <w:r w:rsidRPr="007C4CE4">
          <w:rPr>
            <w:rFonts w:cs="Arial"/>
            <w:lang w:val="hr-HR"/>
          </w:rPr>
          <w:t>-</w:t>
        </w:r>
        <w:r w:rsidRPr="00296AAF">
          <w:rPr>
            <w:rFonts w:cs="Arial"/>
          </w:rPr>
          <w:t>sud</w:t>
        </w:r>
        <w:r w:rsidRPr="007C4CE4">
          <w:rPr>
            <w:rFonts w:cs="Arial"/>
            <w:lang w:val="hr-HR"/>
          </w:rPr>
          <w:t>-</w:t>
        </w:r>
        <w:r w:rsidRPr="00296AAF">
          <w:rPr>
            <w:rFonts w:cs="Arial"/>
          </w:rPr>
          <w:t>srusio</w:t>
        </w:r>
        <w:r w:rsidRPr="007C4CE4">
          <w:rPr>
            <w:rFonts w:cs="Arial"/>
            <w:lang w:val="hr-HR"/>
          </w:rPr>
          <w:t>-</w:t>
        </w:r>
        <w:r w:rsidRPr="00296AAF">
          <w:rPr>
            <w:rFonts w:cs="Arial"/>
          </w:rPr>
          <w:t>trecu</w:t>
        </w:r>
        <w:r w:rsidRPr="007C4CE4">
          <w:rPr>
            <w:rFonts w:cs="Arial"/>
            <w:lang w:val="hr-HR"/>
          </w:rPr>
          <w:t>-</w:t>
        </w:r>
        <w:r w:rsidRPr="00296AAF">
          <w:rPr>
            <w:rFonts w:cs="Arial"/>
          </w:rPr>
          <w:t>presudu</w:t>
        </w:r>
      </w:hyperlink>
      <w:r w:rsidRPr="007C4CE4">
        <w:rPr>
          <w:rFonts w:cs="Arial"/>
          <w:lang w:val="hr-HR"/>
        </w:rPr>
        <w:t xml:space="preserve"> </w:t>
      </w:r>
      <w:r w:rsidRPr="00296AAF">
        <w:rPr>
          <w:rFonts w:cs="Arial"/>
        </w:rPr>
        <w:t>putem</w:t>
      </w:r>
      <w:r w:rsidRPr="007C4CE4">
        <w:rPr>
          <w:rFonts w:cs="Arial"/>
          <w:lang w:val="hr-HR"/>
        </w:rPr>
        <w:t xml:space="preserve"> </w:t>
      </w:r>
      <w:r w:rsidRPr="00296AAF">
        <w:rPr>
          <w:rFonts w:cs="Arial"/>
        </w:rPr>
        <w:t>kojeg</w:t>
      </w:r>
      <w:r w:rsidRPr="007C4CE4">
        <w:rPr>
          <w:rFonts w:cs="Arial"/>
          <w:lang w:val="hr-HR"/>
        </w:rPr>
        <w:t xml:space="preserve"> </w:t>
      </w:r>
      <w:r w:rsidRPr="00296AAF">
        <w:rPr>
          <w:rFonts w:cs="Arial"/>
        </w:rPr>
        <w:t>je</w:t>
      </w:r>
      <w:r w:rsidRPr="007C4CE4">
        <w:rPr>
          <w:rFonts w:cs="Arial"/>
          <w:lang w:val="hr-HR"/>
        </w:rPr>
        <w:t xml:space="preserve"> </w:t>
      </w:r>
      <w:r>
        <w:rPr>
          <w:rFonts w:cs="Arial"/>
        </w:rPr>
        <w:t xml:space="preserve">okrivljenik </w:t>
      </w:r>
      <w:r w:rsidRPr="00296AAF">
        <w:rPr>
          <w:rFonts w:cs="Arial"/>
        </w:rPr>
        <w:t>pozivao</w:t>
      </w:r>
      <w:r w:rsidRPr="007C4CE4">
        <w:rPr>
          <w:rFonts w:cs="Arial"/>
          <w:lang w:val="hr-HR"/>
        </w:rPr>
        <w:t xml:space="preserve"> </w:t>
      </w:r>
      <w:proofErr w:type="gramStart"/>
      <w:r w:rsidRPr="00296AAF">
        <w:rPr>
          <w:rFonts w:cs="Arial"/>
        </w:rPr>
        <w:t>na</w:t>
      </w:r>
      <w:proofErr w:type="gramEnd"/>
      <w:r w:rsidRPr="007C4CE4">
        <w:rPr>
          <w:rFonts w:cs="Arial"/>
          <w:lang w:val="hr-HR"/>
        </w:rPr>
        <w:t xml:space="preserve"> </w:t>
      </w:r>
      <w:r w:rsidRPr="00296AAF">
        <w:rPr>
          <w:rFonts w:cs="Arial"/>
        </w:rPr>
        <w:t>raspravu</w:t>
      </w:r>
      <w:r w:rsidRPr="007C4CE4">
        <w:rPr>
          <w:rFonts w:cs="Arial"/>
          <w:lang w:val="hr-HR"/>
        </w:rPr>
        <w:t xml:space="preserve"> </w:t>
      </w:r>
      <w:r w:rsidRPr="00296AAF">
        <w:rPr>
          <w:rFonts w:cs="Arial"/>
        </w:rPr>
        <w:t>o</w:t>
      </w:r>
      <w:r w:rsidRPr="007C4CE4">
        <w:rPr>
          <w:rFonts w:cs="Arial"/>
          <w:lang w:val="hr-HR"/>
        </w:rPr>
        <w:t xml:space="preserve"> </w:t>
      </w:r>
      <w:r w:rsidRPr="00296AAF">
        <w:rPr>
          <w:rFonts w:cs="Arial"/>
        </w:rPr>
        <w:t>njegovim</w:t>
      </w:r>
      <w:r w:rsidRPr="007C4CE4">
        <w:rPr>
          <w:rFonts w:cs="Arial"/>
          <w:lang w:val="hr-HR"/>
        </w:rPr>
        <w:t xml:space="preserve"> </w:t>
      </w:r>
      <w:r w:rsidRPr="00296AAF">
        <w:rPr>
          <w:rFonts w:cs="Arial"/>
        </w:rPr>
        <w:t>slu</w:t>
      </w:r>
      <w:r w:rsidRPr="007C4CE4">
        <w:rPr>
          <w:rFonts w:cs="Arial"/>
          <w:lang w:val="hr-HR"/>
        </w:rPr>
        <w:t>č</w:t>
      </w:r>
      <w:r w:rsidRPr="00296AAF">
        <w:rPr>
          <w:rFonts w:cs="Arial"/>
        </w:rPr>
        <w:t>ajevima</w:t>
      </w:r>
      <w:r w:rsidRPr="007C4CE4">
        <w:rPr>
          <w:rFonts w:cs="Arial"/>
          <w:lang w:val="hr-HR"/>
        </w:rPr>
        <w:t xml:space="preserve"> </w:t>
      </w:r>
      <w:r w:rsidRPr="00296AAF">
        <w:rPr>
          <w:rFonts w:cs="Arial"/>
        </w:rPr>
        <w:t>te</w:t>
      </w:r>
      <w:r w:rsidRPr="007C4CE4">
        <w:rPr>
          <w:rFonts w:cs="Arial"/>
          <w:lang w:val="hr-HR"/>
        </w:rPr>
        <w:t xml:space="preserve"> </w:t>
      </w:r>
      <w:r w:rsidRPr="00296AAF">
        <w:rPr>
          <w:rFonts w:cs="Arial"/>
        </w:rPr>
        <w:t>i</w:t>
      </w:r>
      <w:r w:rsidRPr="007C4CE4">
        <w:rPr>
          <w:rFonts w:cs="Arial"/>
          <w:lang w:val="hr-HR"/>
        </w:rPr>
        <w:t xml:space="preserve"> </w:t>
      </w:r>
      <w:r w:rsidRPr="00296AAF">
        <w:rPr>
          <w:rFonts w:cs="Arial"/>
        </w:rPr>
        <w:t>objavljivao</w:t>
      </w:r>
      <w:r w:rsidRPr="007C4CE4">
        <w:rPr>
          <w:rFonts w:cs="Arial"/>
          <w:lang w:val="hr-HR"/>
        </w:rPr>
        <w:t xml:space="preserve"> </w:t>
      </w:r>
      <w:r w:rsidRPr="00296AAF">
        <w:rPr>
          <w:rFonts w:cs="Arial"/>
        </w:rPr>
        <w:t>pojedine</w:t>
      </w:r>
      <w:r w:rsidRPr="007C4CE4">
        <w:rPr>
          <w:rFonts w:cs="Arial"/>
          <w:lang w:val="hr-HR"/>
        </w:rPr>
        <w:t xml:space="preserve"> </w:t>
      </w:r>
      <w:r w:rsidRPr="00296AAF">
        <w:rPr>
          <w:rFonts w:cs="Arial"/>
        </w:rPr>
        <w:t>dokumente</w:t>
      </w:r>
      <w:r w:rsidRPr="007C4CE4">
        <w:rPr>
          <w:rFonts w:cs="Arial"/>
          <w:lang w:val="hr-HR"/>
        </w:rPr>
        <w:t xml:space="preserve"> </w:t>
      </w:r>
      <w:r w:rsidRPr="00296AAF">
        <w:rPr>
          <w:rFonts w:cs="Arial"/>
        </w:rPr>
        <w:t>u</w:t>
      </w:r>
      <w:r w:rsidRPr="007C4CE4">
        <w:rPr>
          <w:rFonts w:cs="Arial"/>
          <w:lang w:val="hr-HR"/>
        </w:rPr>
        <w:t xml:space="preserve"> </w:t>
      </w:r>
      <w:r w:rsidRPr="00296AAF">
        <w:rPr>
          <w:rFonts w:cs="Arial"/>
        </w:rPr>
        <w:t>tijeku</w:t>
      </w:r>
      <w:r w:rsidRPr="007C4CE4">
        <w:rPr>
          <w:rFonts w:cs="Arial"/>
          <w:lang w:val="hr-HR"/>
        </w:rPr>
        <w:t xml:space="preserve"> </w:t>
      </w:r>
      <w:r w:rsidRPr="00296AAF">
        <w:rPr>
          <w:rFonts w:cs="Arial"/>
        </w:rPr>
        <w:t>postupaka</w:t>
      </w:r>
      <w:r w:rsidRPr="007C4CE4">
        <w:rPr>
          <w:rFonts w:cs="Arial"/>
          <w:lang w:val="hr-HR"/>
        </w:rPr>
        <w:t xml:space="preserve">, </w:t>
      </w:r>
      <w:r>
        <w:rPr>
          <w:rFonts w:cs="Arial"/>
        </w:rPr>
        <w:t>pristupljeno</w:t>
      </w:r>
      <w:r w:rsidRPr="007C4CE4">
        <w:rPr>
          <w:rFonts w:cs="Arial"/>
          <w:lang w:val="hr-HR"/>
        </w:rPr>
        <w:t xml:space="preserve"> 10. </w:t>
      </w:r>
      <w:proofErr w:type="gramStart"/>
      <w:r>
        <w:rPr>
          <w:rFonts w:cs="Arial"/>
        </w:rPr>
        <w:t>travnja</w:t>
      </w:r>
      <w:proofErr w:type="gramEnd"/>
      <w:r w:rsidRPr="007C4CE4">
        <w:rPr>
          <w:rFonts w:cs="Arial"/>
          <w:lang w:val="hr-HR"/>
        </w:rPr>
        <w:t xml:space="preserve"> 2014.</w:t>
      </w:r>
    </w:p>
  </w:footnote>
  <w:footnote w:id="98">
    <w:p w:rsidR="00761B6C" w:rsidRPr="007C4CE4" w:rsidRDefault="00761B6C" w:rsidP="00296AAF">
      <w:pPr>
        <w:pStyle w:val="FootnoteText"/>
        <w:spacing w:line="360" w:lineRule="auto"/>
        <w:rPr>
          <w:rFonts w:cs="Arial"/>
          <w:lang w:val="hr-HR"/>
        </w:rPr>
      </w:pPr>
      <w:r>
        <w:rPr>
          <w:rStyle w:val="FootnoteReference"/>
        </w:rPr>
        <w:footnoteRef/>
      </w:r>
      <w:r w:rsidRPr="007C4CE4">
        <w:rPr>
          <w:lang w:val="hr-HR"/>
        </w:rPr>
        <w:t xml:space="preserve"> </w:t>
      </w:r>
      <w:r>
        <w:rPr>
          <w:rFonts w:cs="Arial"/>
        </w:rPr>
        <w:t>P</w:t>
      </w:r>
      <w:r w:rsidRPr="00296AAF">
        <w:rPr>
          <w:rFonts w:cs="Arial"/>
        </w:rPr>
        <w:t>riop</w:t>
      </w:r>
      <w:r w:rsidRPr="007C4CE4">
        <w:rPr>
          <w:rFonts w:cs="Arial"/>
          <w:lang w:val="hr-HR"/>
        </w:rPr>
        <w:t>ć</w:t>
      </w:r>
      <w:r w:rsidRPr="00296AAF">
        <w:rPr>
          <w:rFonts w:cs="Arial"/>
        </w:rPr>
        <w:t>enje</w:t>
      </w:r>
      <w:r w:rsidRPr="007C4CE4">
        <w:rPr>
          <w:rFonts w:cs="Arial"/>
          <w:lang w:val="hr-HR"/>
        </w:rPr>
        <w:t xml:space="preserve"> </w:t>
      </w:r>
      <w:r w:rsidRPr="00296AAF">
        <w:rPr>
          <w:rFonts w:cs="Arial"/>
        </w:rPr>
        <w:t>Dr</w:t>
      </w:r>
      <w:r w:rsidRPr="007C4CE4">
        <w:rPr>
          <w:rFonts w:cs="Arial"/>
          <w:lang w:val="hr-HR"/>
        </w:rPr>
        <w:t>ž</w:t>
      </w:r>
      <w:r w:rsidRPr="00296AAF">
        <w:rPr>
          <w:rFonts w:cs="Arial"/>
        </w:rPr>
        <w:t>avnog</w:t>
      </w:r>
      <w:r w:rsidRPr="007C4CE4">
        <w:rPr>
          <w:rFonts w:cs="Arial"/>
          <w:lang w:val="hr-HR"/>
        </w:rPr>
        <w:t xml:space="preserve"> </w:t>
      </w:r>
      <w:r w:rsidRPr="00296AAF">
        <w:rPr>
          <w:rFonts w:cs="Arial"/>
        </w:rPr>
        <w:t>odvjetni</w:t>
      </w:r>
      <w:r w:rsidRPr="007C4CE4">
        <w:rPr>
          <w:rFonts w:cs="Arial"/>
          <w:lang w:val="hr-HR"/>
        </w:rPr>
        <w:t>š</w:t>
      </w:r>
      <w:r w:rsidRPr="00296AAF">
        <w:rPr>
          <w:rFonts w:cs="Arial"/>
        </w:rPr>
        <w:t>tva</w:t>
      </w:r>
      <w:r w:rsidRPr="007C4CE4">
        <w:rPr>
          <w:rFonts w:cs="Arial"/>
          <w:lang w:val="hr-HR"/>
        </w:rPr>
        <w:t xml:space="preserve"> </w:t>
      </w:r>
      <w:r w:rsidRPr="00296AAF">
        <w:rPr>
          <w:rFonts w:cs="Arial"/>
        </w:rPr>
        <w:t>dostupno</w:t>
      </w:r>
      <w:r w:rsidRPr="007C4CE4">
        <w:rPr>
          <w:rFonts w:cs="Arial"/>
          <w:lang w:val="hr-HR"/>
        </w:rPr>
        <w:t xml:space="preserve"> </w:t>
      </w:r>
      <w:r w:rsidRPr="00296AAF">
        <w:rPr>
          <w:rFonts w:cs="Arial"/>
        </w:rPr>
        <w:t>je</w:t>
      </w:r>
      <w:r w:rsidRPr="007C4CE4">
        <w:rPr>
          <w:rFonts w:cs="Arial"/>
          <w:lang w:val="hr-HR"/>
        </w:rPr>
        <w:t xml:space="preserve"> </w:t>
      </w:r>
      <w:r w:rsidRPr="00296AAF">
        <w:rPr>
          <w:rFonts w:cs="Arial"/>
        </w:rPr>
        <w:t>ovdje</w:t>
      </w:r>
      <w:r w:rsidRPr="007C4CE4">
        <w:rPr>
          <w:rFonts w:cs="Arial"/>
          <w:lang w:val="hr-HR"/>
        </w:rPr>
        <w:t xml:space="preserve">: </w:t>
      </w:r>
      <w:hyperlink r:id="rId15" w:history="1">
        <w:r w:rsidRPr="00296AAF">
          <w:rPr>
            <w:rFonts w:cs="Arial"/>
          </w:rPr>
          <w:t>http</w:t>
        </w:r>
        <w:r w:rsidRPr="007C4CE4">
          <w:rPr>
            <w:rFonts w:cs="Arial"/>
            <w:lang w:val="hr-HR"/>
          </w:rPr>
          <w:t>://</w:t>
        </w:r>
        <w:r w:rsidRPr="00296AAF">
          <w:rPr>
            <w:rFonts w:cs="Arial"/>
          </w:rPr>
          <w:t>www</w:t>
        </w:r>
        <w:r w:rsidRPr="007C4CE4">
          <w:rPr>
            <w:rFonts w:cs="Arial"/>
            <w:lang w:val="hr-HR"/>
          </w:rPr>
          <w:t>.</w:t>
        </w:r>
        <w:r w:rsidRPr="00296AAF">
          <w:rPr>
            <w:rFonts w:cs="Arial"/>
          </w:rPr>
          <w:t>dorh</w:t>
        </w:r>
        <w:r w:rsidRPr="007C4CE4">
          <w:rPr>
            <w:rFonts w:cs="Arial"/>
            <w:lang w:val="hr-HR"/>
          </w:rPr>
          <w:t>.</w:t>
        </w:r>
        <w:r w:rsidRPr="00296AAF">
          <w:rPr>
            <w:rFonts w:cs="Arial"/>
          </w:rPr>
          <w:t>hr</w:t>
        </w:r>
        <w:r w:rsidRPr="007C4CE4">
          <w:rPr>
            <w:rFonts w:cs="Arial"/>
            <w:lang w:val="hr-HR"/>
          </w:rPr>
          <w:t>/</w:t>
        </w:r>
        <w:r w:rsidRPr="00296AAF">
          <w:rPr>
            <w:rFonts w:cs="Arial"/>
          </w:rPr>
          <w:t>PodnijetPrijedlogZa</w:t>
        </w:r>
      </w:hyperlink>
      <w:r w:rsidRPr="007C4CE4">
        <w:rPr>
          <w:lang w:val="hr-HR"/>
        </w:rPr>
        <w:t xml:space="preserve">, </w:t>
      </w:r>
      <w:r w:rsidRPr="00296AAF">
        <w:rPr>
          <w:rFonts w:cs="Arial"/>
        </w:rPr>
        <w:t>pristupljeno</w:t>
      </w:r>
      <w:r w:rsidRPr="007C4CE4">
        <w:rPr>
          <w:rFonts w:cs="Arial"/>
          <w:lang w:val="hr-HR"/>
        </w:rPr>
        <w:t xml:space="preserve"> 15. </w:t>
      </w:r>
      <w:proofErr w:type="gramStart"/>
      <w:r w:rsidRPr="00296AAF">
        <w:rPr>
          <w:rFonts w:cs="Arial"/>
        </w:rPr>
        <w:t>travnja</w:t>
      </w:r>
      <w:proofErr w:type="gramEnd"/>
      <w:r w:rsidRPr="007C4CE4">
        <w:rPr>
          <w:rFonts w:cs="Arial"/>
          <w:lang w:val="hr-HR"/>
        </w:rPr>
        <w:t xml:space="preserve"> 2014. </w:t>
      </w:r>
    </w:p>
  </w:footnote>
  <w:footnote w:id="99">
    <w:p w:rsidR="00761B6C" w:rsidRPr="007C4CE4" w:rsidRDefault="00761B6C" w:rsidP="00296AAF">
      <w:pPr>
        <w:pStyle w:val="FootnoteText"/>
        <w:spacing w:line="360" w:lineRule="auto"/>
        <w:rPr>
          <w:rFonts w:cs="Arial"/>
          <w:lang w:val="hr-HR"/>
        </w:rPr>
      </w:pPr>
      <w:r w:rsidRPr="00296AAF">
        <w:rPr>
          <w:rFonts w:cs="Arial"/>
          <w:vertAlign w:val="superscript"/>
        </w:rPr>
        <w:footnoteRef/>
      </w:r>
      <w:r w:rsidRPr="007C4CE4">
        <w:rPr>
          <w:rFonts w:cs="Arial"/>
          <w:lang w:val="hr-HR"/>
        </w:rPr>
        <w:t xml:space="preserve"> </w:t>
      </w:r>
      <w:proofErr w:type="gramStart"/>
      <w:r w:rsidRPr="00296AAF">
        <w:rPr>
          <w:rFonts w:cs="Arial"/>
        </w:rPr>
        <w:t>Vrhovni</w:t>
      </w:r>
      <w:r w:rsidRPr="007C4CE4">
        <w:rPr>
          <w:rFonts w:cs="Arial"/>
          <w:lang w:val="hr-HR"/>
        </w:rPr>
        <w:t xml:space="preserve"> </w:t>
      </w:r>
      <w:r w:rsidRPr="00296AAF">
        <w:rPr>
          <w:rFonts w:cs="Arial"/>
        </w:rPr>
        <w:t>sud</w:t>
      </w:r>
      <w:r w:rsidRPr="007C4CE4">
        <w:rPr>
          <w:rFonts w:cs="Arial"/>
          <w:lang w:val="hr-HR"/>
        </w:rPr>
        <w:t xml:space="preserve"> </w:t>
      </w:r>
      <w:r w:rsidRPr="00296AAF">
        <w:rPr>
          <w:rFonts w:cs="Arial"/>
        </w:rPr>
        <w:t>Republike</w:t>
      </w:r>
      <w:r w:rsidRPr="007C4CE4">
        <w:rPr>
          <w:rFonts w:cs="Arial"/>
          <w:lang w:val="hr-HR"/>
        </w:rPr>
        <w:t xml:space="preserve"> </w:t>
      </w:r>
      <w:r w:rsidRPr="00296AAF">
        <w:rPr>
          <w:rFonts w:cs="Arial"/>
        </w:rPr>
        <w:t>Hrvatske</w:t>
      </w:r>
      <w:r w:rsidRPr="007C4CE4">
        <w:rPr>
          <w:rFonts w:cs="Arial"/>
          <w:lang w:val="hr-HR"/>
        </w:rPr>
        <w:t xml:space="preserve">, </w:t>
      </w:r>
      <w:r w:rsidRPr="00296AAF">
        <w:rPr>
          <w:rFonts w:cs="Arial"/>
        </w:rPr>
        <w:t>Kzz</w:t>
      </w:r>
      <w:r w:rsidRPr="007C4CE4">
        <w:rPr>
          <w:rFonts w:cs="Arial"/>
          <w:lang w:val="hr-HR"/>
        </w:rPr>
        <w:t>-34-09-2, 27.</w:t>
      </w:r>
      <w:proofErr w:type="gramEnd"/>
      <w:r w:rsidRPr="007C4CE4">
        <w:rPr>
          <w:rFonts w:cs="Arial"/>
          <w:lang w:val="hr-HR"/>
        </w:rPr>
        <w:t xml:space="preserve"> </w:t>
      </w:r>
      <w:proofErr w:type="gramStart"/>
      <w:r w:rsidRPr="00296AAF">
        <w:rPr>
          <w:rFonts w:cs="Arial"/>
        </w:rPr>
        <w:t>listopada</w:t>
      </w:r>
      <w:proofErr w:type="gramEnd"/>
      <w:r w:rsidRPr="007C4CE4">
        <w:rPr>
          <w:rFonts w:cs="Arial"/>
          <w:lang w:val="hr-HR"/>
        </w:rPr>
        <w:t xml:space="preserve"> 2009., </w:t>
      </w:r>
      <w:r w:rsidRPr="00296AAF">
        <w:rPr>
          <w:rFonts w:cs="Arial"/>
        </w:rPr>
        <w:t>presuda</w:t>
      </w:r>
      <w:r w:rsidRPr="007C4CE4">
        <w:rPr>
          <w:rFonts w:cs="Arial"/>
          <w:lang w:val="hr-HR"/>
        </w:rPr>
        <w:t xml:space="preserve"> </w:t>
      </w:r>
      <w:r w:rsidRPr="00296AAF">
        <w:rPr>
          <w:rFonts w:cs="Arial"/>
        </w:rPr>
        <w:t>dostupna</w:t>
      </w:r>
      <w:r w:rsidRPr="007C4CE4">
        <w:rPr>
          <w:rFonts w:cs="Arial"/>
          <w:lang w:val="hr-HR"/>
        </w:rPr>
        <w:t xml:space="preserve"> </w:t>
      </w:r>
      <w:r w:rsidRPr="00296AAF">
        <w:rPr>
          <w:rFonts w:cs="Arial"/>
        </w:rPr>
        <w:t>na</w:t>
      </w:r>
      <w:r w:rsidRPr="007C4CE4">
        <w:rPr>
          <w:rFonts w:cs="Arial"/>
          <w:lang w:val="hr-HR"/>
        </w:rPr>
        <w:t xml:space="preserve">: </w:t>
      </w:r>
      <w:hyperlink r:id="rId16" w:history="1">
        <w:r w:rsidRPr="00296AAF">
          <w:rPr>
            <w:rFonts w:cs="Arial"/>
          </w:rPr>
          <w:t>http</w:t>
        </w:r>
        <w:r w:rsidRPr="007C4CE4">
          <w:rPr>
            <w:rFonts w:cs="Arial"/>
            <w:lang w:val="hr-HR"/>
          </w:rPr>
          <w:t>://</w:t>
        </w:r>
        <w:r w:rsidRPr="00296AAF">
          <w:rPr>
            <w:rFonts w:cs="Arial"/>
          </w:rPr>
          <w:t>www</w:t>
        </w:r>
        <w:r w:rsidRPr="007C4CE4">
          <w:rPr>
            <w:rFonts w:cs="Arial"/>
            <w:lang w:val="hr-HR"/>
          </w:rPr>
          <w:t>.</w:t>
        </w:r>
        <w:r w:rsidRPr="00296AAF">
          <w:rPr>
            <w:rFonts w:cs="Arial"/>
          </w:rPr>
          <w:t>vsrh</w:t>
        </w:r>
        <w:r w:rsidRPr="007C4CE4">
          <w:rPr>
            <w:rFonts w:cs="Arial"/>
            <w:lang w:val="hr-HR"/>
          </w:rPr>
          <w:t>.</w:t>
        </w:r>
        <w:r w:rsidRPr="00296AAF">
          <w:rPr>
            <w:rFonts w:cs="Arial"/>
          </w:rPr>
          <w:t>hr</w:t>
        </w:r>
        <w:r w:rsidRPr="007C4CE4">
          <w:rPr>
            <w:rFonts w:cs="Arial"/>
            <w:lang w:val="hr-HR"/>
          </w:rPr>
          <w:t>/</w:t>
        </w:r>
        <w:r w:rsidRPr="00296AAF">
          <w:rPr>
            <w:rFonts w:cs="Arial"/>
          </w:rPr>
          <w:t>CustomPages</w:t>
        </w:r>
        <w:r w:rsidRPr="007C4CE4">
          <w:rPr>
            <w:rFonts w:cs="Arial"/>
            <w:lang w:val="hr-HR"/>
          </w:rPr>
          <w:t>/</w:t>
        </w:r>
        <w:r w:rsidRPr="00296AAF">
          <w:rPr>
            <w:rFonts w:cs="Arial"/>
          </w:rPr>
          <w:t>Static</w:t>
        </w:r>
        <w:r w:rsidRPr="007C4CE4">
          <w:rPr>
            <w:rFonts w:cs="Arial"/>
            <w:lang w:val="hr-HR"/>
          </w:rPr>
          <w:t>/</w:t>
        </w:r>
        <w:r w:rsidRPr="00296AAF">
          <w:rPr>
            <w:rFonts w:cs="Arial"/>
          </w:rPr>
          <w:t>HRV</w:t>
        </w:r>
        <w:r w:rsidRPr="007C4CE4">
          <w:rPr>
            <w:rFonts w:cs="Arial"/>
            <w:lang w:val="hr-HR"/>
          </w:rPr>
          <w:t>/</w:t>
        </w:r>
        <w:r w:rsidRPr="00296AAF">
          <w:rPr>
            <w:rFonts w:cs="Arial"/>
          </w:rPr>
          <w:t>Files</w:t>
        </w:r>
        <w:r w:rsidRPr="007C4CE4">
          <w:rPr>
            <w:rFonts w:cs="Arial"/>
            <w:lang w:val="hr-HR"/>
          </w:rPr>
          <w:t>/</w:t>
        </w:r>
        <w:r w:rsidRPr="00296AAF">
          <w:rPr>
            <w:rFonts w:cs="Arial"/>
          </w:rPr>
          <w:t>VSRH</w:t>
        </w:r>
        <w:r w:rsidRPr="007C4CE4">
          <w:rPr>
            <w:rFonts w:cs="Arial"/>
            <w:lang w:val="hr-HR"/>
          </w:rPr>
          <w:t>_</w:t>
        </w:r>
        <w:r w:rsidRPr="00296AAF">
          <w:rPr>
            <w:rFonts w:cs="Arial"/>
          </w:rPr>
          <w:t>Kzz</w:t>
        </w:r>
        <w:r w:rsidRPr="007C4CE4">
          <w:rPr>
            <w:rFonts w:cs="Arial"/>
            <w:lang w:val="hr-HR"/>
          </w:rPr>
          <w:t>-34-09-2.</w:t>
        </w:r>
        <w:r w:rsidRPr="00296AAF">
          <w:rPr>
            <w:rFonts w:cs="Arial"/>
          </w:rPr>
          <w:t>pdf</w:t>
        </w:r>
      </w:hyperlink>
      <w:r w:rsidRPr="007C4CE4">
        <w:rPr>
          <w:rFonts w:cs="Arial"/>
          <w:lang w:val="hr-HR"/>
        </w:rPr>
        <w:t xml:space="preserve">, </w:t>
      </w:r>
      <w:r>
        <w:rPr>
          <w:rFonts w:cs="Arial"/>
        </w:rPr>
        <w:t>pristupljeno</w:t>
      </w:r>
      <w:r w:rsidRPr="007C4CE4">
        <w:rPr>
          <w:rFonts w:cs="Arial"/>
          <w:lang w:val="hr-HR"/>
        </w:rPr>
        <w:t xml:space="preserve"> 15. </w:t>
      </w:r>
      <w:proofErr w:type="gramStart"/>
      <w:r>
        <w:rPr>
          <w:rFonts w:cs="Arial"/>
        </w:rPr>
        <w:t>travnja</w:t>
      </w:r>
      <w:proofErr w:type="gramEnd"/>
      <w:r w:rsidRPr="007C4CE4">
        <w:rPr>
          <w:rFonts w:cs="Arial"/>
          <w:lang w:val="hr-HR"/>
        </w:rPr>
        <w:t xml:space="preserve"> 2014. </w:t>
      </w:r>
    </w:p>
  </w:footnote>
  <w:footnote w:id="100">
    <w:p w:rsidR="00761B6C" w:rsidRPr="00296AAF" w:rsidRDefault="00761B6C" w:rsidP="00296AAF">
      <w:pPr>
        <w:pStyle w:val="FootnoteText"/>
        <w:spacing w:line="360" w:lineRule="auto"/>
        <w:rPr>
          <w:rFonts w:cs="Arial"/>
        </w:rPr>
      </w:pPr>
      <w:r w:rsidRPr="00296AAF">
        <w:rPr>
          <w:rFonts w:cs="Arial"/>
          <w:vertAlign w:val="superscript"/>
        </w:rPr>
        <w:footnoteRef/>
      </w:r>
      <w:r w:rsidRPr="00296AAF">
        <w:rPr>
          <w:rFonts w:cs="Arial"/>
        </w:rPr>
        <w:t xml:space="preserve"> </w:t>
      </w:r>
      <w:proofErr w:type="gramStart"/>
      <w:r w:rsidRPr="00296AAF">
        <w:rPr>
          <w:rFonts w:cs="Arial"/>
        </w:rPr>
        <w:t>Zakon o obveznim odnosima (Narodne Novine, 35/05, 41/08, 125/11)</w:t>
      </w:r>
      <w:r>
        <w:rPr>
          <w:rFonts w:cs="Arial"/>
        </w:rPr>
        <w:t>, dalje u tekstu ZOO.</w:t>
      </w:r>
      <w:proofErr w:type="gramEnd"/>
    </w:p>
  </w:footnote>
  <w:footnote w:id="101">
    <w:p w:rsidR="00761B6C" w:rsidRDefault="00761B6C" w:rsidP="00296AAF">
      <w:pPr>
        <w:pStyle w:val="FootnoteText"/>
        <w:spacing w:line="360" w:lineRule="auto"/>
      </w:pPr>
      <w:r w:rsidRPr="00296AAF">
        <w:rPr>
          <w:rFonts w:cs="Arial"/>
          <w:vertAlign w:val="superscript"/>
        </w:rPr>
        <w:footnoteRef/>
      </w:r>
      <w:r w:rsidRPr="00296AAF">
        <w:rPr>
          <w:rFonts w:cs="Arial"/>
        </w:rPr>
        <w:t xml:space="preserve"> </w:t>
      </w:r>
      <w:r>
        <w:rPr>
          <w:rFonts w:cs="Arial"/>
        </w:rPr>
        <w:t>D</w:t>
      </w:r>
      <w:r w:rsidRPr="00296AAF">
        <w:rPr>
          <w:rFonts w:cs="Arial"/>
        </w:rPr>
        <w:t xml:space="preserve">efinicija poizvođača dana je u: </w:t>
      </w:r>
      <w:r w:rsidRPr="00296AAF">
        <w:rPr>
          <w:rFonts w:cs="Arial"/>
          <w:i/>
        </w:rPr>
        <w:t>ibid.</w:t>
      </w:r>
      <w:proofErr w:type="gramStart"/>
      <w:r>
        <w:rPr>
          <w:rFonts w:cs="Arial"/>
        </w:rPr>
        <w:t>,</w:t>
      </w:r>
      <w:r w:rsidRPr="00296AAF">
        <w:rPr>
          <w:rFonts w:cs="Arial"/>
        </w:rPr>
        <w:t>čl</w:t>
      </w:r>
      <w:proofErr w:type="gramEnd"/>
      <w:r w:rsidRPr="00296AAF">
        <w:rPr>
          <w:rFonts w:cs="Arial"/>
        </w:rPr>
        <w:t>. 1076. st. 1.</w:t>
      </w:r>
    </w:p>
  </w:footnote>
  <w:footnote w:id="102">
    <w:p w:rsidR="00761B6C" w:rsidRPr="00057189" w:rsidRDefault="00761B6C" w:rsidP="002969D5">
      <w:pPr>
        <w:pStyle w:val="FootnoteText"/>
        <w:spacing w:line="360" w:lineRule="auto"/>
        <w:rPr>
          <w:rFonts w:cs="Arial"/>
          <w:lang w:val="fr-FR"/>
        </w:rPr>
      </w:pPr>
      <w:r>
        <w:rPr>
          <w:rStyle w:val="FootnoteReference"/>
        </w:rPr>
        <w:footnoteRef/>
      </w:r>
      <w:r w:rsidRPr="00057189">
        <w:rPr>
          <w:rFonts w:cs="Arial"/>
          <w:lang w:val="fr-FR"/>
        </w:rPr>
        <w:t xml:space="preserve"> Raniji</w:t>
      </w:r>
      <w:r w:rsidRPr="00057189">
        <w:rPr>
          <w:lang w:val="fr-FR"/>
        </w:rPr>
        <w:t xml:space="preserve"> </w:t>
      </w:r>
      <w:r w:rsidRPr="00057189">
        <w:rPr>
          <w:rFonts w:cs="Arial"/>
          <w:lang w:val="fr-FR"/>
        </w:rPr>
        <w:t>Kazneni zakon (Narodne novine 110/1997,  27/98, 50/00, 129/99, 51/01/111/03, 190/03, 105/05, 84/05, 71/06, 110/07, 152/08, 57/11, 143/12)</w:t>
      </w:r>
      <w:r>
        <w:rPr>
          <w:rFonts w:cs="Arial"/>
          <w:lang w:val="fr-FR"/>
        </w:rPr>
        <w:t>.</w:t>
      </w:r>
    </w:p>
  </w:footnote>
  <w:footnote w:id="103">
    <w:p w:rsidR="00761B6C" w:rsidRPr="00D6416E" w:rsidRDefault="00761B6C" w:rsidP="00451607">
      <w:pPr>
        <w:spacing w:line="360" w:lineRule="auto"/>
        <w:jc w:val="both"/>
        <w:rPr>
          <w:rFonts w:cs="Arial"/>
          <w:sz w:val="20"/>
          <w:szCs w:val="20"/>
          <w:lang w:val="fr-FR"/>
        </w:rPr>
      </w:pPr>
      <w:r w:rsidRPr="00E355BF">
        <w:rPr>
          <w:rStyle w:val="FootnoteReference"/>
        </w:rPr>
        <w:footnoteRef/>
      </w:r>
      <w:r w:rsidRPr="00D6416E">
        <w:rPr>
          <w:lang w:val="fr-FR"/>
        </w:rPr>
        <w:t xml:space="preserve"> </w:t>
      </w:r>
      <w:r w:rsidRPr="00D6416E">
        <w:rPr>
          <w:sz w:val="20"/>
          <w:lang w:val="fr-FR"/>
        </w:rPr>
        <w:t xml:space="preserve">Turković, Ksenija; Novoselec, Petar; Grozdanić, Velinka; Kurtović, Anita et. </w:t>
      </w:r>
      <w:proofErr w:type="gramStart"/>
      <w:r>
        <w:rPr>
          <w:sz w:val="20"/>
          <w:lang w:val="fr-FR"/>
        </w:rPr>
        <w:t>a</w:t>
      </w:r>
      <w:r w:rsidRPr="00D6416E">
        <w:rPr>
          <w:sz w:val="20"/>
          <w:lang w:val="fr-FR"/>
        </w:rPr>
        <w:t>l.;</w:t>
      </w:r>
      <w:proofErr w:type="gramEnd"/>
      <w:r w:rsidRPr="00D6416E">
        <w:rPr>
          <w:sz w:val="20"/>
          <w:lang w:val="fr-FR"/>
        </w:rPr>
        <w:t xml:space="preserve"> Komentar Kaznenog zakona, Zagreb, 2013., str. 400. </w:t>
      </w:r>
    </w:p>
  </w:footnote>
  <w:footnote w:id="104">
    <w:p w:rsidR="00761B6C" w:rsidRPr="00CF5AC4" w:rsidRDefault="00761B6C" w:rsidP="00451607">
      <w:pPr>
        <w:pStyle w:val="FootnoteText"/>
        <w:spacing w:line="360" w:lineRule="auto"/>
        <w:rPr>
          <w:rFonts w:cs="Arial"/>
          <w:lang w:val="hr-HR"/>
        </w:rPr>
      </w:pPr>
      <w:r>
        <w:rPr>
          <w:rStyle w:val="FootnoteReference"/>
        </w:rPr>
        <w:footnoteRef/>
      </w:r>
      <w:r w:rsidRPr="00D6416E">
        <w:rPr>
          <w:lang w:val="fr-FR"/>
        </w:rPr>
        <w:t xml:space="preserve"> </w:t>
      </w:r>
      <w:r>
        <w:rPr>
          <w:lang w:val="fr-FR"/>
        </w:rPr>
        <w:t xml:space="preserve">Čižmek, Željko ; </w:t>
      </w:r>
      <w:r w:rsidRPr="00D6416E">
        <w:rPr>
          <w:lang w:val="fr-FR"/>
        </w:rPr>
        <w:t xml:space="preserve">Poticanje na diskriminaciju, </w:t>
      </w:r>
      <w:r w:rsidRPr="002A744E">
        <w:rPr>
          <w:lang w:val="fr-FR"/>
        </w:rPr>
        <w:t>http://www.iusinfo.hr/DailyContent/Topical.aspx?id=15900</w:t>
      </w:r>
      <w:r w:rsidRPr="00D6416E">
        <w:rPr>
          <w:lang w:val="fr-FR"/>
        </w:rPr>
        <w:t>, pristupljeno 10.</w:t>
      </w:r>
      <w:r>
        <w:rPr>
          <w:lang w:val="fr-FR"/>
        </w:rPr>
        <w:t xml:space="preserve"> </w:t>
      </w:r>
      <w:proofErr w:type="gramStart"/>
      <w:r>
        <w:rPr>
          <w:lang w:val="fr-FR"/>
        </w:rPr>
        <w:t>travnja</w:t>
      </w:r>
      <w:proofErr w:type="gramEnd"/>
      <w:r>
        <w:rPr>
          <w:lang w:val="fr-FR"/>
        </w:rPr>
        <w:t xml:space="preserve"> </w:t>
      </w:r>
      <w:r w:rsidRPr="00D6416E">
        <w:rPr>
          <w:lang w:val="fr-FR"/>
        </w:rPr>
        <w:t>2014.</w:t>
      </w:r>
    </w:p>
  </w:footnote>
  <w:footnote w:id="105">
    <w:p w:rsidR="00761B6C" w:rsidRPr="008C7CCE" w:rsidRDefault="00761B6C" w:rsidP="00451607">
      <w:pPr>
        <w:pStyle w:val="FootnoteText"/>
        <w:spacing w:line="360" w:lineRule="auto"/>
        <w:rPr>
          <w:lang w:val="hr-HR"/>
        </w:rPr>
      </w:pPr>
      <w:r>
        <w:rPr>
          <w:rStyle w:val="FootnoteReference"/>
        </w:rPr>
        <w:footnoteRef/>
      </w:r>
      <w:r w:rsidRPr="0066355E">
        <w:rPr>
          <w:lang w:val="hr-HR"/>
        </w:rPr>
        <w:t xml:space="preserve"> </w:t>
      </w:r>
      <w:r>
        <w:rPr>
          <w:lang w:val="hr-HR"/>
        </w:rPr>
        <w:t>Izvješće pučke pravobraniteljice za 2013. godinu (</w:t>
      </w:r>
      <w:r w:rsidRPr="002A744E">
        <w:rPr>
          <w:i/>
          <w:lang w:val="hr-HR"/>
        </w:rPr>
        <w:t>op.cit.</w:t>
      </w:r>
      <w:r>
        <w:rPr>
          <w:lang w:val="hr-HR"/>
        </w:rPr>
        <w:t xml:space="preserve"> (br. 6), str. 117.-123.</w:t>
      </w:r>
    </w:p>
  </w:footnote>
  <w:footnote w:id="106">
    <w:p w:rsidR="00761B6C" w:rsidRPr="0089317A" w:rsidRDefault="00761B6C" w:rsidP="00EE7791">
      <w:pPr>
        <w:pStyle w:val="FootnoteText"/>
        <w:spacing w:line="360" w:lineRule="auto"/>
        <w:rPr>
          <w:lang w:val="hr-HR"/>
        </w:rPr>
      </w:pPr>
      <w:r>
        <w:rPr>
          <w:rStyle w:val="FootnoteReference"/>
        </w:rPr>
        <w:footnoteRef/>
      </w:r>
      <w:r w:rsidRPr="007316F1">
        <w:rPr>
          <w:lang w:val="hr-HR"/>
        </w:rPr>
        <w:t xml:space="preserve"> </w:t>
      </w:r>
      <w:r>
        <w:t>Odluka</w:t>
      </w:r>
      <w:r w:rsidRPr="007316F1">
        <w:rPr>
          <w:lang w:val="hr-HR"/>
        </w:rPr>
        <w:t xml:space="preserve"> </w:t>
      </w:r>
      <w:r>
        <w:t>o</w:t>
      </w:r>
      <w:r w:rsidRPr="007316F1">
        <w:rPr>
          <w:lang w:val="hr-HR"/>
        </w:rPr>
        <w:t xml:space="preserve"> </w:t>
      </w:r>
      <w:r>
        <w:t>nedopu</w:t>
      </w:r>
      <w:r w:rsidRPr="007316F1">
        <w:rPr>
          <w:lang w:val="hr-HR"/>
        </w:rPr>
        <w:t>š</w:t>
      </w:r>
      <w:r>
        <w:t>tenosti</w:t>
      </w:r>
      <w:r w:rsidRPr="007316F1">
        <w:rPr>
          <w:lang w:val="hr-HR"/>
        </w:rPr>
        <w:t xml:space="preserve"> </w:t>
      </w:r>
      <w:r w:rsidRPr="0089317A">
        <w:rPr>
          <w:i/>
          <w:lang w:val="hr-HR"/>
        </w:rPr>
        <w:t>Rujak protiv Hrvatske</w:t>
      </w:r>
      <w:r>
        <w:rPr>
          <w:lang w:val="hr-HR"/>
        </w:rPr>
        <w:t xml:space="preserve">, zahtjev </w:t>
      </w:r>
      <w:r>
        <w:t xml:space="preserve">broj </w:t>
      </w:r>
      <w:r w:rsidRPr="00EE7791">
        <w:t xml:space="preserve">57942/10, odluka </w:t>
      </w:r>
      <w:proofErr w:type="gramStart"/>
      <w:r w:rsidRPr="00EE7791">
        <w:t>od</w:t>
      </w:r>
      <w:proofErr w:type="gramEnd"/>
      <w:r w:rsidRPr="00EE7791">
        <w:t xml:space="preserve"> 2. listopada 2012.</w:t>
      </w:r>
    </w:p>
  </w:footnote>
  <w:footnote w:id="107">
    <w:p w:rsidR="00761B6C" w:rsidRPr="00B10B25" w:rsidRDefault="00761B6C" w:rsidP="00B10B25">
      <w:pPr>
        <w:pStyle w:val="FootnoteText"/>
        <w:spacing w:line="360" w:lineRule="auto"/>
        <w:rPr>
          <w:lang w:val="hr-HR"/>
        </w:rPr>
      </w:pPr>
      <w:r w:rsidRPr="00B10B25">
        <w:rPr>
          <w:rStyle w:val="FootnoteReference"/>
          <w:lang w:val="hr-HR"/>
        </w:rPr>
        <w:footnoteRef/>
      </w:r>
      <w:r w:rsidRPr="00B10B25">
        <w:rPr>
          <w:lang w:val="hr-HR"/>
        </w:rPr>
        <w:t xml:space="preserve"> Županijski sud u Varaždinu, Gž-3123/11-2, 25. listopada 2011.</w:t>
      </w:r>
    </w:p>
  </w:footnote>
  <w:footnote w:id="108">
    <w:p w:rsidR="00761B6C" w:rsidRPr="00110528" w:rsidRDefault="00761B6C" w:rsidP="00512EE7">
      <w:pPr>
        <w:pStyle w:val="FootnoteText"/>
        <w:spacing w:line="360" w:lineRule="auto"/>
        <w:jc w:val="both"/>
        <w:rPr>
          <w:lang w:val="hr-HR"/>
        </w:rPr>
      </w:pPr>
      <w:r w:rsidRPr="00B10B25">
        <w:rPr>
          <w:rStyle w:val="FootnoteReference"/>
          <w:lang w:val="hr-HR"/>
        </w:rPr>
        <w:footnoteRef/>
      </w:r>
      <w:r w:rsidRPr="0066355E">
        <w:rPr>
          <w:lang w:val="hr-HR"/>
        </w:rPr>
        <w:t xml:space="preserve"> </w:t>
      </w:r>
      <w:r>
        <w:rPr>
          <w:lang w:val="hr-HR"/>
        </w:rPr>
        <w:t xml:space="preserve">Valja imati u vidu kako se „medijima“ u smislu toga zakona, prema čl. 2., smatraju: </w:t>
      </w:r>
      <w:r w:rsidRPr="00B10B25">
        <w:rPr>
          <w:lang w:val="hr-HR"/>
        </w:rPr>
        <w:t>novine</w:t>
      </w:r>
      <w:r w:rsidRPr="0066355E">
        <w:rPr>
          <w:lang w:val="hr-HR"/>
        </w:rPr>
        <w:t xml:space="preserve"> </w:t>
      </w:r>
      <w:r w:rsidRPr="00B10B25">
        <w:rPr>
          <w:lang w:val="hr-HR"/>
        </w:rPr>
        <w:t>i</w:t>
      </w:r>
      <w:r w:rsidRPr="0066355E">
        <w:rPr>
          <w:lang w:val="hr-HR"/>
        </w:rPr>
        <w:t xml:space="preserve"> </w:t>
      </w:r>
      <w:r w:rsidRPr="00B10B25">
        <w:rPr>
          <w:lang w:val="hr-HR"/>
        </w:rPr>
        <w:t>drugi</w:t>
      </w:r>
      <w:r w:rsidRPr="0066355E">
        <w:rPr>
          <w:lang w:val="hr-HR"/>
        </w:rPr>
        <w:t xml:space="preserve"> </w:t>
      </w:r>
      <w:r w:rsidRPr="00B10B25">
        <w:rPr>
          <w:lang w:val="hr-HR"/>
        </w:rPr>
        <w:t>tisak</w:t>
      </w:r>
      <w:r w:rsidRPr="0066355E">
        <w:rPr>
          <w:lang w:val="hr-HR"/>
        </w:rPr>
        <w:t xml:space="preserve">, </w:t>
      </w:r>
      <w:r w:rsidRPr="00B10B25">
        <w:rPr>
          <w:lang w:val="hr-HR"/>
        </w:rPr>
        <w:t>radijski</w:t>
      </w:r>
      <w:r w:rsidRPr="0066355E">
        <w:rPr>
          <w:lang w:val="hr-HR"/>
        </w:rPr>
        <w:t xml:space="preserve"> </w:t>
      </w:r>
      <w:r w:rsidRPr="00B10B25">
        <w:rPr>
          <w:lang w:val="hr-HR"/>
        </w:rPr>
        <w:t>i</w:t>
      </w:r>
      <w:r w:rsidRPr="0066355E">
        <w:rPr>
          <w:lang w:val="hr-HR"/>
        </w:rPr>
        <w:t xml:space="preserve"> </w:t>
      </w:r>
      <w:r w:rsidRPr="00B10B25">
        <w:rPr>
          <w:lang w:val="hr-HR"/>
        </w:rPr>
        <w:t>televizijski</w:t>
      </w:r>
      <w:r w:rsidRPr="0066355E">
        <w:rPr>
          <w:lang w:val="hr-HR"/>
        </w:rPr>
        <w:t xml:space="preserve"> </w:t>
      </w:r>
      <w:r w:rsidRPr="00B10B25">
        <w:rPr>
          <w:lang w:val="hr-HR"/>
        </w:rPr>
        <w:t>programi</w:t>
      </w:r>
      <w:r w:rsidRPr="0066355E">
        <w:rPr>
          <w:lang w:val="hr-HR"/>
        </w:rPr>
        <w:t xml:space="preserve">, </w:t>
      </w:r>
      <w:r w:rsidRPr="00B10B25">
        <w:rPr>
          <w:lang w:val="hr-HR"/>
        </w:rPr>
        <w:t>programi</w:t>
      </w:r>
      <w:r w:rsidRPr="0066355E">
        <w:rPr>
          <w:lang w:val="hr-HR"/>
        </w:rPr>
        <w:t xml:space="preserve"> </w:t>
      </w:r>
      <w:r w:rsidRPr="00B10B25">
        <w:rPr>
          <w:lang w:val="hr-HR"/>
        </w:rPr>
        <w:t>novinskih</w:t>
      </w:r>
      <w:r w:rsidRPr="0066355E">
        <w:rPr>
          <w:lang w:val="hr-HR"/>
        </w:rPr>
        <w:t xml:space="preserve"> </w:t>
      </w:r>
      <w:r w:rsidRPr="00B10B25">
        <w:rPr>
          <w:lang w:val="hr-HR"/>
        </w:rPr>
        <w:t>agencija</w:t>
      </w:r>
      <w:r w:rsidRPr="0066355E">
        <w:rPr>
          <w:lang w:val="hr-HR"/>
        </w:rPr>
        <w:t xml:space="preserve">, </w:t>
      </w:r>
      <w:r w:rsidRPr="00B10B25">
        <w:rPr>
          <w:lang w:val="hr-HR"/>
        </w:rPr>
        <w:t>elektroni</w:t>
      </w:r>
      <w:r w:rsidRPr="0066355E">
        <w:rPr>
          <w:lang w:val="hr-HR"/>
        </w:rPr>
        <w:t>č</w:t>
      </w:r>
      <w:r w:rsidRPr="00B10B25">
        <w:rPr>
          <w:lang w:val="hr-HR"/>
        </w:rPr>
        <w:t>ke</w:t>
      </w:r>
      <w:r w:rsidRPr="0066355E">
        <w:rPr>
          <w:lang w:val="hr-HR"/>
        </w:rPr>
        <w:t xml:space="preserve"> </w:t>
      </w:r>
      <w:r w:rsidRPr="00B10B25">
        <w:rPr>
          <w:lang w:val="hr-HR"/>
        </w:rPr>
        <w:t>publikacije</w:t>
      </w:r>
      <w:r w:rsidRPr="0066355E">
        <w:rPr>
          <w:lang w:val="hr-HR"/>
        </w:rPr>
        <w:t xml:space="preserve">, </w:t>
      </w:r>
      <w:r w:rsidRPr="00B10B25">
        <w:rPr>
          <w:lang w:val="hr-HR"/>
        </w:rPr>
        <w:t>teletekst</w:t>
      </w:r>
      <w:r w:rsidRPr="0066355E">
        <w:rPr>
          <w:lang w:val="hr-HR"/>
        </w:rPr>
        <w:t xml:space="preserve"> </w:t>
      </w:r>
      <w:r w:rsidRPr="00B10B25">
        <w:rPr>
          <w:lang w:val="hr-HR"/>
        </w:rPr>
        <w:t>i</w:t>
      </w:r>
      <w:r w:rsidRPr="0066355E">
        <w:rPr>
          <w:lang w:val="hr-HR"/>
        </w:rPr>
        <w:t xml:space="preserve"> </w:t>
      </w:r>
      <w:r w:rsidRPr="00B10B25">
        <w:rPr>
          <w:lang w:val="hr-HR"/>
        </w:rPr>
        <w:t>ostali</w:t>
      </w:r>
      <w:r w:rsidRPr="0066355E">
        <w:rPr>
          <w:lang w:val="hr-HR"/>
        </w:rPr>
        <w:t xml:space="preserve"> </w:t>
      </w:r>
      <w:r w:rsidRPr="00B10B25">
        <w:rPr>
          <w:lang w:val="hr-HR"/>
        </w:rPr>
        <w:t>oblici</w:t>
      </w:r>
      <w:r w:rsidRPr="0066355E">
        <w:rPr>
          <w:lang w:val="hr-HR"/>
        </w:rPr>
        <w:t xml:space="preserve"> </w:t>
      </w:r>
      <w:r w:rsidRPr="00B10B25">
        <w:rPr>
          <w:lang w:val="hr-HR"/>
        </w:rPr>
        <w:t>dnevnog</w:t>
      </w:r>
      <w:r w:rsidRPr="0066355E">
        <w:rPr>
          <w:lang w:val="hr-HR"/>
        </w:rPr>
        <w:t xml:space="preserve"> </w:t>
      </w:r>
      <w:r w:rsidRPr="00110528">
        <w:t>ili</w:t>
      </w:r>
      <w:r w:rsidRPr="0066355E">
        <w:rPr>
          <w:lang w:val="hr-HR"/>
        </w:rPr>
        <w:t xml:space="preserve"> </w:t>
      </w:r>
      <w:r w:rsidRPr="00110528">
        <w:t>periodi</w:t>
      </w:r>
      <w:r w:rsidRPr="0066355E">
        <w:rPr>
          <w:lang w:val="hr-HR"/>
        </w:rPr>
        <w:t>č</w:t>
      </w:r>
      <w:r w:rsidRPr="00110528">
        <w:t>nog</w:t>
      </w:r>
      <w:r w:rsidRPr="0066355E">
        <w:rPr>
          <w:lang w:val="hr-HR"/>
        </w:rPr>
        <w:t xml:space="preserve"> </w:t>
      </w:r>
      <w:r w:rsidRPr="00110528">
        <w:t>objavljivanja</w:t>
      </w:r>
      <w:r w:rsidRPr="0066355E">
        <w:rPr>
          <w:lang w:val="hr-HR"/>
        </w:rPr>
        <w:t xml:space="preserve"> </w:t>
      </w:r>
      <w:r w:rsidRPr="00110528">
        <w:t>ured</w:t>
      </w:r>
      <w:r w:rsidRPr="0066355E">
        <w:rPr>
          <w:lang w:val="hr-HR"/>
        </w:rPr>
        <w:softHyphen/>
      </w:r>
      <w:r w:rsidRPr="00110528">
        <w:t>ni</w:t>
      </w:r>
      <w:r w:rsidRPr="0066355E">
        <w:rPr>
          <w:lang w:val="hr-HR"/>
        </w:rPr>
        <w:t>č</w:t>
      </w:r>
      <w:r w:rsidRPr="00110528">
        <w:t>ki</w:t>
      </w:r>
      <w:r w:rsidRPr="0066355E">
        <w:rPr>
          <w:lang w:val="hr-HR"/>
        </w:rPr>
        <w:t xml:space="preserve"> </w:t>
      </w:r>
      <w:r w:rsidRPr="00110528">
        <w:t>o</w:t>
      </w:r>
      <w:r>
        <w:t>blikovanih</w:t>
      </w:r>
      <w:r w:rsidRPr="0066355E">
        <w:rPr>
          <w:lang w:val="hr-HR"/>
        </w:rPr>
        <w:t xml:space="preserve"> </w:t>
      </w:r>
      <w:r>
        <w:t>programskih</w:t>
      </w:r>
      <w:r w:rsidRPr="0066355E">
        <w:rPr>
          <w:lang w:val="hr-HR"/>
        </w:rPr>
        <w:t xml:space="preserve"> </w:t>
      </w:r>
      <w:r>
        <w:t>sadr</w:t>
      </w:r>
      <w:r w:rsidRPr="0066355E">
        <w:rPr>
          <w:lang w:val="hr-HR"/>
        </w:rPr>
        <w:t>ž</w:t>
      </w:r>
      <w:r>
        <w:t>aja</w:t>
      </w:r>
      <w:r w:rsidRPr="0066355E">
        <w:rPr>
          <w:lang w:val="hr-HR"/>
        </w:rPr>
        <w:t xml:space="preserve"> </w:t>
      </w:r>
      <w:r w:rsidRPr="00110528">
        <w:t>prijenosom</w:t>
      </w:r>
      <w:r w:rsidRPr="0066355E">
        <w:rPr>
          <w:lang w:val="hr-HR"/>
        </w:rPr>
        <w:t xml:space="preserve"> </w:t>
      </w:r>
      <w:r w:rsidRPr="00110528">
        <w:t>zapisa</w:t>
      </w:r>
      <w:r w:rsidRPr="0066355E">
        <w:rPr>
          <w:lang w:val="hr-HR"/>
        </w:rPr>
        <w:t xml:space="preserve">, </w:t>
      </w:r>
      <w:r w:rsidRPr="00110528">
        <w:t>glasa</w:t>
      </w:r>
      <w:r w:rsidRPr="0066355E">
        <w:rPr>
          <w:lang w:val="hr-HR"/>
        </w:rPr>
        <w:t xml:space="preserve">, </w:t>
      </w:r>
      <w:r w:rsidRPr="00110528">
        <w:t>zvuka</w:t>
      </w:r>
      <w:r w:rsidRPr="0066355E">
        <w:rPr>
          <w:lang w:val="hr-HR"/>
        </w:rPr>
        <w:t xml:space="preserve"> </w:t>
      </w:r>
      <w:r w:rsidRPr="00110528">
        <w:t>ili</w:t>
      </w:r>
      <w:r w:rsidRPr="0066355E">
        <w:rPr>
          <w:lang w:val="hr-HR"/>
        </w:rPr>
        <w:t xml:space="preserve"> </w:t>
      </w:r>
      <w:r w:rsidRPr="00110528">
        <w:t>slike</w:t>
      </w:r>
      <w:r w:rsidRPr="0066355E">
        <w:rPr>
          <w:lang w:val="hr-HR"/>
        </w:rPr>
        <w:t xml:space="preserve">. </w:t>
      </w:r>
      <w:r w:rsidRPr="00110528">
        <w:t>Mediji</w:t>
      </w:r>
      <w:r w:rsidRPr="0066355E">
        <w:rPr>
          <w:lang w:val="hr-HR"/>
        </w:rPr>
        <w:t xml:space="preserve"> </w:t>
      </w:r>
      <w:r w:rsidRPr="00110528">
        <w:t>nisu</w:t>
      </w:r>
      <w:r w:rsidRPr="0066355E">
        <w:rPr>
          <w:lang w:val="hr-HR"/>
        </w:rPr>
        <w:t xml:space="preserve"> </w:t>
      </w:r>
      <w:r w:rsidRPr="00110528">
        <w:t>knjige</w:t>
      </w:r>
      <w:r w:rsidRPr="0066355E">
        <w:rPr>
          <w:lang w:val="hr-HR"/>
        </w:rPr>
        <w:t xml:space="preserve">, </w:t>
      </w:r>
      <w:r w:rsidRPr="00110528">
        <w:t>ud</w:t>
      </w:r>
      <w:r w:rsidRPr="0066355E">
        <w:rPr>
          <w:lang w:val="hr-HR"/>
        </w:rPr>
        <w:t>ž</w:t>
      </w:r>
      <w:r w:rsidRPr="00110528">
        <w:t>benici</w:t>
      </w:r>
      <w:r w:rsidRPr="0066355E">
        <w:rPr>
          <w:lang w:val="hr-HR"/>
        </w:rPr>
        <w:t xml:space="preserve">, </w:t>
      </w:r>
      <w:r w:rsidRPr="00110528">
        <w:t>bilteni</w:t>
      </w:r>
      <w:r w:rsidRPr="0066355E">
        <w:rPr>
          <w:lang w:val="hr-HR"/>
        </w:rPr>
        <w:t xml:space="preserve">, </w:t>
      </w:r>
      <w:r w:rsidRPr="00110528">
        <w:t>katalozi</w:t>
      </w:r>
      <w:r w:rsidRPr="0066355E">
        <w:rPr>
          <w:lang w:val="hr-HR"/>
        </w:rPr>
        <w:t xml:space="preserve"> </w:t>
      </w:r>
      <w:r w:rsidRPr="00110528">
        <w:t>ili</w:t>
      </w:r>
      <w:r w:rsidRPr="0066355E">
        <w:rPr>
          <w:lang w:val="hr-HR"/>
        </w:rPr>
        <w:t xml:space="preserve"> </w:t>
      </w:r>
      <w:r w:rsidRPr="00110528">
        <w:t>drugi</w:t>
      </w:r>
      <w:r w:rsidRPr="0066355E">
        <w:rPr>
          <w:lang w:val="hr-HR"/>
        </w:rPr>
        <w:t xml:space="preserve"> </w:t>
      </w:r>
      <w:r w:rsidRPr="00110528">
        <w:t>nositelji</w:t>
      </w:r>
      <w:r w:rsidRPr="0066355E">
        <w:rPr>
          <w:lang w:val="hr-HR"/>
        </w:rPr>
        <w:t xml:space="preserve"> </w:t>
      </w:r>
      <w:r w:rsidRPr="00110528">
        <w:t>objavljivanja</w:t>
      </w:r>
      <w:r w:rsidRPr="0066355E">
        <w:rPr>
          <w:lang w:val="hr-HR"/>
        </w:rPr>
        <w:t xml:space="preserve"> </w:t>
      </w:r>
      <w:r w:rsidRPr="00110528">
        <w:t>informacija</w:t>
      </w:r>
      <w:r w:rsidRPr="0066355E">
        <w:rPr>
          <w:lang w:val="hr-HR"/>
        </w:rPr>
        <w:t xml:space="preserve"> </w:t>
      </w:r>
      <w:r w:rsidRPr="00110528">
        <w:t>koji</w:t>
      </w:r>
      <w:r w:rsidRPr="0066355E">
        <w:rPr>
          <w:lang w:val="hr-HR"/>
        </w:rPr>
        <w:t xml:space="preserve"> </w:t>
      </w:r>
      <w:r w:rsidRPr="00110528">
        <w:t>su</w:t>
      </w:r>
      <w:r w:rsidRPr="0066355E">
        <w:rPr>
          <w:lang w:val="hr-HR"/>
        </w:rPr>
        <w:t xml:space="preserve"> </w:t>
      </w:r>
      <w:r w:rsidRPr="00110528">
        <w:t>namijenjeni</w:t>
      </w:r>
      <w:r w:rsidRPr="0066355E">
        <w:rPr>
          <w:lang w:val="hr-HR"/>
        </w:rPr>
        <w:t xml:space="preserve"> </w:t>
      </w:r>
      <w:r w:rsidRPr="00110528">
        <w:t>is</w:t>
      </w:r>
      <w:r w:rsidRPr="0066355E">
        <w:rPr>
          <w:lang w:val="hr-HR"/>
        </w:rPr>
        <w:softHyphen/>
      </w:r>
      <w:r w:rsidRPr="00110528">
        <w:t>klju</w:t>
      </w:r>
      <w:r w:rsidRPr="0066355E">
        <w:rPr>
          <w:lang w:val="hr-HR"/>
        </w:rPr>
        <w:softHyphen/>
        <w:t>č</w:t>
      </w:r>
      <w:r w:rsidRPr="00110528">
        <w:t>ivo</w:t>
      </w:r>
      <w:r w:rsidRPr="0066355E">
        <w:rPr>
          <w:lang w:val="hr-HR"/>
        </w:rPr>
        <w:t xml:space="preserve"> </w:t>
      </w:r>
      <w:r w:rsidRPr="00110528">
        <w:t>obrazovnom</w:t>
      </w:r>
      <w:r w:rsidRPr="0066355E">
        <w:rPr>
          <w:lang w:val="hr-HR"/>
        </w:rPr>
        <w:t xml:space="preserve">, </w:t>
      </w:r>
      <w:r w:rsidRPr="00110528">
        <w:t>znanstvenom</w:t>
      </w:r>
      <w:r w:rsidRPr="0066355E">
        <w:rPr>
          <w:lang w:val="hr-HR"/>
        </w:rPr>
        <w:t xml:space="preserve"> </w:t>
      </w:r>
      <w:r w:rsidRPr="00110528">
        <w:t>i</w:t>
      </w:r>
      <w:r w:rsidRPr="0066355E">
        <w:rPr>
          <w:lang w:val="hr-HR"/>
        </w:rPr>
        <w:t xml:space="preserve"> </w:t>
      </w:r>
      <w:r w:rsidRPr="00110528">
        <w:t>kulturnom</w:t>
      </w:r>
      <w:r w:rsidRPr="0066355E">
        <w:rPr>
          <w:lang w:val="hr-HR"/>
        </w:rPr>
        <w:t xml:space="preserve"> </w:t>
      </w:r>
      <w:r w:rsidRPr="00110528">
        <w:t>procesu</w:t>
      </w:r>
      <w:r w:rsidRPr="0066355E">
        <w:rPr>
          <w:lang w:val="hr-HR"/>
        </w:rPr>
        <w:t xml:space="preserve">, </w:t>
      </w:r>
      <w:r w:rsidRPr="00110528">
        <w:t>ogla</w:t>
      </w:r>
      <w:r w:rsidRPr="0066355E">
        <w:rPr>
          <w:lang w:val="hr-HR"/>
        </w:rPr>
        <w:softHyphen/>
        <w:t>š</w:t>
      </w:r>
      <w:r w:rsidRPr="00110528">
        <w:t>a</w:t>
      </w:r>
      <w:r w:rsidRPr="0066355E">
        <w:rPr>
          <w:lang w:val="hr-HR"/>
        </w:rPr>
        <w:softHyphen/>
      </w:r>
      <w:r w:rsidRPr="00110528">
        <w:t>vanju</w:t>
      </w:r>
      <w:r w:rsidRPr="0066355E">
        <w:rPr>
          <w:lang w:val="hr-HR"/>
        </w:rPr>
        <w:t xml:space="preserve">, </w:t>
      </w:r>
      <w:r w:rsidRPr="00110528">
        <w:t>poslovnoj</w:t>
      </w:r>
      <w:r w:rsidRPr="0066355E">
        <w:rPr>
          <w:lang w:val="hr-HR"/>
        </w:rPr>
        <w:t xml:space="preserve"> </w:t>
      </w:r>
      <w:r w:rsidRPr="00110528">
        <w:t>komunikaciji</w:t>
      </w:r>
      <w:r w:rsidRPr="0066355E">
        <w:rPr>
          <w:lang w:val="hr-HR"/>
        </w:rPr>
        <w:t xml:space="preserve">, </w:t>
      </w:r>
      <w:r w:rsidRPr="00110528">
        <w:t>unutarnjem</w:t>
      </w:r>
      <w:r w:rsidRPr="0066355E">
        <w:rPr>
          <w:lang w:val="hr-HR"/>
        </w:rPr>
        <w:t xml:space="preserve"> </w:t>
      </w:r>
      <w:r w:rsidRPr="00110528">
        <w:t>radu</w:t>
      </w:r>
      <w:r w:rsidRPr="0066355E">
        <w:rPr>
          <w:lang w:val="hr-HR"/>
        </w:rPr>
        <w:t xml:space="preserve"> </w:t>
      </w:r>
      <w:r w:rsidRPr="00110528">
        <w:t>trgova</w:t>
      </w:r>
      <w:r w:rsidRPr="0066355E">
        <w:rPr>
          <w:lang w:val="hr-HR"/>
        </w:rPr>
        <w:t>č</w:t>
      </w:r>
      <w:r w:rsidRPr="00110528">
        <w:t>kih</w:t>
      </w:r>
      <w:r w:rsidRPr="0066355E">
        <w:rPr>
          <w:lang w:val="hr-HR"/>
        </w:rPr>
        <w:t xml:space="preserve"> </w:t>
      </w:r>
      <w:r w:rsidRPr="00110528">
        <w:t>dru</w:t>
      </w:r>
      <w:r w:rsidRPr="0066355E">
        <w:rPr>
          <w:lang w:val="hr-HR"/>
        </w:rPr>
        <w:t>š</w:t>
      </w:r>
      <w:r w:rsidRPr="0066355E">
        <w:rPr>
          <w:lang w:val="hr-HR"/>
        </w:rPr>
        <w:softHyphen/>
      </w:r>
      <w:r w:rsidRPr="00110528">
        <w:t>tava</w:t>
      </w:r>
      <w:r w:rsidRPr="0066355E">
        <w:rPr>
          <w:lang w:val="hr-HR"/>
        </w:rPr>
        <w:t xml:space="preserve">, </w:t>
      </w:r>
      <w:r w:rsidRPr="00110528">
        <w:t>zavoda</w:t>
      </w:r>
      <w:r w:rsidRPr="0066355E">
        <w:rPr>
          <w:lang w:val="hr-HR"/>
        </w:rPr>
        <w:t xml:space="preserve"> </w:t>
      </w:r>
      <w:r w:rsidRPr="00110528">
        <w:t>i</w:t>
      </w:r>
      <w:r w:rsidRPr="0066355E">
        <w:rPr>
          <w:lang w:val="hr-HR"/>
        </w:rPr>
        <w:t xml:space="preserve"> </w:t>
      </w:r>
      <w:r w:rsidRPr="00110528">
        <w:t>ustanova</w:t>
      </w:r>
      <w:r w:rsidRPr="0066355E">
        <w:rPr>
          <w:lang w:val="hr-HR"/>
        </w:rPr>
        <w:t xml:space="preserve">, </w:t>
      </w:r>
      <w:r w:rsidRPr="00110528">
        <w:t>udruga</w:t>
      </w:r>
      <w:r w:rsidRPr="0066355E">
        <w:rPr>
          <w:lang w:val="hr-HR"/>
        </w:rPr>
        <w:t xml:space="preserve">, </w:t>
      </w:r>
      <w:r w:rsidRPr="00110528">
        <w:t>politi</w:t>
      </w:r>
      <w:r w:rsidRPr="0066355E">
        <w:rPr>
          <w:lang w:val="hr-HR"/>
        </w:rPr>
        <w:t>č</w:t>
      </w:r>
      <w:r w:rsidRPr="00110528">
        <w:t>kih</w:t>
      </w:r>
      <w:r w:rsidRPr="0066355E">
        <w:rPr>
          <w:lang w:val="hr-HR"/>
        </w:rPr>
        <w:t xml:space="preserve"> </w:t>
      </w:r>
      <w:r w:rsidRPr="00110528">
        <w:t>stranaka</w:t>
      </w:r>
      <w:r w:rsidRPr="0066355E">
        <w:rPr>
          <w:lang w:val="hr-HR"/>
        </w:rPr>
        <w:t xml:space="preserve">, </w:t>
      </w:r>
      <w:r w:rsidRPr="00110528">
        <w:t>vjerskih</w:t>
      </w:r>
      <w:r w:rsidRPr="0066355E">
        <w:rPr>
          <w:lang w:val="hr-HR"/>
        </w:rPr>
        <w:t xml:space="preserve"> </w:t>
      </w:r>
      <w:r w:rsidRPr="00110528">
        <w:t>i</w:t>
      </w:r>
      <w:r w:rsidRPr="0066355E">
        <w:rPr>
          <w:lang w:val="hr-HR"/>
        </w:rPr>
        <w:t xml:space="preserve"> </w:t>
      </w:r>
      <w:r w:rsidRPr="00110528">
        <w:t>ostalih</w:t>
      </w:r>
      <w:r w:rsidRPr="0066355E">
        <w:rPr>
          <w:lang w:val="hr-HR"/>
        </w:rPr>
        <w:t xml:space="preserve"> </w:t>
      </w:r>
      <w:r w:rsidRPr="00110528">
        <w:t>organizacija</w:t>
      </w:r>
      <w:r w:rsidRPr="0066355E">
        <w:rPr>
          <w:lang w:val="hr-HR"/>
        </w:rPr>
        <w:t>, š</w:t>
      </w:r>
      <w:r w:rsidRPr="00110528">
        <w:t>kolska</w:t>
      </w:r>
      <w:r w:rsidRPr="0066355E">
        <w:rPr>
          <w:lang w:val="hr-HR"/>
        </w:rPr>
        <w:t xml:space="preserve"> </w:t>
      </w:r>
      <w:r w:rsidRPr="00110528">
        <w:t>glasila</w:t>
      </w:r>
      <w:r w:rsidRPr="0066355E">
        <w:rPr>
          <w:lang w:val="hr-HR"/>
        </w:rPr>
        <w:t>, »</w:t>
      </w:r>
      <w:r w:rsidRPr="00110528">
        <w:t>Narodne</w:t>
      </w:r>
      <w:r w:rsidRPr="0066355E">
        <w:rPr>
          <w:lang w:val="hr-HR"/>
        </w:rPr>
        <w:t xml:space="preserve"> </w:t>
      </w:r>
      <w:r w:rsidRPr="00110528">
        <w:t>novine</w:t>
      </w:r>
      <w:r w:rsidRPr="0066355E">
        <w:rPr>
          <w:lang w:val="hr-HR"/>
        </w:rPr>
        <w:t xml:space="preserve">« </w:t>
      </w:r>
      <w:r w:rsidRPr="00110528">
        <w:t>Republike</w:t>
      </w:r>
      <w:r w:rsidRPr="0066355E">
        <w:rPr>
          <w:lang w:val="hr-HR"/>
        </w:rPr>
        <w:t xml:space="preserve"> </w:t>
      </w:r>
      <w:r w:rsidRPr="00110528">
        <w:t>Hrvatske</w:t>
      </w:r>
      <w:r w:rsidRPr="0066355E">
        <w:rPr>
          <w:lang w:val="hr-HR"/>
        </w:rPr>
        <w:t xml:space="preserve">, </w:t>
      </w:r>
      <w:r w:rsidRPr="00110528">
        <w:t>slu</w:t>
      </w:r>
      <w:r w:rsidRPr="0066355E">
        <w:rPr>
          <w:lang w:val="hr-HR"/>
        </w:rPr>
        <w:t>ž</w:t>
      </w:r>
      <w:r w:rsidRPr="00110528">
        <w:t>bena</w:t>
      </w:r>
      <w:r w:rsidRPr="0066355E">
        <w:rPr>
          <w:lang w:val="hr-HR"/>
        </w:rPr>
        <w:t xml:space="preserve"> </w:t>
      </w:r>
      <w:r w:rsidRPr="00110528">
        <w:t>glasila</w:t>
      </w:r>
      <w:r w:rsidRPr="0066355E">
        <w:rPr>
          <w:lang w:val="hr-HR"/>
        </w:rPr>
        <w:t xml:space="preserve"> </w:t>
      </w:r>
      <w:r w:rsidRPr="00110528">
        <w:t>jedinica</w:t>
      </w:r>
      <w:r w:rsidRPr="0066355E">
        <w:rPr>
          <w:lang w:val="hr-HR"/>
        </w:rPr>
        <w:t xml:space="preserve"> </w:t>
      </w:r>
      <w:r w:rsidRPr="00110528">
        <w:t>lokalne</w:t>
      </w:r>
      <w:r w:rsidRPr="0066355E">
        <w:rPr>
          <w:lang w:val="hr-HR"/>
        </w:rPr>
        <w:t xml:space="preserve"> </w:t>
      </w:r>
      <w:r w:rsidRPr="00110528">
        <w:t>i</w:t>
      </w:r>
      <w:r w:rsidRPr="0066355E">
        <w:rPr>
          <w:lang w:val="hr-HR"/>
        </w:rPr>
        <w:t xml:space="preserve"> </w:t>
      </w:r>
      <w:r w:rsidRPr="00110528">
        <w:t>podru</w:t>
      </w:r>
      <w:r w:rsidRPr="0066355E">
        <w:rPr>
          <w:lang w:val="hr-HR"/>
        </w:rPr>
        <w:t>č</w:t>
      </w:r>
      <w:r w:rsidRPr="00110528">
        <w:t>ne</w:t>
      </w:r>
      <w:r w:rsidRPr="0066355E">
        <w:rPr>
          <w:lang w:val="hr-HR"/>
        </w:rPr>
        <w:t xml:space="preserve"> (</w:t>
      </w:r>
      <w:r w:rsidRPr="00110528">
        <w:t>regionalne</w:t>
      </w:r>
      <w:r w:rsidRPr="0066355E">
        <w:rPr>
          <w:lang w:val="hr-HR"/>
        </w:rPr>
        <w:t xml:space="preserve">) </w:t>
      </w:r>
      <w:r w:rsidRPr="00110528">
        <w:t>samouprave</w:t>
      </w:r>
      <w:r w:rsidRPr="0066355E">
        <w:rPr>
          <w:lang w:val="hr-HR"/>
        </w:rPr>
        <w:t xml:space="preserve"> </w:t>
      </w:r>
      <w:r w:rsidRPr="00110528">
        <w:t>i</w:t>
      </w:r>
      <w:r w:rsidRPr="0066355E">
        <w:rPr>
          <w:lang w:val="hr-HR"/>
        </w:rPr>
        <w:t xml:space="preserve"> </w:t>
      </w:r>
      <w:r w:rsidRPr="00110528">
        <w:t>ostala</w:t>
      </w:r>
      <w:r w:rsidRPr="0066355E">
        <w:rPr>
          <w:lang w:val="hr-HR"/>
        </w:rPr>
        <w:t xml:space="preserve"> </w:t>
      </w:r>
      <w:r w:rsidRPr="00110528">
        <w:t>slu</w:t>
      </w:r>
      <w:r w:rsidRPr="0066355E">
        <w:rPr>
          <w:lang w:val="hr-HR"/>
        </w:rPr>
        <w:t>ž</w:t>
      </w:r>
      <w:r w:rsidRPr="00110528">
        <w:t>bena</w:t>
      </w:r>
      <w:r w:rsidRPr="0066355E">
        <w:rPr>
          <w:lang w:val="hr-HR"/>
        </w:rPr>
        <w:t xml:space="preserve"> </w:t>
      </w:r>
      <w:r w:rsidRPr="00110528">
        <w:t>priop</w:t>
      </w:r>
      <w:r w:rsidRPr="0066355E">
        <w:rPr>
          <w:lang w:val="hr-HR"/>
        </w:rPr>
        <w:t>ć</w:t>
      </w:r>
      <w:r w:rsidRPr="00110528">
        <w:t>enja</w:t>
      </w:r>
      <w:r w:rsidRPr="0066355E">
        <w:rPr>
          <w:lang w:val="hr-HR"/>
        </w:rPr>
        <w:t xml:space="preserve">, </w:t>
      </w:r>
      <w:r w:rsidRPr="00110528">
        <w:t>plakati</w:t>
      </w:r>
      <w:r w:rsidRPr="0066355E">
        <w:rPr>
          <w:lang w:val="hr-HR"/>
        </w:rPr>
        <w:t xml:space="preserve">, </w:t>
      </w:r>
      <w:r w:rsidRPr="00110528">
        <w:t>letci</w:t>
      </w:r>
      <w:r w:rsidRPr="0066355E">
        <w:rPr>
          <w:lang w:val="hr-HR"/>
        </w:rPr>
        <w:t xml:space="preserve">, </w:t>
      </w:r>
      <w:r w:rsidRPr="00110528">
        <w:t>prospekti</w:t>
      </w:r>
      <w:r w:rsidRPr="0066355E">
        <w:rPr>
          <w:lang w:val="hr-HR"/>
        </w:rPr>
        <w:t xml:space="preserve"> </w:t>
      </w:r>
      <w:r w:rsidRPr="00110528">
        <w:t>i</w:t>
      </w:r>
      <w:r w:rsidRPr="0066355E">
        <w:rPr>
          <w:lang w:val="hr-HR"/>
        </w:rPr>
        <w:t xml:space="preserve"> </w:t>
      </w:r>
      <w:r w:rsidRPr="00110528">
        <w:t>transparenti</w:t>
      </w:r>
      <w:r w:rsidRPr="0066355E">
        <w:rPr>
          <w:lang w:val="hr-HR"/>
        </w:rPr>
        <w:t xml:space="preserve">, </w:t>
      </w:r>
      <w:r w:rsidRPr="00110528">
        <w:t>te</w:t>
      </w:r>
      <w:r w:rsidRPr="0066355E">
        <w:rPr>
          <w:lang w:val="hr-HR"/>
        </w:rPr>
        <w:t xml:space="preserve"> </w:t>
      </w:r>
      <w:r w:rsidRPr="00110528">
        <w:t>video</w:t>
      </w:r>
      <w:r w:rsidRPr="0066355E">
        <w:rPr>
          <w:lang w:val="hr-HR"/>
        </w:rPr>
        <w:t xml:space="preserve"> </w:t>
      </w:r>
      <w:r w:rsidRPr="00110528">
        <w:t>stranice</w:t>
      </w:r>
      <w:r w:rsidRPr="0066355E">
        <w:rPr>
          <w:lang w:val="hr-HR"/>
        </w:rPr>
        <w:t xml:space="preserve"> </w:t>
      </w:r>
      <w:r w:rsidRPr="00110528">
        <w:t>bez</w:t>
      </w:r>
      <w:r w:rsidRPr="0066355E">
        <w:rPr>
          <w:lang w:val="hr-HR"/>
        </w:rPr>
        <w:t xml:space="preserve"> ž</w:t>
      </w:r>
      <w:r w:rsidRPr="00110528">
        <w:t>ive</w:t>
      </w:r>
      <w:r w:rsidRPr="0066355E">
        <w:rPr>
          <w:lang w:val="hr-HR"/>
        </w:rPr>
        <w:t xml:space="preserve"> </w:t>
      </w:r>
      <w:r w:rsidRPr="00110528">
        <w:t>slike</w:t>
      </w:r>
      <w:r w:rsidRPr="0066355E">
        <w:rPr>
          <w:lang w:val="hr-HR"/>
        </w:rPr>
        <w:t xml:space="preserve"> </w:t>
      </w:r>
      <w:r w:rsidRPr="00110528">
        <w:t>i</w:t>
      </w:r>
      <w:r w:rsidRPr="0066355E">
        <w:rPr>
          <w:lang w:val="hr-HR"/>
        </w:rPr>
        <w:t xml:space="preserve"> </w:t>
      </w:r>
      <w:r w:rsidRPr="00110528">
        <w:t>druge</w:t>
      </w:r>
      <w:r w:rsidRPr="0066355E">
        <w:rPr>
          <w:lang w:val="hr-HR"/>
        </w:rPr>
        <w:t xml:space="preserve"> </w:t>
      </w:r>
      <w:r w:rsidRPr="00110528">
        <w:t>besplatne</w:t>
      </w:r>
      <w:r w:rsidRPr="0066355E">
        <w:rPr>
          <w:lang w:val="hr-HR"/>
        </w:rPr>
        <w:t xml:space="preserve"> </w:t>
      </w:r>
      <w:r w:rsidRPr="00110528">
        <w:t>obavijesti</w:t>
      </w:r>
      <w:r w:rsidRPr="0066355E">
        <w:rPr>
          <w:lang w:val="hr-HR"/>
        </w:rPr>
        <w:t xml:space="preserve">, </w:t>
      </w:r>
      <w:r w:rsidRPr="00110528">
        <w:t>osim</w:t>
      </w:r>
      <w:r w:rsidRPr="0066355E">
        <w:rPr>
          <w:lang w:val="hr-HR"/>
        </w:rPr>
        <w:t xml:space="preserve"> </w:t>
      </w:r>
      <w:r w:rsidRPr="00110528">
        <w:t>ako</w:t>
      </w:r>
      <w:r w:rsidRPr="0066355E">
        <w:rPr>
          <w:lang w:val="hr-HR"/>
        </w:rPr>
        <w:t xml:space="preserve"> </w:t>
      </w:r>
      <w:r w:rsidRPr="00110528">
        <w:t>ovim</w:t>
      </w:r>
      <w:r w:rsidRPr="0066355E">
        <w:rPr>
          <w:lang w:val="hr-HR"/>
        </w:rPr>
        <w:t xml:space="preserve"> </w:t>
      </w:r>
      <w:r w:rsidRPr="00110528">
        <w:t>Zakonom</w:t>
      </w:r>
      <w:r w:rsidRPr="0066355E">
        <w:rPr>
          <w:lang w:val="hr-HR"/>
        </w:rPr>
        <w:t xml:space="preserve"> </w:t>
      </w:r>
      <w:r w:rsidRPr="00110528">
        <w:t>nije</w:t>
      </w:r>
      <w:r w:rsidRPr="0066355E">
        <w:rPr>
          <w:lang w:val="hr-HR"/>
        </w:rPr>
        <w:t xml:space="preserve"> </w:t>
      </w:r>
      <w:r w:rsidRPr="00110528">
        <w:t>druk</w:t>
      </w:r>
      <w:r w:rsidRPr="0066355E">
        <w:rPr>
          <w:lang w:val="hr-HR"/>
        </w:rPr>
        <w:t>č</w:t>
      </w:r>
      <w:r w:rsidRPr="00110528">
        <w:t>ije</w:t>
      </w:r>
      <w:r w:rsidRPr="0066355E">
        <w:rPr>
          <w:lang w:val="hr-HR"/>
        </w:rPr>
        <w:t xml:space="preserve"> </w:t>
      </w:r>
      <w:r w:rsidRPr="00110528">
        <w:t>propisano</w:t>
      </w:r>
      <w:r w:rsidRPr="0066355E">
        <w:rPr>
          <w:lang w:val="hr-HR"/>
        </w:rPr>
        <w:t>.</w:t>
      </w:r>
    </w:p>
  </w:footnote>
  <w:footnote w:id="109">
    <w:p w:rsidR="00761B6C" w:rsidRPr="00B41953" w:rsidRDefault="00761B6C" w:rsidP="00512EE7">
      <w:pPr>
        <w:pStyle w:val="FootnoteText"/>
        <w:spacing w:line="360" w:lineRule="auto"/>
        <w:rPr>
          <w:lang w:val="hr-HR"/>
        </w:rPr>
      </w:pPr>
      <w:r>
        <w:rPr>
          <w:rStyle w:val="FootnoteReference"/>
        </w:rPr>
        <w:footnoteRef/>
      </w:r>
      <w:r>
        <w:t xml:space="preserve"> </w:t>
      </w:r>
      <w:r>
        <w:rPr>
          <w:lang w:val="hr-HR"/>
        </w:rPr>
        <w:t>Klarić, Petar; Vedriš, Martin, Građansko pravo, Zagreb, 2009., str. 636.</w:t>
      </w:r>
    </w:p>
  </w:footnote>
  <w:footnote w:id="110">
    <w:p w:rsidR="00761B6C" w:rsidRPr="001B199B" w:rsidRDefault="00761B6C" w:rsidP="008B3A82">
      <w:pPr>
        <w:pStyle w:val="FootnoteText"/>
        <w:spacing w:line="360" w:lineRule="auto"/>
        <w:rPr>
          <w:lang w:val="hr-HR"/>
        </w:rPr>
      </w:pPr>
      <w:r>
        <w:rPr>
          <w:rStyle w:val="FootnoteReference"/>
        </w:rPr>
        <w:footnoteRef/>
      </w:r>
      <w:r>
        <w:t xml:space="preserve"> </w:t>
      </w:r>
      <w:r>
        <w:rPr>
          <w:lang w:val="hr-HR"/>
        </w:rPr>
        <w:t xml:space="preserve">Više o postupku povodom ovih tužbi vidi u: Jelušić, Damir, Postupak pred sudom u antidiskriminacijskim parnicama vođenim temeljem Zakona o suzbijanju diskriminacije, 2009.,  dostupno na: </w:t>
      </w:r>
      <w:r w:rsidRPr="001B199B">
        <w:rPr>
          <w:lang w:val="hr-HR"/>
        </w:rPr>
        <w:t>http://www.pravnadatoteka.hr/pdf/Postupak_pred_sudom.pdf</w:t>
      </w:r>
      <w:r>
        <w:rPr>
          <w:lang w:val="hr-HR"/>
        </w:rPr>
        <w:t xml:space="preserve"> , pristupljeno 10. travnja 2014., te u Grgić, Potočnjak, Rodin et al., Vodič uz zakon o suzbijanju diskriminacije, </w:t>
      </w:r>
      <w:r w:rsidRPr="008B3A82">
        <w:rPr>
          <w:lang w:val="hr-HR"/>
        </w:rPr>
        <w:t>Ured za ljudska prava Vlade Republike Hrvatske</w:t>
      </w:r>
      <w:r>
        <w:rPr>
          <w:lang w:val="hr-HR"/>
        </w:rPr>
        <w:t xml:space="preserve">, 2009., dostupno na: </w:t>
      </w:r>
      <w:r w:rsidRPr="00E736AD">
        <w:rPr>
          <w:lang w:val="hr-HR"/>
        </w:rPr>
        <w:t>http://www.ombudsman.hr/dokumenti/vodic.pdf</w:t>
      </w:r>
      <w:r>
        <w:rPr>
          <w:lang w:val="hr-HR"/>
        </w:rPr>
        <w:t xml:space="preserve"> , pristupljeno 10. travnja 2014.</w:t>
      </w:r>
    </w:p>
  </w:footnote>
  <w:footnote w:id="111">
    <w:p w:rsidR="00761B6C" w:rsidRPr="00D625CA" w:rsidRDefault="00761B6C">
      <w:pPr>
        <w:pStyle w:val="FootnoteText"/>
        <w:rPr>
          <w:lang w:val="hr-HR"/>
        </w:rPr>
      </w:pPr>
      <w:r>
        <w:rPr>
          <w:rStyle w:val="FootnoteReference"/>
        </w:rPr>
        <w:footnoteRef/>
      </w:r>
      <w:r>
        <w:t xml:space="preserve"> </w:t>
      </w:r>
      <w:r>
        <w:rPr>
          <w:lang w:val="hr-HR"/>
        </w:rPr>
        <w:t xml:space="preserve">Vrhovni sud Republike Hrvatske, </w:t>
      </w:r>
      <w:r w:rsidRPr="00F02D11">
        <w:rPr>
          <w:lang w:val="hr-HR"/>
        </w:rPr>
        <w:t>Gž 38/2011-2</w:t>
      </w:r>
      <w:r>
        <w:rPr>
          <w:lang w:val="hr-HR"/>
        </w:rPr>
        <w:t>, 7. ožujka 2012.</w:t>
      </w:r>
    </w:p>
  </w:footnote>
  <w:footnote w:id="112">
    <w:p w:rsidR="00761B6C" w:rsidRPr="0022059C" w:rsidRDefault="00761B6C" w:rsidP="0022059C">
      <w:pPr>
        <w:spacing w:line="360" w:lineRule="auto"/>
        <w:jc w:val="both"/>
        <w:rPr>
          <w:rFonts w:cs="Arial"/>
          <w:szCs w:val="22"/>
          <w:lang w:val="hr-HR"/>
        </w:rPr>
      </w:pPr>
      <w:r>
        <w:rPr>
          <w:rStyle w:val="FootnoteReference"/>
        </w:rPr>
        <w:footnoteRef/>
      </w:r>
      <w:r w:rsidRPr="0022059C">
        <w:rPr>
          <w:lang w:val="hr-HR"/>
        </w:rPr>
        <w:t xml:space="preserve"> </w:t>
      </w:r>
      <w:r w:rsidRPr="0022059C">
        <w:rPr>
          <w:rFonts w:cs="Arial"/>
          <w:sz w:val="20"/>
          <w:szCs w:val="20"/>
          <w:lang w:val="hr-HR"/>
        </w:rPr>
        <w:t xml:space="preserve">Zakon o kaznenom postupku (NN </w:t>
      </w:r>
      <w:hyperlink r:id="rId17" w:history="1">
        <w:r w:rsidRPr="0022059C">
          <w:rPr>
            <w:rFonts w:cs="Arial"/>
            <w:sz w:val="20"/>
            <w:szCs w:val="20"/>
            <w:lang w:val="hr-HR"/>
          </w:rPr>
          <w:t>152/08</w:t>
        </w:r>
      </w:hyperlink>
      <w:r w:rsidRPr="0022059C">
        <w:rPr>
          <w:rFonts w:cs="Arial"/>
          <w:sz w:val="20"/>
          <w:szCs w:val="20"/>
          <w:lang w:val="hr-HR"/>
        </w:rPr>
        <w:t xml:space="preserve">,  </w:t>
      </w:r>
      <w:hyperlink r:id="rId18" w:history="1">
        <w:r w:rsidRPr="0022059C">
          <w:rPr>
            <w:rFonts w:cs="Arial"/>
            <w:sz w:val="20"/>
            <w:szCs w:val="20"/>
            <w:lang w:val="hr-HR"/>
          </w:rPr>
          <w:t>76/09</w:t>
        </w:r>
      </w:hyperlink>
      <w:r w:rsidRPr="0022059C">
        <w:rPr>
          <w:rFonts w:cs="Arial"/>
          <w:sz w:val="20"/>
          <w:szCs w:val="20"/>
          <w:lang w:val="hr-HR"/>
        </w:rPr>
        <w:t xml:space="preserve">,  </w:t>
      </w:r>
      <w:hyperlink r:id="rId19" w:history="1">
        <w:r w:rsidRPr="0022059C">
          <w:rPr>
            <w:rFonts w:cs="Arial"/>
            <w:sz w:val="20"/>
            <w:szCs w:val="20"/>
            <w:lang w:val="hr-HR"/>
          </w:rPr>
          <w:t>80/11</w:t>
        </w:r>
      </w:hyperlink>
      <w:r w:rsidRPr="0022059C">
        <w:rPr>
          <w:rFonts w:cs="Arial"/>
          <w:sz w:val="20"/>
          <w:szCs w:val="20"/>
          <w:lang w:val="hr-HR"/>
        </w:rPr>
        <w:t xml:space="preserve">,  </w:t>
      </w:r>
      <w:hyperlink r:id="rId20" w:history="1">
        <w:r w:rsidRPr="0022059C">
          <w:rPr>
            <w:rFonts w:cs="Arial"/>
            <w:sz w:val="20"/>
            <w:szCs w:val="20"/>
            <w:lang w:val="hr-HR"/>
          </w:rPr>
          <w:t>121/11</w:t>
        </w:r>
      </w:hyperlink>
      <w:r w:rsidRPr="0022059C">
        <w:rPr>
          <w:rFonts w:cs="Arial"/>
          <w:sz w:val="20"/>
          <w:szCs w:val="20"/>
          <w:lang w:val="hr-HR"/>
        </w:rPr>
        <w:t xml:space="preserve">,  </w:t>
      </w:r>
      <w:hyperlink r:id="rId21" w:history="1">
        <w:r w:rsidRPr="0022059C">
          <w:rPr>
            <w:rFonts w:cs="Arial"/>
            <w:sz w:val="20"/>
            <w:szCs w:val="20"/>
            <w:lang w:val="hr-HR"/>
          </w:rPr>
          <w:t>91/12</w:t>
        </w:r>
      </w:hyperlink>
      <w:r w:rsidRPr="0022059C">
        <w:rPr>
          <w:rFonts w:cs="Arial"/>
          <w:sz w:val="20"/>
          <w:szCs w:val="20"/>
          <w:lang w:val="hr-HR"/>
        </w:rPr>
        <w:t xml:space="preserve">,  </w:t>
      </w:r>
      <w:hyperlink r:id="rId22" w:history="1">
        <w:r w:rsidRPr="0022059C">
          <w:rPr>
            <w:rFonts w:cs="Arial"/>
            <w:sz w:val="20"/>
            <w:szCs w:val="20"/>
            <w:lang w:val="hr-HR"/>
          </w:rPr>
          <w:t>143/12</w:t>
        </w:r>
      </w:hyperlink>
      <w:r w:rsidRPr="0022059C">
        <w:rPr>
          <w:rFonts w:cs="Arial"/>
          <w:sz w:val="20"/>
          <w:szCs w:val="20"/>
          <w:lang w:val="hr-HR"/>
        </w:rPr>
        <w:t xml:space="preserve">,  </w:t>
      </w:r>
      <w:hyperlink r:id="rId23" w:history="1">
        <w:r w:rsidRPr="0022059C">
          <w:rPr>
            <w:rFonts w:cs="Arial"/>
            <w:sz w:val="20"/>
            <w:szCs w:val="20"/>
            <w:lang w:val="hr-HR"/>
          </w:rPr>
          <w:t>56/13</w:t>
        </w:r>
      </w:hyperlink>
      <w:r w:rsidRPr="0022059C">
        <w:rPr>
          <w:rFonts w:cs="Arial"/>
          <w:sz w:val="20"/>
          <w:szCs w:val="20"/>
          <w:lang w:val="hr-HR"/>
        </w:rPr>
        <w:t xml:space="preserve">, </w:t>
      </w:r>
      <w:hyperlink r:id="rId24" w:history="1">
        <w:r w:rsidRPr="0022059C">
          <w:rPr>
            <w:rFonts w:cs="Arial"/>
            <w:sz w:val="20"/>
            <w:szCs w:val="20"/>
            <w:lang w:val="hr-HR"/>
          </w:rPr>
          <w:t>145/13</w:t>
        </w:r>
      </w:hyperlink>
      <w:r w:rsidRPr="0022059C">
        <w:rPr>
          <w:rFonts w:cs="Arial"/>
          <w:sz w:val="20"/>
          <w:szCs w:val="20"/>
          <w:lang w:val="hr-HR"/>
        </w:rPr>
        <w:t>)</w:t>
      </w:r>
      <w:r>
        <w:rPr>
          <w:rFonts w:cs="Arial"/>
          <w:sz w:val="20"/>
          <w:szCs w:val="20"/>
          <w:lang w:val="hr-HR"/>
        </w:rPr>
        <w:t>, dalje ZKP.</w:t>
      </w:r>
    </w:p>
  </w:footnote>
  <w:footnote w:id="113">
    <w:p w:rsidR="00761B6C" w:rsidRPr="00253B16" w:rsidRDefault="00761B6C" w:rsidP="0038792C">
      <w:pPr>
        <w:pStyle w:val="FootnoteText"/>
        <w:spacing w:line="360" w:lineRule="auto"/>
        <w:rPr>
          <w:lang w:val="hr-HR"/>
        </w:rPr>
      </w:pPr>
      <w:r>
        <w:rPr>
          <w:rStyle w:val="FootnoteReference"/>
        </w:rPr>
        <w:footnoteRef/>
      </w:r>
      <w:r>
        <w:rPr>
          <w:lang w:val="hr-HR"/>
        </w:rPr>
        <w:t xml:space="preserve"> </w:t>
      </w:r>
      <w:r w:rsidRPr="00253B16">
        <w:rPr>
          <w:rFonts w:cs="Arial"/>
          <w:lang w:val="hr-HR"/>
        </w:rPr>
        <w:t>Đurđević, Zlata; Gluščić, Stjepan; Ivičević Karas, Elizabeta, Josipović, Ivo; Novoselec, Hajrija; Kazneno procesno pravo – Primjerovnik, Zagreb, 2012., str. 36.</w:t>
      </w:r>
    </w:p>
  </w:footnote>
  <w:footnote w:id="114">
    <w:p w:rsidR="00761B6C" w:rsidRPr="00091E5F" w:rsidRDefault="00761B6C" w:rsidP="007E2C58">
      <w:pPr>
        <w:pStyle w:val="FootnoteText"/>
        <w:spacing w:line="360" w:lineRule="auto"/>
        <w:rPr>
          <w:lang w:val="hr-HR"/>
        </w:rPr>
      </w:pPr>
      <w:r>
        <w:rPr>
          <w:rStyle w:val="FootnoteReference"/>
        </w:rPr>
        <w:footnoteRef/>
      </w:r>
      <w:r w:rsidRPr="00091E5F">
        <w:rPr>
          <w:lang w:val="hr-HR"/>
        </w:rPr>
        <w:t xml:space="preserve"> </w:t>
      </w:r>
      <w:r w:rsidRPr="00B830BB">
        <w:rPr>
          <w:rFonts w:cs="Arial"/>
          <w:szCs w:val="22"/>
          <w:lang w:val="hr-HR"/>
        </w:rPr>
        <w:t>Cohen-Almagor, Raphael; Freedom of Expression, Internet Responsibility, and Business Ethics: The Yahoo! Saga and Its Implications,  u: J Bus Ethics, 2012., 106, str. 353</w:t>
      </w:r>
      <w:r>
        <w:rPr>
          <w:rFonts w:cs="Arial"/>
          <w:szCs w:val="22"/>
          <w:lang w:val="hr-HR"/>
        </w:rPr>
        <w:t>.</w:t>
      </w:r>
    </w:p>
  </w:footnote>
  <w:footnote w:id="115">
    <w:p w:rsidR="00761B6C" w:rsidRPr="00335EF8" w:rsidRDefault="00761B6C" w:rsidP="007E2C58">
      <w:pPr>
        <w:pStyle w:val="FootnoteText"/>
        <w:spacing w:line="360" w:lineRule="auto"/>
        <w:rPr>
          <w:lang w:val="hr-HR"/>
        </w:rPr>
      </w:pPr>
      <w:r>
        <w:rPr>
          <w:rStyle w:val="FootnoteReference"/>
        </w:rPr>
        <w:footnoteRef/>
      </w:r>
      <w:r w:rsidRPr="00335EF8">
        <w:rPr>
          <w:lang w:val="hr-HR"/>
        </w:rPr>
        <w:t xml:space="preserve"> </w:t>
      </w:r>
      <w:r>
        <w:t>Greenberg</w:t>
      </w:r>
      <w:r w:rsidRPr="00335EF8">
        <w:rPr>
          <w:lang w:val="hr-HR"/>
        </w:rPr>
        <w:t xml:space="preserve">, </w:t>
      </w:r>
      <w:r>
        <w:t>Marc</w:t>
      </w:r>
      <w:r w:rsidRPr="00335EF8">
        <w:rPr>
          <w:lang w:val="hr-HR"/>
        </w:rPr>
        <w:t xml:space="preserve">; </w:t>
      </w:r>
      <w:r>
        <w:t>A</w:t>
      </w:r>
      <w:r w:rsidRPr="00335EF8">
        <w:rPr>
          <w:lang w:val="hr-HR"/>
        </w:rPr>
        <w:t xml:space="preserve"> </w:t>
      </w:r>
      <w:r>
        <w:t>Return to Lilliput: The LICRA v. Yahoo! Case and the Regulation of Online Content in the World Market, u: Berkeley Technology Law Journal, Volumen 18, str. 1199.</w:t>
      </w:r>
    </w:p>
  </w:footnote>
  <w:footnote w:id="116">
    <w:p w:rsidR="00761B6C" w:rsidRPr="00AF37F3" w:rsidRDefault="00761B6C" w:rsidP="00C53838">
      <w:pPr>
        <w:pStyle w:val="FootnoteText"/>
        <w:spacing w:line="360" w:lineRule="auto"/>
        <w:rPr>
          <w:lang w:val="hr-HR"/>
        </w:rPr>
      </w:pPr>
      <w:r>
        <w:rPr>
          <w:rStyle w:val="FootnoteReference"/>
        </w:rPr>
        <w:footnoteRef/>
      </w:r>
      <w:r w:rsidRPr="00AF37F3">
        <w:rPr>
          <w:lang w:val="hr-HR"/>
        </w:rPr>
        <w:t xml:space="preserve"> </w:t>
      </w:r>
      <w:r w:rsidRPr="00B830BB">
        <w:rPr>
          <w:rFonts w:cs="Arial"/>
          <w:szCs w:val="22"/>
          <w:lang w:val="hr-HR"/>
        </w:rPr>
        <w:t>Cohen-Almagor, Raphael; Freedom of Expression, Internet Responsibility, and Business Ethics: The Yahoo! Saga and Its Implications</w:t>
      </w:r>
      <w:r>
        <w:rPr>
          <w:rFonts w:cs="Arial"/>
          <w:szCs w:val="22"/>
          <w:lang w:val="hr-HR"/>
        </w:rPr>
        <w:t xml:space="preserve"> (</w:t>
      </w:r>
      <w:r w:rsidRPr="00AF37F3">
        <w:rPr>
          <w:rFonts w:cs="Arial"/>
          <w:i/>
          <w:szCs w:val="22"/>
          <w:lang w:val="hr-HR"/>
        </w:rPr>
        <w:t>op. cit.</w:t>
      </w:r>
      <w:r>
        <w:rPr>
          <w:rFonts w:cs="Arial"/>
          <w:szCs w:val="22"/>
          <w:lang w:val="hr-HR"/>
        </w:rPr>
        <w:t xml:space="preserve"> (br. 114)), str. 362.</w:t>
      </w:r>
    </w:p>
  </w:footnote>
  <w:footnote w:id="117">
    <w:p w:rsidR="00761B6C" w:rsidRPr="00F3693E" w:rsidRDefault="00761B6C" w:rsidP="00AF37F3">
      <w:pPr>
        <w:pStyle w:val="FootnoteText"/>
        <w:spacing w:line="360" w:lineRule="auto"/>
        <w:rPr>
          <w:rFonts w:cs="Arial"/>
          <w:lang w:val="hr-HR"/>
        </w:rPr>
      </w:pPr>
      <w:r w:rsidRPr="00F3693E">
        <w:rPr>
          <w:rStyle w:val="FootnoteReference"/>
          <w:rFonts w:cs="Arial"/>
        </w:rPr>
        <w:footnoteRef/>
      </w:r>
      <w:r w:rsidRPr="00F26C52">
        <w:rPr>
          <w:rFonts w:cs="Arial"/>
          <w:lang w:val="hr-HR"/>
        </w:rPr>
        <w:t xml:space="preserve"> </w:t>
      </w:r>
      <w:r w:rsidRPr="00F3693E">
        <w:rPr>
          <w:rFonts w:cs="Arial"/>
          <w:lang w:val="hr-HR"/>
        </w:rPr>
        <w:t>Zakon o međunarodn</w:t>
      </w:r>
      <w:r>
        <w:rPr>
          <w:rFonts w:cs="Arial"/>
          <w:lang w:val="hr-HR"/>
        </w:rPr>
        <w:t>oj</w:t>
      </w:r>
      <w:r w:rsidRPr="00F3693E">
        <w:rPr>
          <w:rFonts w:cs="Arial"/>
          <w:lang w:val="hr-HR"/>
        </w:rPr>
        <w:t xml:space="preserve"> pravn</w:t>
      </w:r>
      <w:r>
        <w:rPr>
          <w:rFonts w:cs="Arial"/>
          <w:lang w:val="hr-HR"/>
        </w:rPr>
        <w:t>oj</w:t>
      </w:r>
      <w:r w:rsidRPr="00F3693E">
        <w:rPr>
          <w:rFonts w:cs="Arial"/>
          <w:lang w:val="hr-HR"/>
        </w:rPr>
        <w:t xml:space="preserve"> pomoći u kaznenim stvarima</w:t>
      </w:r>
      <w:r>
        <w:rPr>
          <w:rFonts w:cs="Arial"/>
          <w:lang w:val="hr-HR"/>
        </w:rPr>
        <w:t xml:space="preserve"> (NN 178/04), dalje u tekstu ZOMPO.</w:t>
      </w:r>
    </w:p>
  </w:footnote>
  <w:footnote w:id="118">
    <w:p w:rsidR="00761B6C" w:rsidRPr="007A6882" w:rsidRDefault="00761B6C" w:rsidP="007A6882">
      <w:pPr>
        <w:pStyle w:val="FootnoteText"/>
        <w:spacing w:line="360" w:lineRule="auto"/>
        <w:rPr>
          <w:lang w:val="hr-HR"/>
        </w:rPr>
      </w:pPr>
      <w:r>
        <w:rPr>
          <w:rStyle w:val="FootnoteReference"/>
        </w:rPr>
        <w:footnoteRef/>
      </w:r>
      <w:r>
        <w:t xml:space="preserve"> </w:t>
      </w:r>
      <w:r>
        <w:rPr>
          <w:rFonts w:cs="Arial"/>
          <w:szCs w:val="22"/>
          <w:lang w:val="hr-HR"/>
        </w:rPr>
        <w:t>Zakon o pravnosudnoj suradnji u kaznenim stvarima s državama članicama Europske unije (NN 91/10, 81/13, 124/13).</w:t>
      </w:r>
    </w:p>
  </w:footnote>
  <w:footnote w:id="119">
    <w:p w:rsidR="00761B6C" w:rsidRPr="0083361C" w:rsidRDefault="00761B6C" w:rsidP="002C115F">
      <w:pPr>
        <w:pStyle w:val="FootnoteText"/>
        <w:spacing w:line="360" w:lineRule="auto"/>
        <w:rPr>
          <w:rFonts w:cs="Arial"/>
          <w:lang w:val="hr-HR"/>
        </w:rPr>
      </w:pPr>
      <w:r w:rsidRPr="0083361C">
        <w:rPr>
          <w:rStyle w:val="FootnoteReference"/>
          <w:rFonts w:cs="Arial"/>
        </w:rPr>
        <w:footnoteRef/>
      </w:r>
      <w:r w:rsidRPr="00F26C52">
        <w:rPr>
          <w:rFonts w:cs="Arial"/>
          <w:lang w:val="hr-HR"/>
        </w:rPr>
        <w:t xml:space="preserve"> </w:t>
      </w:r>
      <w:r w:rsidRPr="0083361C">
        <w:rPr>
          <w:rFonts w:cs="Arial"/>
          <w:lang w:val="hr-HR"/>
        </w:rPr>
        <w:t>Krapac, Davor; Novi Zakon o međunarodnoj pravnoj pomoći: načela i postupci, u: Hrvatski ljetopis za kazneno pravo i praksu (Zagreb), vol. 12, broj 2/2005, str. 636.</w:t>
      </w:r>
    </w:p>
  </w:footnote>
  <w:footnote w:id="120">
    <w:p w:rsidR="00761B6C" w:rsidRPr="00733EFA" w:rsidRDefault="00761B6C" w:rsidP="002C115F">
      <w:pPr>
        <w:pStyle w:val="FootnoteText"/>
        <w:spacing w:line="360" w:lineRule="auto"/>
        <w:rPr>
          <w:rFonts w:cs="Arial"/>
          <w:lang w:val="hr-HR"/>
        </w:rPr>
      </w:pPr>
      <w:r>
        <w:rPr>
          <w:rStyle w:val="FootnoteReference"/>
        </w:rPr>
        <w:footnoteRef/>
      </w:r>
      <w:r>
        <w:t xml:space="preserve"> </w:t>
      </w:r>
      <w:r w:rsidRPr="00733EFA">
        <w:rPr>
          <w:rFonts w:cs="Arial"/>
          <w:lang w:val="hr-HR"/>
        </w:rPr>
        <w:t>Cohen-Almagor, Raphael; Freedom of Expression, Internet Responsibility, and Business Ethics: The Yaho</w:t>
      </w:r>
      <w:r>
        <w:rPr>
          <w:rFonts w:cs="Arial"/>
          <w:lang w:val="hr-HR"/>
        </w:rPr>
        <w:t xml:space="preserve">o! Saga and Its Implications, </w:t>
      </w:r>
      <w:r>
        <w:rPr>
          <w:rFonts w:cs="Arial"/>
          <w:szCs w:val="22"/>
          <w:lang w:val="hr-HR"/>
        </w:rPr>
        <w:t>(</w:t>
      </w:r>
      <w:r w:rsidRPr="00AF37F3">
        <w:rPr>
          <w:rFonts w:cs="Arial"/>
          <w:i/>
          <w:szCs w:val="22"/>
          <w:lang w:val="hr-HR"/>
        </w:rPr>
        <w:t>op. cit.</w:t>
      </w:r>
      <w:r>
        <w:rPr>
          <w:rFonts w:cs="Arial"/>
          <w:szCs w:val="22"/>
          <w:lang w:val="hr-HR"/>
        </w:rPr>
        <w:t xml:space="preserve"> (br. 114), </w:t>
      </w:r>
      <w:r w:rsidRPr="00733EFA">
        <w:rPr>
          <w:rFonts w:cs="Arial"/>
          <w:lang w:val="hr-HR"/>
        </w:rPr>
        <w:t xml:space="preserve"> str. 362.</w:t>
      </w:r>
      <w:r>
        <w:rPr>
          <w:rFonts w:cs="Arial"/>
          <w:lang w:val="hr-HR"/>
        </w:rPr>
        <w:t xml:space="preserve"> </w:t>
      </w:r>
    </w:p>
  </w:footnote>
  <w:footnote w:id="121">
    <w:p w:rsidR="00761B6C" w:rsidRPr="004419AC" w:rsidRDefault="00761B6C" w:rsidP="004419AC">
      <w:pPr>
        <w:pStyle w:val="FootnoteText"/>
        <w:spacing w:line="360" w:lineRule="auto"/>
        <w:rPr>
          <w:rFonts w:cs="Arial"/>
        </w:rPr>
      </w:pPr>
      <w:r w:rsidRPr="004419AC">
        <w:rPr>
          <w:rStyle w:val="FootnoteReference"/>
          <w:rFonts w:cs="Arial"/>
        </w:rPr>
        <w:footnoteRef/>
      </w:r>
      <w:r w:rsidRPr="004419AC">
        <w:rPr>
          <w:rFonts w:cs="Arial"/>
        </w:rPr>
        <w:t xml:space="preserve"> Tulkens, Françoise; When to say is to do – Freedom of expression and hate speech in the case-law of the European Court of Human Rights, Seminar on Human Rights for European Judicial Trainers 2012., str. 1. </w:t>
      </w:r>
    </w:p>
  </w:footnote>
  <w:footnote w:id="122">
    <w:p w:rsidR="00761B6C" w:rsidRPr="00CF303A" w:rsidRDefault="00761B6C" w:rsidP="004419AC">
      <w:pPr>
        <w:pStyle w:val="FootnoteText"/>
        <w:spacing w:line="360" w:lineRule="auto"/>
        <w:rPr>
          <w:lang w:val="hr-HR"/>
        </w:rPr>
      </w:pPr>
      <w:r w:rsidRPr="004419AC">
        <w:rPr>
          <w:rStyle w:val="FootnoteReference"/>
          <w:rFonts w:cs="Arial"/>
        </w:rPr>
        <w:footnoteRef/>
      </w:r>
      <w:r w:rsidRPr="004419AC">
        <w:rPr>
          <w:rFonts w:cs="Arial"/>
        </w:rPr>
        <w:t xml:space="preserve"> </w:t>
      </w:r>
      <w:r w:rsidRPr="004419AC">
        <w:rPr>
          <w:rFonts w:cs="Arial"/>
          <w:lang w:val="hr-HR"/>
        </w:rPr>
        <w:t>Benedek, Wolfgang; Kettemann, Matthias C.; Freedom of expression and the internet, Vijeće Europe, 2014., str. 109.</w:t>
      </w:r>
      <w:r>
        <w:rPr>
          <w:lang w:val="hr-HR"/>
        </w:rPr>
        <w:t xml:space="preserve"> </w:t>
      </w:r>
    </w:p>
  </w:footnote>
  <w:footnote w:id="123">
    <w:p w:rsidR="00761B6C" w:rsidRPr="005B0609" w:rsidRDefault="00761B6C" w:rsidP="00EA72B8">
      <w:pPr>
        <w:pStyle w:val="FootnoteText"/>
        <w:spacing w:line="360" w:lineRule="auto"/>
        <w:rPr>
          <w:bCs/>
          <w:lang w:val="hr-HR"/>
        </w:rPr>
      </w:pPr>
      <w:r>
        <w:rPr>
          <w:rStyle w:val="FootnoteReference"/>
        </w:rPr>
        <w:footnoteRef/>
      </w:r>
      <w:r w:rsidRPr="0066355E">
        <w:rPr>
          <w:lang w:val="hr-HR"/>
        </w:rPr>
        <w:t xml:space="preserve"> </w:t>
      </w:r>
      <w:r>
        <w:rPr>
          <w:lang w:val="hr-HR"/>
        </w:rPr>
        <w:t xml:space="preserve">U tom smislu, posebice su zanimljiva zapažanja objavljena u: </w:t>
      </w:r>
      <w:r>
        <w:rPr>
          <w:bCs/>
          <w:lang w:val="hr-HR"/>
        </w:rPr>
        <w:t>Istraživanje o stavovima i razini svijesti o diskriminaciji i pojavnim oblicima diskriminaci</w:t>
      </w:r>
      <w:r w:rsidRPr="005B0609">
        <w:rPr>
          <w:bCs/>
          <w:lang w:val="hr-HR"/>
        </w:rPr>
        <w:t>je</w:t>
      </w:r>
      <w:r>
        <w:rPr>
          <w:bCs/>
          <w:lang w:val="hr-HR"/>
        </w:rPr>
        <w:t xml:space="preserve">, Ured pučke pravobraniteljice, </w:t>
      </w:r>
      <w:r w:rsidRPr="005B0609">
        <w:rPr>
          <w:bCs/>
          <w:lang w:val="hr-HR"/>
        </w:rPr>
        <w:t>2012.</w:t>
      </w:r>
      <w:r>
        <w:rPr>
          <w:bCs/>
          <w:lang w:val="hr-HR"/>
        </w:rPr>
        <w:t xml:space="preserve">, dostupno na: </w:t>
      </w:r>
      <w:r w:rsidRPr="007527BB">
        <w:rPr>
          <w:bCs/>
          <w:lang w:val="hr-HR"/>
        </w:rPr>
        <w:t>http://www.ombudsman.hr/dokumenti/Istrazivanje%20o%20stavovima%20i%20razini%20svijesti%20o%20diskriminaciji%20i%20pojavnim%20oblicima%20diskriminacije%202012.pdf</w:t>
      </w:r>
      <w:r>
        <w:rPr>
          <w:bCs/>
          <w:lang w:val="hr-HR"/>
        </w:rPr>
        <w:t>, pristupljeno 1. travnja 2014.</w:t>
      </w:r>
    </w:p>
  </w:footnote>
  <w:footnote w:id="124">
    <w:p w:rsidR="00761B6C" w:rsidRPr="0083361C" w:rsidRDefault="00761B6C" w:rsidP="0083361C">
      <w:pPr>
        <w:pStyle w:val="FootnoteText"/>
        <w:spacing w:line="360" w:lineRule="auto"/>
        <w:rPr>
          <w:rFonts w:cs="Arial"/>
        </w:rPr>
      </w:pPr>
      <w:r w:rsidRPr="00F374FF">
        <w:rPr>
          <w:rStyle w:val="FootnoteReference"/>
          <w:lang w:val="hr-HR"/>
        </w:rPr>
        <w:footnoteRef/>
      </w:r>
      <w:r w:rsidRPr="00F374FF">
        <w:rPr>
          <w:lang w:val="hr-HR"/>
        </w:rPr>
        <w:t xml:space="preserve"> Npr. http://www.index.hr/index/default.aspx?id=3 , http://www.24sata.hr/uvjeti-koristenja/, http://www.vecernji.hr/uvjeti_koristenja/ ,  http://www.dnevno.hr/dnevno/5137-uvjeti</w:t>
      </w:r>
      <w:r>
        <w:rPr>
          <w:lang w:val="hr-HR"/>
        </w:rPr>
        <w:t xml:space="preserve">-koristenja.html itd. pristupljeno </w:t>
      </w:r>
      <w:r w:rsidRPr="00F374FF">
        <w:rPr>
          <w:lang w:val="hr-HR"/>
        </w:rPr>
        <w:t>1. travnja 2014.</w:t>
      </w:r>
    </w:p>
  </w:footnote>
  <w:footnote w:id="125">
    <w:p w:rsidR="00761B6C" w:rsidRPr="00F26C52" w:rsidRDefault="00761B6C" w:rsidP="0083361C">
      <w:pPr>
        <w:pStyle w:val="FootnoteText"/>
        <w:spacing w:line="360" w:lineRule="auto"/>
        <w:rPr>
          <w:rFonts w:cs="Arial"/>
        </w:rPr>
      </w:pPr>
      <w:r w:rsidRPr="00F374FF">
        <w:rPr>
          <w:rStyle w:val="FootnoteReference"/>
          <w:lang w:val="hr-HR"/>
        </w:rPr>
        <w:footnoteRef/>
      </w:r>
      <w:r w:rsidRPr="00F374FF">
        <w:rPr>
          <w:lang w:val="hr-HR"/>
        </w:rPr>
        <w:t xml:space="preserve"> Npr.</w:t>
      </w:r>
      <w:r>
        <w:rPr>
          <w:lang w:val="hr-HR"/>
        </w:rPr>
        <w:t xml:space="preserve"> Dosta je gadosti, ukinuli smo komentiranje tekstova,</w:t>
      </w:r>
      <w:r w:rsidRPr="00F374FF">
        <w:rPr>
          <w:rFonts w:cs="Arial"/>
          <w:lang w:val="hr-HR"/>
        </w:rPr>
        <w:t xml:space="preserve"> http://danas.net.hr/hrvatska/dosta-je-gadosti-ukinuli-smo-komentiranje-tekstova,</w:t>
      </w:r>
      <w:r w:rsidRPr="00F26C52">
        <w:rPr>
          <w:rFonts w:cs="Arial"/>
        </w:rPr>
        <w:t xml:space="preserve"> </w:t>
      </w:r>
      <w:r>
        <w:rPr>
          <w:lang w:val="hr-HR"/>
        </w:rPr>
        <w:t xml:space="preserve">pristupljeno </w:t>
      </w:r>
      <w:r w:rsidRPr="00F374FF">
        <w:rPr>
          <w:lang w:val="hr-HR"/>
        </w:rPr>
        <w:t xml:space="preserve">1. travnja 2014. </w:t>
      </w:r>
    </w:p>
  </w:footnote>
  <w:footnote w:id="126">
    <w:p w:rsidR="00761B6C" w:rsidRPr="007527BB" w:rsidRDefault="00761B6C" w:rsidP="003F2D22">
      <w:pPr>
        <w:pStyle w:val="FootnoteText"/>
        <w:spacing w:line="360" w:lineRule="auto"/>
        <w:rPr>
          <w:rFonts w:cs="Arial"/>
          <w:lang w:val="fr-FR"/>
        </w:rPr>
      </w:pPr>
      <w:r w:rsidRPr="00F374FF">
        <w:rPr>
          <w:rStyle w:val="FootnoteReference"/>
          <w:lang w:val="hr-HR"/>
        </w:rPr>
        <w:footnoteRef/>
      </w:r>
      <w:r w:rsidRPr="00F374FF">
        <w:rPr>
          <w:lang w:val="hr-HR"/>
        </w:rPr>
        <w:t xml:space="preserve"> Vidjeti : </w:t>
      </w:r>
      <w:r>
        <w:rPr>
          <w:lang w:val="hr-HR"/>
        </w:rPr>
        <w:t xml:space="preserve">Portali muku muče s uvredama i govorom mržnje u komentarima </w:t>
      </w:r>
      <w:r w:rsidRPr="00F374FF">
        <w:rPr>
          <w:lang w:val="hr-HR"/>
        </w:rPr>
        <w:t>http://www.jutarnji.hr/portali-muku-muce-s-uvredama-i-mrznjom-u-komentarima/11</w:t>
      </w:r>
      <w:r>
        <w:rPr>
          <w:lang w:val="hr-HR"/>
        </w:rPr>
        <w:t>38810/, pristupljeno</w:t>
      </w:r>
      <w:r w:rsidRPr="00F374FF">
        <w:rPr>
          <w:lang w:val="hr-HR"/>
        </w:rPr>
        <w:t xml:space="preserve"> 1. travnja 2014. </w:t>
      </w:r>
    </w:p>
  </w:footnote>
  <w:footnote w:id="127">
    <w:p w:rsidR="00761B6C" w:rsidRPr="00FE32A9" w:rsidRDefault="00761B6C" w:rsidP="006C0063">
      <w:pPr>
        <w:pStyle w:val="FootnoteText"/>
        <w:spacing w:line="360" w:lineRule="auto"/>
        <w:rPr>
          <w:lang w:val="hr-HR"/>
        </w:rPr>
      </w:pPr>
      <w:r>
        <w:rPr>
          <w:rStyle w:val="FootnoteReference"/>
        </w:rPr>
        <w:footnoteRef/>
      </w:r>
      <w:r>
        <w:t xml:space="preserve"> </w:t>
      </w:r>
      <w:r>
        <w:rPr>
          <w:lang w:val="hr-HR"/>
        </w:rPr>
        <w:t xml:space="preserve">Suprotno tome, o inicijativi kojom se u Njemačkoj pokušalo očuvati pravo na korištenje pseudonima pri služenju društvenom mrežom </w:t>
      </w:r>
      <w:r w:rsidRPr="00FE32A9">
        <w:rPr>
          <w:i/>
          <w:lang w:val="hr-HR"/>
        </w:rPr>
        <w:t>Facebook</w:t>
      </w:r>
      <w:r>
        <w:rPr>
          <w:lang w:val="hr-HR"/>
        </w:rPr>
        <w:t xml:space="preserve"> vidi u: </w:t>
      </w:r>
      <w:r w:rsidRPr="005212B6">
        <w:rPr>
          <w:rFonts w:cs="Arial"/>
          <w:szCs w:val="22"/>
          <w:lang w:val="hr-HR"/>
        </w:rPr>
        <w:t xml:space="preserve">Benedek, Wolfgang; Kettemann, Matthias C.; Freedom of expression and the internet, </w:t>
      </w:r>
      <w:r>
        <w:rPr>
          <w:rFonts w:cs="Arial"/>
          <w:szCs w:val="22"/>
          <w:lang w:val="hr-HR"/>
        </w:rPr>
        <w:t>(</w:t>
      </w:r>
      <w:r w:rsidRPr="005813E7">
        <w:rPr>
          <w:rFonts w:cs="Arial"/>
          <w:i/>
          <w:szCs w:val="22"/>
          <w:lang w:val="hr-HR"/>
        </w:rPr>
        <w:t>op.cit.</w:t>
      </w:r>
      <w:r>
        <w:rPr>
          <w:rFonts w:cs="Arial"/>
          <w:szCs w:val="22"/>
          <w:lang w:val="hr-HR"/>
        </w:rPr>
        <w:t xml:space="preserve"> (br. 122), str. 121.</w:t>
      </w:r>
    </w:p>
  </w:footnote>
  <w:footnote w:id="128">
    <w:p w:rsidR="00761B6C" w:rsidRPr="003F2D22" w:rsidRDefault="00761B6C" w:rsidP="003F2D22">
      <w:pPr>
        <w:pStyle w:val="FootnoteText"/>
        <w:spacing w:line="360" w:lineRule="auto"/>
        <w:rPr>
          <w:rFonts w:cs="Arial"/>
          <w:lang w:val="fr-FR"/>
        </w:rPr>
      </w:pPr>
      <w:r w:rsidRPr="003F2D22">
        <w:rPr>
          <w:rStyle w:val="FootnoteReference"/>
          <w:rFonts w:cs="Arial"/>
        </w:rPr>
        <w:footnoteRef/>
      </w:r>
      <w:r w:rsidRPr="003F2D22">
        <w:rPr>
          <w:rFonts w:cs="Arial"/>
          <w:lang w:val="fr-FR"/>
        </w:rPr>
        <w:t xml:space="preserve"> </w:t>
      </w:r>
      <w:r>
        <w:rPr>
          <w:rFonts w:cs="Arial"/>
          <w:lang w:val="fr-FR"/>
        </w:rPr>
        <w:t>N</w:t>
      </w:r>
      <w:r w:rsidRPr="003F2D22">
        <w:rPr>
          <w:rFonts w:cs="Arial"/>
          <w:lang w:val="fr-FR"/>
        </w:rPr>
        <w:t xml:space="preserve">pr. </w:t>
      </w:r>
      <w:r w:rsidRPr="006818D3">
        <w:rPr>
          <w:rFonts w:cs="Arial"/>
          <w:lang w:val="fr-FR"/>
        </w:rPr>
        <w:t>https://www.njuskalo.hr/registracija/</w:t>
      </w:r>
      <w:r>
        <w:rPr>
          <w:rFonts w:cs="Arial"/>
          <w:lang w:val="fr-FR"/>
        </w:rPr>
        <w:t xml:space="preserve">, pristupljeno 24. </w:t>
      </w:r>
      <w:proofErr w:type="gramStart"/>
      <w:r>
        <w:rPr>
          <w:rFonts w:cs="Arial"/>
          <w:lang w:val="fr-FR"/>
        </w:rPr>
        <w:t>travnja</w:t>
      </w:r>
      <w:proofErr w:type="gramEnd"/>
      <w:r>
        <w:rPr>
          <w:rFonts w:cs="Arial"/>
          <w:lang w:val="fr-FR"/>
        </w:rPr>
        <w:t xml:space="preserve"> 2014.</w:t>
      </w:r>
    </w:p>
  </w:footnote>
  <w:footnote w:id="129">
    <w:p w:rsidR="00761B6C" w:rsidRPr="00271414" w:rsidRDefault="00761B6C" w:rsidP="00761B6C">
      <w:pPr>
        <w:pStyle w:val="FootnoteText"/>
        <w:spacing w:line="360" w:lineRule="auto"/>
        <w:rPr>
          <w:lang w:val="hr-HR"/>
        </w:rPr>
      </w:pPr>
      <w:r>
        <w:rPr>
          <w:rStyle w:val="FootnoteReference"/>
        </w:rPr>
        <w:footnoteRef/>
      </w:r>
      <w:r>
        <w:t xml:space="preserve"> </w:t>
      </w:r>
      <w:proofErr w:type="gramStart"/>
      <w:r w:rsidRPr="003F2D22">
        <w:rPr>
          <w:rFonts w:cs="Arial"/>
        </w:rPr>
        <w:t>Zakon o zaštiti osobnih podataka (Narodne novine, br. 103/03, 118/06, 41/08, 130/11, 106/12)</w:t>
      </w:r>
      <w:r>
        <w:rPr>
          <w:rFonts w:cs="Arial"/>
        </w:rPr>
        <w:t>.</w:t>
      </w:r>
      <w:proofErr w:type="gramEnd"/>
    </w:p>
  </w:footnote>
  <w:footnote w:id="130">
    <w:p w:rsidR="00761B6C" w:rsidRPr="00267D00" w:rsidRDefault="00761B6C" w:rsidP="00761B6C">
      <w:pPr>
        <w:pStyle w:val="FootnoteText"/>
        <w:spacing w:line="360" w:lineRule="auto"/>
        <w:rPr>
          <w:rFonts w:cs="Arial"/>
          <w:lang w:val="hr-HR"/>
        </w:rPr>
      </w:pPr>
      <w:r w:rsidRPr="003F2D22">
        <w:rPr>
          <w:rStyle w:val="FootnoteReference"/>
          <w:rFonts w:cs="Arial"/>
        </w:rPr>
        <w:footnoteRef/>
      </w:r>
      <w:r w:rsidRPr="003F2D22">
        <w:rPr>
          <w:rFonts w:cs="Arial"/>
          <w:lang w:val="fr-FR"/>
        </w:rPr>
        <w:t xml:space="preserve"> </w:t>
      </w:r>
      <w:r w:rsidRPr="003F2D22">
        <w:rPr>
          <w:rFonts w:cs="Arial"/>
          <w:lang w:val="hr-HR"/>
        </w:rPr>
        <w:t>Europska udruga studenata prava – ELSA nastala je 1981. Tijekom godina se razvijala te je trenutno najveća svjetska udruga studenata prava. Njena vizija je „Pravedan svijet u kojem postoji poštovanje ljudskog dostojanstva i kulturoloških razlika.“ Više na: www.elsa.org.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B6C" w:rsidRDefault="00761B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402B9"/>
    <w:multiLevelType w:val="hybridMultilevel"/>
    <w:tmpl w:val="53D22138"/>
    <w:lvl w:ilvl="0" w:tplc="BC209510">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D841865"/>
    <w:multiLevelType w:val="hybridMultilevel"/>
    <w:tmpl w:val="024EBE40"/>
    <w:lvl w:ilvl="0" w:tplc="25F8033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0035ADC"/>
    <w:multiLevelType w:val="multilevel"/>
    <w:tmpl w:val="76D2F7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4B622FF"/>
    <w:multiLevelType w:val="hybridMultilevel"/>
    <w:tmpl w:val="A90CE5EC"/>
    <w:lvl w:ilvl="0" w:tplc="A1FE1A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6E96773"/>
    <w:multiLevelType w:val="hybridMultilevel"/>
    <w:tmpl w:val="4E2AF120"/>
    <w:lvl w:ilvl="0" w:tplc="041A001B">
      <w:start w:val="1"/>
      <w:numFmt w:val="lowerRoman"/>
      <w:lvlText w:val="%1."/>
      <w:lvlJc w:val="righ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nsid w:val="273D0A99"/>
    <w:multiLevelType w:val="multilevel"/>
    <w:tmpl w:val="2DB265FC"/>
    <w:styleLink w:val="Style2"/>
    <w:lvl w:ilvl="0">
      <w:start w:val="1"/>
      <w:numFmt w:val="decimal"/>
      <w:lvlText w:val="3. %1."/>
      <w:lvlJc w:val="left"/>
      <w:pPr>
        <w:ind w:left="786" w:hanging="360"/>
      </w:pPr>
      <w:rPr>
        <w:rFonts w:ascii="Arial" w:hAnsi="Arial" w:hint="default"/>
        <w:sz w:val="22"/>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6">
    <w:nsid w:val="34543E73"/>
    <w:multiLevelType w:val="multilevel"/>
    <w:tmpl w:val="32AC3B98"/>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77F3CC2"/>
    <w:multiLevelType w:val="hybridMultilevel"/>
    <w:tmpl w:val="53AA276C"/>
    <w:lvl w:ilvl="0" w:tplc="BC209510">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A1C1223"/>
    <w:multiLevelType w:val="hybridMultilevel"/>
    <w:tmpl w:val="F65CCBB6"/>
    <w:lvl w:ilvl="0" w:tplc="BC209510">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3B240BA8"/>
    <w:multiLevelType w:val="multilevel"/>
    <w:tmpl w:val="312A7FCC"/>
    <w:styleLink w:val="ida1"/>
    <w:lvl w:ilvl="0">
      <w:start w:val="1"/>
      <w:numFmt w:val="upperRoman"/>
      <w:lvlText w:val="%1."/>
      <w:lvlJc w:val="left"/>
      <w:pPr>
        <w:ind w:left="717" w:hanging="360"/>
      </w:pPr>
      <w:rPr>
        <w:rFonts w:ascii="Arial" w:hAnsi="Arial" w:hint="default"/>
        <w:caps/>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B3F183D"/>
    <w:multiLevelType w:val="hybridMultilevel"/>
    <w:tmpl w:val="033EE0C6"/>
    <w:lvl w:ilvl="0" w:tplc="BC209510">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3B4B6722"/>
    <w:multiLevelType w:val="hybridMultilevel"/>
    <w:tmpl w:val="94A02620"/>
    <w:lvl w:ilvl="0" w:tplc="041A001B">
      <w:start w:val="1"/>
      <w:numFmt w:val="lowerRoman"/>
      <w:lvlText w:val="%1."/>
      <w:lvlJc w:val="righ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2">
    <w:nsid w:val="3ECD73C5"/>
    <w:multiLevelType w:val="multilevel"/>
    <w:tmpl w:val="041A001D"/>
    <w:styleLink w:val="Style4"/>
    <w:lvl w:ilvl="0">
      <w:start w:val="1"/>
      <w:numFmt w:val="decimal"/>
      <w:lvlText w:val="%1)"/>
      <w:lvlJc w:val="left"/>
      <w:pPr>
        <w:ind w:left="360" w:hanging="360"/>
      </w:p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064775F"/>
    <w:multiLevelType w:val="multilevel"/>
    <w:tmpl w:val="FA96D188"/>
    <w:styleLink w:val="Style3"/>
    <w:lvl w:ilvl="0">
      <w:start w:val="1"/>
      <w:numFmt w:val="decimal"/>
      <w:lvlText w:val="%1)"/>
      <w:lvlJc w:val="left"/>
      <w:pPr>
        <w:ind w:left="360" w:hanging="360"/>
      </w:pPr>
      <w:rPr>
        <w:rFonts w:hint="default"/>
        <w:sz w:val="22"/>
      </w:rPr>
    </w:lvl>
    <w:lvl w:ilvl="1">
      <w:start w:val="1"/>
      <w:numFmt w:val="lowerLetter"/>
      <w:lvlText w:val="%2)"/>
      <w:lvlJc w:val="left"/>
      <w:pPr>
        <w:ind w:left="720" w:hanging="360"/>
      </w:pPr>
      <w:rPr>
        <w:rFonts w:ascii="Arial" w:hAnsi="Arial" w:hint="default"/>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2DB13B6"/>
    <w:multiLevelType w:val="hybridMultilevel"/>
    <w:tmpl w:val="A67EC77C"/>
    <w:lvl w:ilvl="0" w:tplc="BE380B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47B6359"/>
    <w:multiLevelType w:val="hybridMultilevel"/>
    <w:tmpl w:val="469883BA"/>
    <w:lvl w:ilvl="0" w:tplc="397806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4DC67184"/>
    <w:multiLevelType w:val="hybridMultilevel"/>
    <w:tmpl w:val="4768E898"/>
    <w:lvl w:ilvl="0" w:tplc="2EDC2C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55AE32EC"/>
    <w:multiLevelType w:val="hybridMultilevel"/>
    <w:tmpl w:val="7172A658"/>
    <w:lvl w:ilvl="0" w:tplc="72D6FF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560B288E"/>
    <w:multiLevelType w:val="hybridMultilevel"/>
    <w:tmpl w:val="0F38213E"/>
    <w:lvl w:ilvl="0" w:tplc="D262A0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596C55D7"/>
    <w:multiLevelType w:val="multilevel"/>
    <w:tmpl w:val="9FA4FCD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rPr>
    </w:lvl>
    <w:lvl w:ilvl="2">
      <w:start w:val="1"/>
      <w:numFmt w:val="decimal"/>
      <w:pStyle w:val="Heading3"/>
      <w:lvlText w:val="%1.%2.%3"/>
      <w:lvlJc w:val="left"/>
      <w:pPr>
        <w:ind w:left="114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617E639A"/>
    <w:multiLevelType w:val="hybridMultilevel"/>
    <w:tmpl w:val="42288008"/>
    <w:lvl w:ilvl="0" w:tplc="3D52E1E2">
      <w:start w:val="1"/>
      <w:numFmt w:val="decimal"/>
      <w:pStyle w:val="Subtitle"/>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61B65149"/>
    <w:multiLevelType w:val="hybridMultilevel"/>
    <w:tmpl w:val="33CC9B0C"/>
    <w:lvl w:ilvl="0" w:tplc="041A000F">
      <w:start w:val="1"/>
      <w:numFmt w:val="decimal"/>
      <w:lvlText w:val="%1."/>
      <w:lvlJc w:val="left"/>
      <w:pPr>
        <w:ind w:left="862" w:hanging="360"/>
      </w:p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22">
    <w:nsid w:val="680E2740"/>
    <w:multiLevelType w:val="hybridMultilevel"/>
    <w:tmpl w:val="C1C2DE82"/>
    <w:lvl w:ilvl="0" w:tplc="041A0017">
      <w:start w:val="1"/>
      <w:numFmt w:val="lowerLetter"/>
      <w:lvlText w:val="%1)"/>
      <w:lvlJc w:val="left"/>
      <w:pPr>
        <w:ind w:left="789" w:hanging="360"/>
      </w:pPr>
    </w:lvl>
    <w:lvl w:ilvl="1" w:tplc="041A001B">
      <w:start w:val="1"/>
      <w:numFmt w:val="lowerRoman"/>
      <w:lvlText w:val="%2."/>
      <w:lvlJc w:val="right"/>
      <w:pPr>
        <w:ind w:left="1509"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3">
    <w:nsid w:val="72DF17C2"/>
    <w:multiLevelType w:val="hybridMultilevel"/>
    <w:tmpl w:val="31CA86CC"/>
    <w:lvl w:ilvl="0" w:tplc="897E384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7F664DE4"/>
    <w:multiLevelType w:val="hybridMultilevel"/>
    <w:tmpl w:val="19007E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0"/>
  </w:num>
  <w:num w:numId="2">
    <w:abstractNumId w:val="9"/>
  </w:num>
  <w:num w:numId="3">
    <w:abstractNumId w:val="6"/>
  </w:num>
  <w:num w:numId="4">
    <w:abstractNumId w:val="5"/>
  </w:num>
  <w:num w:numId="5">
    <w:abstractNumId w:val="13"/>
  </w:num>
  <w:num w:numId="6">
    <w:abstractNumId w:val="12"/>
  </w:num>
  <w:num w:numId="7">
    <w:abstractNumId w:val="19"/>
  </w:num>
  <w:num w:numId="8">
    <w:abstractNumId w:val="1"/>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 w:numId="14">
    <w:abstractNumId w:val="7"/>
  </w:num>
  <w:num w:numId="15">
    <w:abstractNumId w:val="10"/>
  </w:num>
  <w:num w:numId="16">
    <w:abstractNumId w:val="19"/>
  </w:num>
  <w:num w:numId="17">
    <w:abstractNumId w:val="19"/>
  </w:num>
  <w:num w:numId="18">
    <w:abstractNumId w:val="2"/>
  </w:num>
  <w:num w:numId="19">
    <w:abstractNumId w:val="24"/>
  </w:num>
  <w:num w:numId="20">
    <w:abstractNumId w:val="4"/>
  </w:num>
  <w:num w:numId="21">
    <w:abstractNumId w:val="22"/>
  </w:num>
  <w:num w:numId="22">
    <w:abstractNumId w:val="19"/>
  </w:num>
  <w:num w:numId="23">
    <w:abstractNumId w:val="19"/>
  </w:num>
  <w:num w:numId="24">
    <w:abstractNumId w:val="19"/>
  </w:num>
  <w:num w:numId="25">
    <w:abstractNumId w:val="21"/>
  </w:num>
  <w:num w:numId="26">
    <w:abstractNumId w:val="19"/>
  </w:num>
  <w:num w:numId="27">
    <w:abstractNumId w:val="19"/>
  </w:num>
  <w:num w:numId="28">
    <w:abstractNumId w:val="19"/>
  </w:num>
  <w:num w:numId="29">
    <w:abstractNumId w:val="16"/>
  </w:num>
  <w:num w:numId="30">
    <w:abstractNumId w:val="15"/>
  </w:num>
  <w:num w:numId="31">
    <w:abstractNumId w:val="3"/>
  </w:num>
  <w:num w:numId="32">
    <w:abstractNumId w:val="17"/>
  </w:num>
  <w:num w:numId="33">
    <w:abstractNumId w:val="23"/>
  </w:num>
  <w:num w:numId="34">
    <w:abstractNumId w:val="14"/>
  </w:num>
  <w:num w:numId="35">
    <w:abstractNumId w:val="1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proofState w:grammar="clean"/>
  <w:stylePaneFormatFilter w:val="1728"/>
  <w:defaultTabStop w:val="708"/>
  <w:hyphenationZone w:val="425"/>
  <w:characterSpacingControl w:val="doNotCompress"/>
  <w:hdrShapeDefaults>
    <o:shapedefaults v:ext="edit" spidmax="33794"/>
  </w:hdrShapeDefaults>
  <w:footnotePr>
    <w:footnote w:id="-1"/>
    <w:footnote w:id="0"/>
  </w:footnotePr>
  <w:endnotePr>
    <w:endnote w:id="-1"/>
    <w:endnote w:id="0"/>
  </w:endnotePr>
  <w:compat/>
  <w:rsids>
    <w:rsidRoot w:val="007520B9"/>
    <w:rsid w:val="000003BC"/>
    <w:rsid w:val="000017DD"/>
    <w:rsid w:val="00001B0F"/>
    <w:rsid w:val="00002D63"/>
    <w:rsid w:val="00004C26"/>
    <w:rsid w:val="00005DF2"/>
    <w:rsid w:val="00006A3E"/>
    <w:rsid w:val="00007C43"/>
    <w:rsid w:val="000106EF"/>
    <w:rsid w:val="0001071C"/>
    <w:rsid w:val="0001185B"/>
    <w:rsid w:val="00011895"/>
    <w:rsid w:val="00011C15"/>
    <w:rsid w:val="000122F5"/>
    <w:rsid w:val="00012D50"/>
    <w:rsid w:val="0001325E"/>
    <w:rsid w:val="0001353D"/>
    <w:rsid w:val="00014480"/>
    <w:rsid w:val="00015944"/>
    <w:rsid w:val="00016577"/>
    <w:rsid w:val="000166C0"/>
    <w:rsid w:val="00017E0F"/>
    <w:rsid w:val="000216F9"/>
    <w:rsid w:val="00022011"/>
    <w:rsid w:val="00023627"/>
    <w:rsid w:val="00024AC2"/>
    <w:rsid w:val="00024E33"/>
    <w:rsid w:val="000252DC"/>
    <w:rsid w:val="00025D60"/>
    <w:rsid w:val="00027220"/>
    <w:rsid w:val="000304B5"/>
    <w:rsid w:val="00030A6B"/>
    <w:rsid w:val="0003130A"/>
    <w:rsid w:val="000313BD"/>
    <w:rsid w:val="00031831"/>
    <w:rsid w:val="0003269E"/>
    <w:rsid w:val="00034A14"/>
    <w:rsid w:val="00040ECE"/>
    <w:rsid w:val="00042356"/>
    <w:rsid w:val="00042D6C"/>
    <w:rsid w:val="0004346F"/>
    <w:rsid w:val="00043FB1"/>
    <w:rsid w:val="00045F0D"/>
    <w:rsid w:val="00046637"/>
    <w:rsid w:val="000479EF"/>
    <w:rsid w:val="00053244"/>
    <w:rsid w:val="000537C0"/>
    <w:rsid w:val="000539D3"/>
    <w:rsid w:val="00055411"/>
    <w:rsid w:val="00057189"/>
    <w:rsid w:val="000603E7"/>
    <w:rsid w:val="0006085A"/>
    <w:rsid w:val="00061235"/>
    <w:rsid w:val="00061B51"/>
    <w:rsid w:val="00061BAA"/>
    <w:rsid w:val="00062652"/>
    <w:rsid w:val="00063B14"/>
    <w:rsid w:val="00063F70"/>
    <w:rsid w:val="0006457F"/>
    <w:rsid w:val="000656A2"/>
    <w:rsid w:val="00065F41"/>
    <w:rsid w:val="0006607E"/>
    <w:rsid w:val="00066CE0"/>
    <w:rsid w:val="00066ECF"/>
    <w:rsid w:val="00070D4B"/>
    <w:rsid w:val="00073388"/>
    <w:rsid w:val="00073C18"/>
    <w:rsid w:val="000743C7"/>
    <w:rsid w:val="00074CBD"/>
    <w:rsid w:val="00075F62"/>
    <w:rsid w:val="00080CF4"/>
    <w:rsid w:val="00081E98"/>
    <w:rsid w:val="00082519"/>
    <w:rsid w:val="00084178"/>
    <w:rsid w:val="000845A4"/>
    <w:rsid w:val="00084955"/>
    <w:rsid w:val="000850A6"/>
    <w:rsid w:val="000869A7"/>
    <w:rsid w:val="00086B77"/>
    <w:rsid w:val="00090926"/>
    <w:rsid w:val="0009156B"/>
    <w:rsid w:val="00091E5F"/>
    <w:rsid w:val="0009246C"/>
    <w:rsid w:val="000940CD"/>
    <w:rsid w:val="00095124"/>
    <w:rsid w:val="0009608C"/>
    <w:rsid w:val="0009610E"/>
    <w:rsid w:val="000A063C"/>
    <w:rsid w:val="000A07C0"/>
    <w:rsid w:val="000A2A84"/>
    <w:rsid w:val="000A347D"/>
    <w:rsid w:val="000A3A36"/>
    <w:rsid w:val="000A3C4B"/>
    <w:rsid w:val="000A58C2"/>
    <w:rsid w:val="000B45CD"/>
    <w:rsid w:val="000B48C3"/>
    <w:rsid w:val="000B526B"/>
    <w:rsid w:val="000B5658"/>
    <w:rsid w:val="000B7F0F"/>
    <w:rsid w:val="000C00C1"/>
    <w:rsid w:val="000C06AF"/>
    <w:rsid w:val="000C11B3"/>
    <w:rsid w:val="000C16F1"/>
    <w:rsid w:val="000C32F0"/>
    <w:rsid w:val="000C463A"/>
    <w:rsid w:val="000C4879"/>
    <w:rsid w:val="000C4FB2"/>
    <w:rsid w:val="000C56C4"/>
    <w:rsid w:val="000C5718"/>
    <w:rsid w:val="000C6B5D"/>
    <w:rsid w:val="000C72E1"/>
    <w:rsid w:val="000C7C55"/>
    <w:rsid w:val="000D3708"/>
    <w:rsid w:val="000D4716"/>
    <w:rsid w:val="000D57A0"/>
    <w:rsid w:val="000D6A7B"/>
    <w:rsid w:val="000D6FD3"/>
    <w:rsid w:val="000D7580"/>
    <w:rsid w:val="000D7F89"/>
    <w:rsid w:val="000E00DB"/>
    <w:rsid w:val="000E099E"/>
    <w:rsid w:val="000E0F6F"/>
    <w:rsid w:val="000E20E8"/>
    <w:rsid w:val="000E3F65"/>
    <w:rsid w:val="000E455B"/>
    <w:rsid w:val="000E4CB8"/>
    <w:rsid w:val="000E4F0B"/>
    <w:rsid w:val="000E5A9F"/>
    <w:rsid w:val="000F01E6"/>
    <w:rsid w:val="000F3E4B"/>
    <w:rsid w:val="000F442C"/>
    <w:rsid w:val="000F4755"/>
    <w:rsid w:val="000F479C"/>
    <w:rsid w:val="000F60E0"/>
    <w:rsid w:val="00100E21"/>
    <w:rsid w:val="0010106A"/>
    <w:rsid w:val="00101F75"/>
    <w:rsid w:val="00101F79"/>
    <w:rsid w:val="001037DC"/>
    <w:rsid w:val="0010492F"/>
    <w:rsid w:val="00104C45"/>
    <w:rsid w:val="001055B7"/>
    <w:rsid w:val="0010685F"/>
    <w:rsid w:val="00107295"/>
    <w:rsid w:val="00107B9E"/>
    <w:rsid w:val="00110528"/>
    <w:rsid w:val="00110547"/>
    <w:rsid w:val="001106AB"/>
    <w:rsid w:val="001106FE"/>
    <w:rsid w:val="0011126F"/>
    <w:rsid w:val="001113BC"/>
    <w:rsid w:val="00111AB5"/>
    <w:rsid w:val="0011253C"/>
    <w:rsid w:val="00112BD5"/>
    <w:rsid w:val="00112E8B"/>
    <w:rsid w:val="001139CD"/>
    <w:rsid w:val="00116A57"/>
    <w:rsid w:val="00116FF1"/>
    <w:rsid w:val="00121030"/>
    <w:rsid w:val="00121FE9"/>
    <w:rsid w:val="001242FD"/>
    <w:rsid w:val="00125C80"/>
    <w:rsid w:val="00125DCD"/>
    <w:rsid w:val="00126C14"/>
    <w:rsid w:val="00131A92"/>
    <w:rsid w:val="00131C84"/>
    <w:rsid w:val="00134F33"/>
    <w:rsid w:val="00141B09"/>
    <w:rsid w:val="0014354C"/>
    <w:rsid w:val="00144C51"/>
    <w:rsid w:val="00145EBF"/>
    <w:rsid w:val="00151F11"/>
    <w:rsid w:val="00152EB3"/>
    <w:rsid w:val="00152FBF"/>
    <w:rsid w:val="00154C38"/>
    <w:rsid w:val="00154EE2"/>
    <w:rsid w:val="0015549A"/>
    <w:rsid w:val="00155BB3"/>
    <w:rsid w:val="00156E35"/>
    <w:rsid w:val="00162459"/>
    <w:rsid w:val="001629A1"/>
    <w:rsid w:val="00162A60"/>
    <w:rsid w:val="00163A98"/>
    <w:rsid w:val="0017092D"/>
    <w:rsid w:val="00171797"/>
    <w:rsid w:val="001727B6"/>
    <w:rsid w:val="00172CE7"/>
    <w:rsid w:val="00173AEB"/>
    <w:rsid w:val="001748CD"/>
    <w:rsid w:val="0017595F"/>
    <w:rsid w:val="0017611C"/>
    <w:rsid w:val="00176E1A"/>
    <w:rsid w:val="00182B5F"/>
    <w:rsid w:val="001843A0"/>
    <w:rsid w:val="001849C2"/>
    <w:rsid w:val="00184C58"/>
    <w:rsid w:val="00185311"/>
    <w:rsid w:val="00185BF7"/>
    <w:rsid w:val="0019176B"/>
    <w:rsid w:val="00192C1D"/>
    <w:rsid w:val="00192F14"/>
    <w:rsid w:val="0019328F"/>
    <w:rsid w:val="001938D9"/>
    <w:rsid w:val="00193A57"/>
    <w:rsid w:val="00194E4F"/>
    <w:rsid w:val="00196388"/>
    <w:rsid w:val="001968AB"/>
    <w:rsid w:val="001A0507"/>
    <w:rsid w:val="001A1BD5"/>
    <w:rsid w:val="001A1D5B"/>
    <w:rsid w:val="001A1DC5"/>
    <w:rsid w:val="001A2204"/>
    <w:rsid w:val="001A5801"/>
    <w:rsid w:val="001A6C38"/>
    <w:rsid w:val="001B106E"/>
    <w:rsid w:val="001B14B4"/>
    <w:rsid w:val="001B1669"/>
    <w:rsid w:val="001B1904"/>
    <w:rsid w:val="001B199B"/>
    <w:rsid w:val="001B1D2D"/>
    <w:rsid w:val="001B2B87"/>
    <w:rsid w:val="001B430C"/>
    <w:rsid w:val="001B43D8"/>
    <w:rsid w:val="001B4505"/>
    <w:rsid w:val="001B4809"/>
    <w:rsid w:val="001B4BC8"/>
    <w:rsid w:val="001B4D09"/>
    <w:rsid w:val="001B5243"/>
    <w:rsid w:val="001B5941"/>
    <w:rsid w:val="001B6128"/>
    <w:rsid w:val="001B61F0"/>
    <w:rsid w:val="001B654E"/>
    <w:rsid w:val="001B6789"/>
    <w:rsid w:val="001B7D7E"/>
    <w:rsid w:val="001C0AA9"/>
    <w:rsid w:val="001C253A"/>
    <w:rsid w:val="001C3456"/>
    <w:rsid w:val="001C6290"/>
    <w:rsid w:val="001C6DB1"/>
    <w:rsid w:val="001C707F"/>
    <w:rsid w:val="001D0725"/>
    <w:rsid w:val="001D16E0"/>
    <w:rsid w:val="001D186E"/>
    <w:rsid w:val="001D3A6C"/>
    <w:rsid w:val="001D405A"/>
    <w:rsid w:val="001D4633"/>
    <w:rsid w:val="001D4A43"/>
    <w:rsid w:val="001D58CB"/>
    <w:rsid w:val="001D7ABE"/>
    <w:rsid w:val="001E078C"/>
    <w:rsid w:val="001E1A80"/>
    <w:rsid w:val="001E2347"/>
    <w:rsid w:val="001E3364"/>
    <w:rsid w:val="001E3FE2"/>
    <w:rsid w:val="001E4026"/>
    <w:rsid w:val="001E5287"/>
    <w:rsid w:val="001E5C18"/>
    <w:rsid w:val="001E6C43"/>
    <w:rsid w:val="001E6E54"/>
    <w:rsid w:val="001E7227"/>
    <w:rsid w:val="001F140B"/>
    <w:rsid w:val="001F20E8"/>
    <w:rsid w:val="001F218A"/>
    <w:rsid w:val="001F2AC0"/>
    <w:rsid w:val="001F2EA0"/>
    <w:rsid w:val="001F3A25"/>
    <w:rsid w:val="001F55B4"/>
    <w:rsid w:val="001F5C62"/>
    <w:rsid w:val="001F7672"/>
    <w:rsid w:val="001F79FD"/>
    <w:rsid w:val="00200E88"/>
    <w:rsid w:val="0020203F"/>
    <w:rsid w:val="00202201"/>
    <w:rsid w:val="00202F9E"/>
    <w:rsid w:val="0020397D"/>
    <w:rsid w:val="00204A56"/>
    <w:rsid w:val="00205EC3"/>
    <w:rsid w:val="00205FE0"/>
    <w:rsid w:val="00206321"/>
    <w:rsid w:val="002064C2"/>
    <w:rsid w:val="0020677D"/>
    <w:rsid w:val="00206C68"/>
    <w:rsid w:val="00207982"/>
    <w:rsid w:val="00211569"/>
    <w:rsid w:val="00211581"/>
    <w:rsid w:val="00211B58"/>
    <w:rsid w:val="00212F53"/>
    <w:rsid w:val="00215617"/>
    <w:rsid w:val="0021634D"/>
    <w:rsid w:val="002178EE"/>
    <w:rsid w:val="0021791E"/>
    <w:rsid w:val="00217CF5"/>
    <w:rsid w:val="00217E83"/>
    <w:rsid w:val="00217F32"/>
    <w:rsid w:val="002200FF"/>
    <w:rsid w:val="0022059C"/>
    <w:rsid w:val="00223D3E"/>
    <w:rsid w:val="002245F6"/>
    <w:rsid w:val="0023014A"/>
    <w:rsid w:val="00231830"/>
    <w:rsid w:val="002333B7"/>
    <w:rsid w:val="002369F3"/>
    <w:rsid w:val="00236CDE"/>
    <w:rsid w:val="00240029"/>
    <w:rsid w:val="00240179"/>
    <w:rsid w:val="00240223"/>
    <w:rsid w:val="0024037A"/>
    <w:rsid w:val="002407FD"/>
    <w:rsid w:val="00240AEE"/>
    <w:rsid w:val="00241A36"/>
    <w:rsid w:val="00242631"/>
    <w:rsid w:val="00242C64"/>
    <w:rsid w:val="00242E11"/>
    <w:rsid w:val="00243441"/>
    <w:rsid w:val="00243E6B"/>
    <w:rsid w:val="002456EA"/>
    <w:rsid w:val="00247026"/>
    <w:rsid w:val="00247A69"/>
    <w:rsid w:val="00253891"/>
    <w:rsid w:val="00253B16"/>
    <w:rsid w:val="002549E7"/>
    <w:rsid w:val="00254AF6"/>
    <w:rsid w:val="00254F87"/>
    <w:rsid w:val="0025699A"/>
    <w:rsid w:val="00257053"/>
    <w:rsid w:val="00257340"/>
    <w:rsid w:val="00257DAC"/>
    <w:rsid w:val="00257FDB"/>
    <w:rsid w:val="00260502"/>
    <w:rsid w:val="0026056D"/>
    <w:rsid w:val="00263F8B"/>
    <w:rsid w:val="002640B1"/>
    <w:rsid w:val="00265578"/>
    <w:rsid w:val="00266622"/>
    <w:rsid w:val="00266BAF"/>
    <w:rsid w:val="00266BC7"/>
    <w:rsid w:val="00266E9F"/>
    <w:rsid w:val="00267D00"/>
    <w:rsid w:val="002704A8"/>
    <w:rsid w:val="00270D5C"/>
    <w:rsid w:val="00271414"/>
    <w:rsid w:val="002721E0"/>
    <w:rsid w:val="00272C8B"/>
    <w:rsid w:val="0027452E"/>
    <w:rsid w:val="00274BB0"/>
    <w:rsid w:val="00275C0F"/>
    <w:rsid w:val="00275C7C"/>
    <w:rsid w:val="0027663C"/>
    <w:rsid w:val="00281659"/>
    <w:rsid w:val="00282751"/>
    <w:rsid w:val="00283268"/>
    <w:rsid w:val="002849B7"/>
    <w:rsid w:val="00284FA1"/>
    <w:rsid w:val="0028597C"/>
    <w:rsid w:val="00285EE1"/>
    <w:rsid w:val="00286634"/>
    <w:rsid w:val="00287496"/>
    <w:rsid w:val="0028761B"/>
    <w:rsid w:val="002876E2"/>
    <w:rsid w:val="00291375"/>
    <w:rsid w:val="00291BC8"/>
    <w:rsid w:val="00292F8E"/>
    <w:rsid w:val="002932E7"/>
    <w:rsid w:val="00293B39"/>
    <w:rsid w:val="00294FFA"/>
    <w:rsid w:val="002969D5"/>
    <w:rsid w:val="00296AAF"/>
    <w:rsid w:val="002977AA"/>
    <w:rsid w:val="002A1806"/>
    <w:rsid w:val="002A22B0"/>
    <w:rsid w:val="002A462B"/>
    <w:rsid w:val="002A53FF"/>
    <w:rsid w:val="002A61BB"/>
    <w:rsid w:val="002A744E"/>
    <w:rsid w:val="002B0846"/>
    <w:rsid w:val="002B0F23"/>
    <w:rsid w:val="002B156F"/>
    <w:rsid w:val="002B2C3D"/>
    <w:rsid w:val="002B2F4D"/>
    <w:rsid w:val="002B4F48"/>
    <w:rsid w:val="002B5B1F"/>
    <w:rsid w:val="002B610B"/>
    <w:rsid w:val="002B673D"/>
    <w:rsid w:val="002B7D9A"/>
    <w:rsid w:val="002C115F"/>
    <w:rsid w:val="002C1C5F"/>
    <w:rsid w:val="002C1F24"/>
    <w:rsid w:val="002C2068"/>
    <w:rsid w:val="002C48F0"/>
    <w:rsid w:val="002C691B"/>
    <w:rsid w:val="002C6AEB"/>
    <w:rsid w:val="002C7023"/>
    <w:rsid w:val="002C797B"/>
    <w:rsid w:val="002C7C35"/>
    <w:rsid w:val="002C7F36"/>
    <w:rsid w:val="002D04EF"/>
    <w:rsid w:val="002D062F"/>
    <w:rsid w:val="002D0820"/>
    <w:rsid w:val="002D0F48"/>
    <w:rsid w:val="002D122E"/>
    <w:rsid w:val="002D1617"/>
    <w:rsid w:val="002D2572"/>
    <w:rsid w:val="002D54A9"/>
    <w:rsid w:val="002D55F4"/>
    <w:rsid w:val="002E0FA7"/>
    <w:rsid w:val="002E1024"/>
    <w:rsid w:val="002E2218"/>
    <w:rsid w:val="002E227D"/>
    <w:rsid w:val="002E246F"/>
    <w:rsid w:val="002E283E"/>
    <w:rsid w:val="002E29E8"/>
    <w:rsid w:val="002E2C99"/>
    <w:rsid w:val="002E41EA"/>
    <w:rsid w:val="002E4866"/>
    <w:rsid w:val="002E4EFF"/>
    <w:rsid w:val="002E5463"/>
    <w:rsid w:val="002E66BB"/>
    <w:rsid w:val="002E7478"/>
    <w:rsid w:val="002E7F18"/>
    <w:rsid w:val="002F0186"/>
    <w:rsid w:val="002F0385"/>
    <w:rsid w:val="002F094A"/>
    <w:rsid w:val="002F114A"/>
    <w:rsid w:val="002F11EA"/>
    <w:rsid w:val="002F28B9"/>
    <w:rsid w:val="002F40A7"/>
    <w:rsid w:val="002F4B76"/>
    <w:rsid w:val="002F5E57"/>
    <w:rsid w:val="002F5FE9"/>
    <w:rsid w:val="002F70C6"/>
    <w:rsid w:val="00300681"/>
    <w:rsid w:val="00301153"/>
    <w:rsid w:val="003017BA"/>
    <w:rsid w:val="0030296C"/>
    <w:rsid w:val="00303780"/>
    <w:rsid w:val="003037E7"/>
    <w:rsid w:val="00303961"/>
    <w:rsid w:val="00304601"/>
    <w:rsid w:val="0030519A"/>
    <w:rsid w:val="003064FE"/>
    <w:rsid w:val="00306E4A"/>
    <w:rsid w:val="00310265"/>
    <w:rsid w:val="00311FAA"/>
    <w:rsid w:val="003125A4"/>
    <w:rsid w:val="003128D3"/>
    <w:rsid w:val="00312C88"/>
    <w:rsid w:val="00313654"/>
    <w:rsid w:val="00315C5B"/>
    <w:rsid w:val="00317F33"/>
    <w:rsid w:val="003206C6"/>
    <w:rsid w:val="003220F5"/>
    <w:rsid w:val="00322510"/>
    <w:rsid w:val="0032269D"/>
    <w:rsid w:val="00322A00"/>
    <w:rsid w:val="0032507D"/>
    <w:rsid w:val="00325818"/>
    <w:rsid w:val="00327D58"/>
    <w:rsid w:val="0033008C"/>
    <w:rsid w:val="003302AB"/>
    <w:rsid w:val="003305C3"/>
    <w:rsid w:val="00330B10"/>
    <w:rsid w:val="00331CE1"/>
    <w:rsid w:val="003320FD"/>
    <w:rsid w:val="003333FF"/>
    <w:rsid w:val="00333A36"/>
    <w:rsid w:val="00335637"/>
    <w:rsid w:val="00335EF8"/>
    <w:rsid w:val="0033626D"/>
    <w:rsid w:val="00340E03"/>
    <w:rsid w:val="00341D1A"/>
    <w:rsid w:val="00342357"/>
    <w:rsid w:val="00342406"/>
    <w:rsid w:val="00342B82"/>
    <w:rsid w:val="00344BC4"/>
    <w:rsid w:val="00345CE8"/>
    <w:rsid w:val="0035137F"/>
    <w:rsid w:val="00351846"/>
    <w:rsid w:val="003520AF"/>
    <w:rsid w:val="0035317D"/>
    <w:rsid w:val="00354151"/>
    <w:rsid w:val="003565B4"/>
    <w:rsid w:val="003568DE"/>
    <w:rsid w:val="00357376"/>
    <w:rsid w:val="00357EC3"/>
    <w:rsid w:val="0036009C"/>
    <w:rsid w:val="003603DE"/>
    <w:rsid w:val="00362FC9"/>
    <w:rsid w:val="00364F57"/>
    <w:rsid w:val="00365839"/>
    <w:rsid w:val="00365A0D"/>
    <w:rsid w:val="00365D47"/>
    <w:rsid w:val="00366161"/>
    <w:rsid w:val="0036648F"/>
    <w:rsid w:val="00366AAF"/>
    <w:rsid w:val="003671D5"/>
    <w:rsid w:val="003676DB"/>
    <w:rsid w:val="0037047E"/>
    <w:rsid w:val="00371E34"/>
    <w:rsid w:val="00372047"/>
    <w:rsid w:val="0037217E"/>
    <w:rsid w:val="003727EF"/>
    <w:rsid w:val="003729D8"/>
    <w:rsid w:val="003740F0"/>
    <w:rsid w:val="00375D0F"/>
    <w:rsid w:val="003819F8"/>
    <w:rsid w:val="00381F2B"/>
    <w:rsid w:val="0038440D"/>
    <w:rsid w:val="00384A23"/>
    <w:rsid w:val="00386CB7"/>
    <w:rsid w:val="00386CD6"/>
    <w:rsid w:val="0038792C"/>
    <w:rsid w:val="00390605"/>
    <w:rsid w:val="00391598"/>
    <w:rsid w:val="00396166"/>
    <w:rsid w:val="0039732B"/>
    <w:rsid w:val="003A035A"/>
    <w:rsid w:val="003A1D94"/>
    <w:rsid w:val="003A1FC0"/>
    <w:rsid w:val="003A3406"/>
    <w:rsid w:val="003A346F"/>
    <w:rsid w:val="003A6041"/>
    <w:rsid w:val="003A7F08"/>
    <w:rsid w:val="003B0A5B"/>
    <w:rsid w:val="003B177D"/>
    <w:rsid w:val="003B23E2"/>
    <w:rsid w:val="003B3B21"/>
    <w:rsid w:val="003B3BAE"/>
    <w:rsid w:val="003B435F"/>
    <w:rsid w:val="003B452E"/>
    <w:rsid w:val="003B6D8A"/>
    <w:rsid w:val="003B751B"/>
    <w:rsid w:val="003C16E2"/>
    <w:rsid w:val="003C3439"/>
    <w:rsid w:val="003C51F8"/>
    <w:rsid w:val="003C53BE"/>
    <w:rsid w:val="003C7233"/>
    <w:rsid w:val="003C77AF"/>
    <w:rsid w:val="003D0318"/>
    <w:rsid w:val="003D1D06"/>
    <w:rsid w:val="003D3F6A"/>
    <w:rsid w:val="003D48E4"/>
    <w:rsid w:val="003D5A33"/>
    <w:rsid w:val="003E0E2D"/>
    <w:rsid w:val="003E1CC2"/>
    <w:rsid w:val="003E32A4"/>
    <w:rsid w:val="003E3B5E"/>
    <w:rsid w:val="003E6D58"/>
    <w:rsid w:val="003E7F4F"/>
    <w:rsid w:val="003F2D22"/>
    <w:rsid w:val="003F6B43"/>
    <w:rsid w:val="004008F6"/>
    <w:rsid w:val="004044F2"/>
    <w:rsid w:val="004055AE"/>
    <w:rsid w:val="0040799A"/>
    <w:rsid w:val="00407A3F"/>
    <w:rsid w:val="00410C77"/>
    <w:rsid w:val="00411F04"/>
    <w:rsid w:val="00412853"/>
    <w:rsid w:val="00412957"/>
    <w:rsid w:val="00413EC1"/>
    <w:rsid w:val="004149B7"/>
    <w:rsid w:val="004165F9"/>
    <w:rsid w:val="00416A41"/>
    <w:rsid w:val="0041733B"/>
    <w:rsid w:val="00421627"/>
    <w:rsid w:val="00423817"/>
    <w:rsid w:val="00424031"/>
    <w:rsid w:val="00424E1C"/>
    <w:rsid w:val="00425E07"/>
    <w:rsid w:val="00425ED4"/>
    <w:rsid w:val="00425FAF"/>
    <w:rsid w:val="00426B16"/>
    <w:rsid w:val="004272A5"/>
    <w:rsid w:val="00427DA6"/>
    <w:rsid w:val="00430952"/>
    <w:rsid w:val="004313CB"/>
    <w:rsid w:val="004320FE"/>
    <w:rsid w:val="00434160"/>
    <w:rsid w:val="00434E5A"/>
    <w:rsid w:val="00436664"/>
    <w:rsid w:val="00437516"/>
    <w:rsid w:val="004406BB"/>
    <w:rsid w:val="004408B1"/>
    <w:rsid w:val="00441192"/>
    <w:rsid w:val="004419AC"/>
    <w:rsid w:val="0044317F"/>
    <w:rsid w:val="00443689"/>
    <w:rsid w:val="0044389B"/>
    <w:rsid w:val="00444BDF"/>
    <w:rsid w:val="00451607"/>
    <w:rsid w:val="00451665"/>
    <w:rsid w:val="00451690"/>
    <w:rsid w:val="00451A80"/>
    <w:rsid w:val="00453867"/>
    <w:rsid w:val="00453993"/>
    <w:rsid w:val="00454C3D"/>
    <w:rsid w:val="00454FBD"/>
    <w:rsid w:val="00460FB1"/>
    <w:rsid w:val="00462FDB"/>
    <w:rsid w:val="00463104"/>
    <w:rsid w:val="00463A95"/>
    <w:rsid w:val="00463EDC"/>
    <w:rsid w:val="004657A8"/>
    <w:rsid w:val="00465E18"/>
    <w:rsid w:val="004666E3"/>
    <w:rsid w:val="00466C53"/>
    <w:rsid w:val="00466E05"/>
    <w:rsid w:val="00470B0B"/>
    <w:rsid w:val="00470F53"/>
    <w:rsid w:val="00472FDC"/>
    <w:rsid w:val="00472FE8"/>
    <w:rsid w:val="00473641"/>
    <w:rsid w:val="00475F81"/>
    <w:rsid w:val="0047658F"/>
    <w:rsid w:val="00477B94"/>
    <w:rsid w:val="00480B35"/>
    <w:rsid w:val="00483754"/>
    <w:rsid w:val="00483FE1"/>
    <w:rsid w:val="00487273"/>
    <w:rsid w:val="0048788C"/>
    <w:rsid w:val="00491474"/>
    <w:rsid w:val="00492200"/>
    <w:rsid w:val="00493337"/>
    <w:rsid w:val="004934AE"/>
    <w:rsid w:val="00494707"/>
    <w:rsid w:val="00494E17"/>
    <w:rsid w:val="0049509A"/>
    <w:rsid w:val="0049512F"/>
    <w:rsid w:val="004965E4"/>
    <w:rsid w:val="0049719E"/>
    <w:rsid w:val="004A067A"/>
    <w:rsid w:val="004A1065"/>
    <w:rsid w:val="004A24FF"/>
    <w:rsid w:val="004A295A"/>
    <w:rsid w:val="004A2C1D"/>
    <w:rsid w:val="004A3449"/>
    <w:rsid w:val="004A3950"/>
    <w:rsid w:val="004A458E"/>
    <w:rsid w:val="004A4F7B"/>
    <w:rsid w:val="004A78FB"/>
    <w:rsid w:val="004A7AC7"/>
    <w:rsid w:val="004B1C0F"/>
    <w:rsid w:val="004B1ED3"/>
    <w:rsid w:val="004B393C"/>
    <w:rsid w:val="004B5C52"/>
    <w:rsid w:val="004B6A72"/>
    <w:rsid w:val="004B7658"/>
    <w:rsid w:val="004C06E7"/>
    <w:rsid w:val="004C0976"/>
    <w:rsid w:val="004C242A"/>
    <w:rsid w:val="004C4288"/>
    <w:rsid w:val="004C566A"/>
    <w:rsid w:val="004C61DD"/>
    <w:rsid w:val="004C74AA"/>
    <w:rsid w:val="004D0313"/>
    <w:rsid w:val="004D09A9"/>
    <w:rsid w:val="004D11D5"/>
    <w:rsid w:val="004D242B"/>
    <w:rsid w:val="004D2E61"/>
    <w:rsid w:val="004D31EC"/>
    <w:rsid w:val="004D3F16"/>
    <w:rsid w:val="004D41D9"/>
    <w:rsid w:val="004D4341"/>
    <w:rsid w:val="004D46B3"/>
    <w:rsid w:val="004D4FF8"/>
    <w:rsid w:val="004D5412"/>
    <w:rsid w:val="004D5465"/>
    <w:rsid w:val="004D6CE2"/>
    <w:rsid w:val="004D7536"/>
    <w:rsid w:val="004D7790"/>
    <w:rsid w:val="004D779E"/>
    <w:rsid w:val="004D7A91"/>
    <w:rsid w:val="004E1A7F"/>
    <w:rsid w:val="004E1BBE"/>
    <w:rsid w:val="004E3692"/>
    <w:rsid w:val="004E3DE8"/>
    <w:rsid w:val="004E3E9D"/>
    <w:rsid w:val="004E5C28"/>
    <w:rsid w:val="004E6675"/>
    <w:rsid w:val="004E693C"/>
    <w:rsid w:val="004F013B"/>
    <w:rsid w:val="004F2882"/>
    <w:rsid w:val="004F2A05"/>
    <w:rsid w:val="004F4C74"/>
    <w:rsid w:val="004F628F"/>
    <w:rsid w:val="004F6DF1"/>
    <w:rsid w:val="005016C2"/>
    <w:rsid w:val="00505307"/>
    <w:rsid w:val="005053F0"/>
    <w:rsid w:val="005077F1"/>
    <w:rsid w:val="0051045B"/>
    <w:rsid w:val="0051196D"/>
    <w:rsid w:val="00511DA2"/>
    <w:rsid w:val="00511FE0"/>
    <w:rsid w:val="005123CA"/>
    <w:rsid w:val="005126D6"/>
    <w:rsid w:val="00512EE7"/>
    <w:rsid w:val="0051332A"/>
    <w:rsid w:val="005149DD"/>
    <w:rsid w:val="00514A5F"/>
    <w:rsid w:val="00515094"/>
    <w:rsid w:val="00516C05"/>
    <w:rsid w:val="00516F96"/>
    <w:rsid w:val="00517CDD"/>
    <w:rsid w:val="00520D39"/>
    <w:rsid w:val="005211D0"/>
    <w:rsid w:val="005212B6"/>
    <w:rsid w:val="0052198F"/>
    <w:rsid w:val="00521B8E"/>
    <w:rsid w:val="005222E3"/>
    <w:rsid w:val="0052238E"/>
    <w:rsid w:val="00523292"/>
    <w:rsid w:val="005235A7"/>
    <w:rsid w:val="00523F74"/>
    <w:rsid w:val="0052469D"/>
    <w:rsid w:val="005247B1"/>
    <w:rsid w:val="00524A67"/>
    <w:rsid w:val="00525C3A"/>
    <w:rsid w:val="00526663"/>
    <w:rsid w:val="00527CDB"/>
    <w:rsid w:val="00532610"/>
    <w:rsid w:val="005333E2"/>
    <w:rsid w:val="005335A4"/>
    <w:rsid w:val="00534485"/>
    <w:rsid w:val="0053487C"/>
    <w:rsid w:val="00534D15"/>
    <w:rsid w:val="00535C61"/>
    <w:rsid w:val="00537ED2"/>
    <w:rsid w:val="005421DE"/>
    <w:rsid w:val="005433B8"/>
    <w:rsid w:val="00543838"/>
    <w:rsid w:val="005441B7"/>
    <w:rsid w:val="005444F5"/>
    <w:rsid w:val="00545479"/>
    <w:rsid w:val="00546129"/>
    <w:rsid w:val="0054625D"/>
    <w:rsid w:val="005471B0"/>
    <w:rsid w:val="00551C56"/>
    <w:rsid w:val="00552E92"/>
    <w:rsid w:val="00553473"/>
    <w:rsid w:val="00554AE3"/>
    <w:rsid w:val="00555CFB"/>
    <w:rsid w:val="00556480"/>
    <w:rsid w:val="00560F60"/>
    <w:rsid w:val="0056164B"/>
    <w:rsid w:val="00562DD1"/>
    <w:rsid w:val="00565FEC"/>
    <w:rsid w:val="00566873"/>
    <w:rsid w:val="005675CA"/>
    <w:rsid w:val="0056798C"/>
    <w:rsid w:val="00567F1A"/>
    <w:rsid w:val="0057158E"/>
    <w:rsid w:val="00572829"/>
    <w:rsid w:val="005734D5"/>
    <w:rsid w:val="00573699"/>
    <w:rsid w:val="00574FCD"/>
    <w:rsid w:val="0057624A"/>
    <w:rsid w:val="00576EE0"/>
    <w:rsid w:val="00577D3B"/>
    <w:rsid w:val="00577E09"/>
    <w:rsid w:val="005807CE"/>
    <w:rsid w:val="0058123F"/>
    <w:rsid w:val="005813E7"/>
    <w:rsid w:val="00584877"/>
    <w:rsid w:val="00585496"/>
    <w:rsid w:val="00590023"/>
    <w:rsid w:val="00590554"/>
    <w:rsid w:val="0059107C"/>
    <w:rsid w:val="005917D6"/>
    <w:rsid w:val="00591FAF"/>
    <w:rsid w:val="0059211B"/>
    <w:rsid w:val="005941B6"/>
    <w:rsid w:val="00594B20"/>
    <w:rsid w:val="005A0A6D"/>
    <w:rsid w:val="005A0E46"/>
    <w:rsid w:val="005A139E"/>
    <w:rsid w:val="005A14DD"/>
    <w:rsid w:val="005A1792"/>
    <w:rsid w:val="005A1C7F"/>
    <w:rsid w:val="005A23AD"/>
    <w:rsid w:val="005A254B"/>
    <w:rsid w:val="005A3432"/>
    <w:rsid w:val="005A38A0"/>
    <w:rsid w:val="005A3C31"/>
    <w:rsid w:val="005A4457"/>
    <w:rsid w:val="005A5218"/>
    <w:rsid w:val="005A57F5"/>
    <w:rsid w:val="005B0609"/>
    <w:rsid w:val="005B1128"/>
    <w:rsid w:val="005B3B2C"/>
    <w:rsid w:val="005B3B8A"/>
    <w:rsid w:val="005B465C"/>
    <w:rsid w:val="005B46A9"/>
    <w:rsid w:val="005B4E9F"/>
    <w:rsid w:val="005B5173"/>
    <w:rsid w:val="005B59C6"/>
    <w:rsid w:val="005B62D1"/>
    <w:rsid w:val="005C0167"/>
    <w:rsid w:val="005C0FF0"/>
    <w:rsid w:val="005C12DA"/>
    <w:rsid w:val="005C1F27"/>
    <w:rsid w:val="005C308C"/>
    <w:rsid w:val="005C3BFC"/>
    <w:rsid w:val="005C3D9A"/>
    <w:rsid w:val="005C49AE"/>
    <w:rsid w:val="005C49F7"/>
    <w:rsid w:val="005C6530"/>
    <w:rsid w:val="005C68F0"/>
    <w:rsid w:val="005C6AA7"/>
    <w:rsid w:val="005C7DB5"/>
    <w:rsid w:val="005D0984"/>
    <w:rsid w:val="005D0A6F"/>
    <w:rsid w:val="005D0C8F"/>
    <w:rsid w:val="005D2341"/>
    <w:rsid w:val="005D3FC2"/>
    <w:rsid w:val="005D68A7"/>
    <w:rsid w:val="005E02CF"/>
    <w:rsid w:val="005E0CB4"/>
    <w:rsid w:val="005E1EBC"/>
    <w:rsid w:val="005E359D"/>
    <w:rsid w:val="005E5618"/>
    <w:rsid w:val="005E6BF7"/>
    <w:rsid w:val="005E7279"/>
    <w:rsid w:val="005E7913"/>
    <w:rsid w:val="005E796F"/>
    <w:rsid w:val="005F05F4"/>
    <w:rsid w:val="005F08A1"/>
    <w:rsid w:val="005F0F64"/>
    <w:rsid w:val="005F2AEF"/>
    <w:rsid w:val="005F386B"/>
    <w:rsid w:val="005F5C3C"/>
    <w:rsid w:val="005F6E2C"/>
    <w:rsid w:val="005F74E0"/>
    <w:rsid w:val="00600F95"/>
    <w:rsid w:val="00601D1B"/>
    <w:rsid w:val="006020B6"/>
    <w:rsid w:val="00602792"/>
    <w:rsid w:val="006040AB"/>
    <w:rsid w:val="006043D0"/>
    <w:rsid w:val="0060495F"/>
    <w:rsid w:val="006052A6"/>
    <w:rsid w:val="00606289"/>
    <w:rsid w:val="0061137B"/>
    <w:rsid w:val="00612B15"/>
    <w:rsid w:val="00613FA2"/>
    <w:rsid w:val="006145C0"/>
    <w:rsid w:val="006178AB"/>
    <w:rsid w:val="00617971"/>
    <w:rsid w:val="00620FF3"/>
    <w:rsid w:val="00623DA1"/>
    <w:rsid w:val="00624755"/>
    <w:rsid w:val="00627A86"/>
    <w:rsid w:val="006317CF"/>
    <w:rsid w:val="00632303"/>
    <w:rsid w:val="006335B2"/>
    <w:rsid w:val="00634A6A"/>
    <w:rsid w:val="00635A4F"/>
    <w:rsid w:val="00635ACB"/>
    <w:rsid w:val="00635C21"/>
    <w:rsid w:val="00636A9B"/>
    <w:rsid w:val="006377CA"/>
    <w:rsid w:val="0064035B"/>
    <w:rsid w:val="006403D1"/>
    <w:rsid w:val="006413A1"/>
    <w:rsid w:val="006425A9"/>
    <w:rsid w:val="006433DA"/>
    <w:rsid w:val="0064345A"/>
    <w:rsid w:val="006439CE"/>
    <w:rsid w:val="00643E1B"/>
    <w:rsid w:val="00644E60"/>
    <w:rsid w:val="006455FF"/>
    <w:rsid w:val="00646AEC"/>
    <w:rsid w:val="00650F45"/>
    <w:rsid w:val="006515C9"/>
    <w:rsid w:val="0065175B"/>
    <w:rsid w:val="00651EBD"/>
    <w:rsid w:val="00652214"/>
    <w:rsid w:val="00652239"/>
    <w:rsid w:val="0065255F"/>
    <w:rsid w:val="006538ED"/>
    <w:rsid w:val="00655E2F"/>
    <w:rsid w:val="00656132"/>
    <w:rsid w:val="0066015D"/>
    <w:rsid w:val="00660186"/>
    <w:rsid w:val="006606E6"/>
    <w:rsid w:val="00661525"/>
    <w:rsid w:val="00662BE3"/>
    <w:rsid w:val="0066355E"/>
    <w:rsid w:val="00663BBC"/>
    <w:rsid w:val="00664577"/>
    <w:rsid w:val="00664D50"/>
    <w:rsid w:val="00666166"/>
    <w:rsid w:val="00666E54"/>
    <w:rsid w:val="00667DDA"/>
    <w:rsid w:val="00670C7B"/>
    <w:rsid w:val="006739F0"/>
    <w:rsid w:val="00674664"/>
    <w:rsid w:val="00677BBF"/>
    <w:rsid w:val="006818D3"/>
    <w:rsid w:val="00682005"/>
    <w:rsid w:val="0068205F"/>
    <w:rsid w:val="00684080"/>
    <w:rsid w:val="00685873"/>
    <w:rsid w:val="006862F1"/>
    <w:rsid w:val="00686640"/>
    <w:rsid w:val="00687361"/>
    <w:rsid w:val="00691703"/>
    <w:rsid w:val="00691711"/>
    <w:rsid w:val="0069193B"/>
    <w:rsid w:val="00692948"/>
    <w:rsid w:val="00693CB6"/>
    <w:rsid w:val="006948C4"/>
    <w:rsid w:val="006949C5"/>
    <w:rsid w:val="00694AB9"/>
    <w:rsid w:val="00695001"/>
    <w:rsid w:val="00696308"/>
    <w:rsid w:val="006A07B7"/>
    <w:rsid w:val="006A0B76"/>
    <w:rsid w:val="006A1867"/>
    <w:rsid w:val="006A23A6"/>
    <w:rsid w:val="006A2884"/>
    <w:rsid w:val="006A2CD7"/>
    <w:rsid w:val="006A3195"/>
    <w:rsid w:val="006A3C7D"/>
    <w:rsid w:val="006A73BC"/>
    <w:rsid w:val="006A7522"/>
    <w:rsid w:val="006A7FFE"/>
    <w:rsid w:val="006B0716"/>
    <w:rsid w:val="006B0B6C"/>
    <w:rsid w:val="006B15B3"/>
    <w:rsid w:val="006B28E2"/>
    <w:rsid w:val="006B51CB"/>
    <w:rsid w:val="006B5618"/>
    <w:rsid w:val="006B61F6"/>
    <w:rsid w:val="006B6611"/>
    <w:rsid w:val="006B662B"/>
    <w:rsid w:val="006B72C3"/>
    <w:rsid w:val="006C0063"/>
    <w:rsid w:val="006C0634"/>
    <w:rsid w:val="006C13C7"/>
    <w:rsid w:val="006C1CF9"/>
    <w:rsid w:val="006C2813"/>
    <w:rsid w:val="006C3136"/>
    <w:rsid w:val="006C395F"/>
    <w:rsid w:val="006C4E3E"/>
    <w:rsid w:val="006C5A49"/>
    <w:rsid w:val="006C6A7F"/>
    <w:rsid w:val="006C71E0"/>
    <w:rsid w:val="006C73D2"/>
    <w:rsid w:val="006D149A"/>
    <w:rsid w:val="006D3ABA"/>
    <w:rsid w:val="006D5E28"/>
    <w:rsid w:val="006E0E7D"/>
    <w:rsid w:val="006E2922"/>
    <w:rsid w:val="006E4BD0"/>
    <w:rsid w:val="006E4C4B"/>
    <w:rsid w:val="006E5D66"/>
    <w:rsid w:val="006E6009"/>
    <w:rsid w:val="006E7662"/>
    <w:rsid w:val="006E7C1B"/>
    <w:rsid w:val="006F0840"/>
    <w:rsid w:val="006F1DE7"/>
    <w:rsid w:val="006F2089"/>
    <w:rsid w:val="006F2567"/>
    <w:rsid w:val="006F534B"/>
    <w:rsid w:val="006F54C1"/>
    <w:rsid w:val="006F6229"/>
    <w:rsid w:val="006F7B4A"/>
    <w:rsid w:val="006F7B6C"/>
    <w:rsid w:val="00701AAB"/>
    <w:rsid w:val="00701BB9"/>
    <w:rsid w:val="00702C7F"/>
    <w:rsid w:val="00702EF1"/>
    <w:rsid w:val="00703628"/>
    <w:rsid w:val="00704918"/>
    <w:rsid w:val="00704DB2"/>
    <w:rsid w:val="007065B5"/>
    <w:rsid w:val="007068E7"/>
    <w:rsid w:val="00706A3B"/>
    <w:rsid w:val="00706B05"/>
    <w:rsid w:val="00706E42"/>
    <w:rsid w:val="00707534"/>
    <w:rsid w:val="00710BBB"/>
    <w:rsid w:val="00711EF5"/>
    <w:rsid w:val="00711FEC"/>
    <w:rsid w:val="00713D7C"/>
    <w:rsid w:val="00714670"/>
    <w:rsid w:val="00714D33"/>
    <w:rsid w:val="00715C68"/>
    <w:rsid w:val="00716D16"/>
    <w:rsid w:val="0072437A"/>
    <w:rsid w:val="00724AAC"/>
    <w:rsid w:val="007316F1"/>
    <w:rsid w:val="00731D37"/>
    <w:rsid w:val="00732E86"/>
    <w:rsid w:val="00733EFA"/>
    <w:rsid w:val="0073504E"/>
    <w:rsid w:val="0073523F"/>
    <w:rsid w:val="007359E8"/>
    <w:rsid w:val="00737A2E"/>
    <w:rsid w:val="00737C8D"/>
    <w:rsid w:val="00740D3F"/>
    <w:rsid w:val="00741C57"/>
    <w:rsid w:val="00741F25"/>
    <w:rsid w:val="00742045"/>
    <w:rsid w:val="00744827"/>
    <w:rsid w:val="007448FF"/>
    <w:rsid w:val="007450AC"/>
    <w:rsid w:val="00746E1A"/>
    <w:rsid w:val="00747D64"/>
    <w:rsid w:val="00747EFA"/>
    <w:rsid w:val="00750F56"/>
    <w:rsid w:val="00750FAE"/>
    <w:rsid w:val="007520B9"/>
    <w:rsid w:val="007527BB"/>
    <w:rsid w:val="00756DF7"/>
    <w:rsid w:val="00756E48"/>
    <w:rsid w:val="00761B6C"/>
    <w:rsid w:val="007624C0"/>
    <w:rsid w:val="007634DE"/>
    <w:rsid w:val="00764805"/>
    <w:rsid w:val="00766DCA"/>
    <w:rsid w:val="00766DE7"/>
    <w:rsid w:val="00771F0B"/>
    <w:rsid w:val="007727E9"/>
    <w:rsid w:val="00772E86"/>
    <w:rsid w:val="007748B9"/>
    <w:rsid w:val="00774AC4"/>
    <w:rsid w:val="00774B68"/>
    <w:rsid w:val="007751D9"/>
    <w:rsid w:val="00776E3C"/>
    <w:rsid w:val="007771B4"/>
    <w:rsid w:val="0078084A"/>
    <w:rsid w:val="00782418"/>
    <w:rsid w:val="007826AA"/>
    <w:rsid w:val="007826FF"/>
    <w:rsid w:val="00782A9F"/>
    <w:rsid w:val="007834EF"/>
    <w:rsid w:val="00783C86"/>
    <w:rsid w:val="00785391"/>
    <w:rsid w:val="00785774"/>
    <w:rsid w:val="00785A6C"/>
    <w:rsid w:val="007870BA"/>
    <w:rsid w:val="00787347"/>
    <w:rsid w:val="007903CB"/>
    <w:rsid w:val="00791D4D"/>
    <w:rsid w:val="007935C1"/>
    <w:rsid w:val="00794A36"/>
    <w:rsid w:val="007A07B2"/>
    <w:rsid w:val="007A0D1A"/>
    <w:rsid w:val="007A1E4E"/>
    <w:rsid w:val="007A4746"/>
    <w:rsid w:val="007A66DF"/>
    <w:rsid w:val="007A6708"/>
    <w:rsid w:val="007A6882"/>
    <w:rsid w:val="007B1A26"/>
    <w:rsid w:val="007B1BF5"/>
    <w:rsid w:val="007B1C62"/>
    <w:rsid w:val="007B397A"/>
    <w:rsid w:val="007B46D0"/>
    <w:rsid w:val="007B5293"/>
    <w:rsid w:val="007B699C"/>
    <w:rsid w:val="007C0290"/>
    <w:rsid w:val="007C0C2A"/>
    <w:rsid w:val="007C11B1"/>
    <w:rsid w:val="007C1A4F"/>
    <w:rsid w:val="007C21FB"/>
    <w:rsid w:val="007C3B3F"/>
    <w:rsid w:val="007C469E"/>
    <w:rsid w:val="007C4CE4"/>
    <w:rsid w:val="007C4F18"/>
    <w:rsid w:val="007C4F49"/>
    <w:rsid w:val="007C5411"/>
    <w:rsid w:val="007C583F"/>
    <w:rsid w:val="007C5BE1"/>
    <w:rsid w:val="007C5CFB"/>
    <w:rsid w:val="007C5D8D"/>
    <w:rsid w:val="007C661F"/>
    <w:rsid w:val="007C7EA3"/>
    <w:rsid w:val="007D11D9"/>
    <w:rsid w:val="007D137C"/>
    <w:rsid w:val="007D13B2"/>
    <w:rsid w:val="007D17A0"/>
    <w:rsid w:val="007D22BD"/>
    <w:rsid w:val="007D22EC"/>
    <w:rsid w:val="007D2512"/>
    <w:rsid w:val="007D41AF"/>
    <w:rsid w:val="007D4383"/>
    <w:rsid w:val="007D5FFE"/>
    <w:rsid w:val="007E0247"/>
    <w:rsid w:val="007E077C"/>
    <w:rsid w:val="007E0BBD"/>
    <w:rsid w:val="007E12DD"/>
    <w:rsid w:val="007E280A"/>
    <w:rsid w:val="007E2C58"/>
    <w:rsid w:val="007E34B5"/>
    <w:rsid w:val="007E3645"/>
    <w:rsid w:val="007E3991"/>
    <w:rsid w:val="007E4E6A"/>
    <w:rsid w:val="007F25CC"/>
    <w:rsid w:val="007F29F2"/>
    <w:rsid w:val="007F2BDB"/>
    <w:rsid w:val="007F4A30"/>
    <w:rsid w:val="007F4AC7"/>
    <w:rsid w:val="007F6965"/>
    <w:rsid w:val="007F7684"/>
    <w:rsid w:val="007F7CF7"/>
    <w:rsid w:val="007F7E59"/>
    <w:rsid w:val="0080081D"/>
    <w:rsid w:val="0080212F"/>
    <w:rsid w:val="0080507A"/>
    <w:rsid w:val="00805686"/>
    <w:rsid w:val="00805DFE"/>
    <w:rsid w:val="0080751E"/>
    <w:rsid w:val="0081183B"/>
    <w:rsid w:val="00811B3A"/>
    <w:rsid w:val="00812504"/>
    <w:rsid w:val="0081355E"/>
    <w:rsid w:val="0081405A"/>
    <w:rsid w:val="00814150"/>
    <w:rsid w:val="00814675"/>
    <w:rsid w:val="00814CC3"/>
    <w:rsid w:val="0081758D"/>
    <w:rsid w:val="008176B8"/>
    <w:rsid w:val="00817932"/>
    <w:rsid w:val="00820BC8"/>
    <w:rsid w:val="008213C1"/>
    <w:rsid w:val="00823362"/>
    <w:rsid w:val="008236EB"/>
    <w:rsid w:val="00823B02"/>
    <w:rsid w:val="00823D57"/>
    <w:rsid w:val="008245EE"/>
    <w:rsid w:val="00825F27"/>
    <w:rsid w:val="00826138"/>
    <w:rsid w:val="00826F63"/>
    <w:rsid w:val="00827053"/>
    <w:rsid w:val="00827451"/>
    <w:rsid w:val="00830171"/>
    <w:rsid w:val="00830657"/>
    <w:rsid w:val="00830BE3"/>
    <w:rsid w:val="0083118F"/>
    <w:rsid w:val="0083285C"/>
    <w:rsid w:val="00832960"/>
    <w:rsid w:val="00832ED3"/>
    <w:rsid w:val="00833013"/>
    <w:rsid w:val="008333F2"/>
    <w:rsid w:val="0083361C"/>
    <w:rsid w:val="00833726"/>
    <w:rsid w:val="00834134"/>
    <w:rsid w:val="00834F15"/>
    <w:rsid w:val="00834F51"/>
    <w:rsid w:val="0083502E"/>
    <w:rsid w:val="0083596E"/>
    <w:rsid w:val="0083767A"/>
    <w:rsid w:val="008411FB"/>
    <w:rsid w:val="00842C92"/>
    <w:rsid w:val="00842D8A"/>
    <w:rsid w:val="00843267"/>
    <w:rsid w:val="0084347F"/>
    <w:rsid w:val="00845A2C"/>
    <w:rsid w:val="00846467"/>
    <w:rsid w:val="008473E0"/>
    <w:rsid w:val="00847422"/>
    <w:rsid w:val="00852598"/>
    <w:rsid w:val="0085488C"/>
    <w:rsid w:val="00856292"/>
    <w:rsid w:val="0085665F"/>
    <w:rsid w:val="00857B4F"/>
    <w:rsid w:val="0086086C"/>
    <w:rsid w:val="00860E5F"/>
    <w:rsid w:val="0086178E"/>
    <w:rsid w:val="0086311E"/>
    <w:rsid w:val="00863144"/>
    <w:rsid w:val="00863948"/>
    <w:rsid w:val="0086397B"/>
    <w:rsid w:val="008644DB"/>
    <w:rsid w:val="00864715"/>
    <w:rsid w:val="00864D46"/>
    <w:rsid w:val="00866AD2"/>
    <w:rsid w:val="008676A7"/>
    <w:rsid w:val="00870891"/>
    <w:rsid w:val="00872A67"/>
    <w:rsid w:val="00872EA2"/>
    <w:rsid w:val="008732EA"/>
    <w:rsid w:val="00873692"/>
    <w:rsid w:val="00873CBA"/>
    <w:rsid w:val="00875D02"/>
    <w:rsid w:val="00876598"/>
    <w:rsid w:val="008765E5"/>
    <w:rsid w:val="0088011D"/>
    <w:rsid w:val="00880BBB"/>
    <w:rsid w:val="0088143D"/>
    <w:rsid w:val="00881E18"/>
    <w:rsid w:val="00882380"/>
    <w:rsid w:val="00882644"/>
    <w:rsid w:val="008841A3"/>
    <w:rsid w:val="00884ABD"/>
    <w:rsid w:val="00885BF1"/>
    <w:rsid w:val="00886F87"/>
    <w:rsid w:val="00887F3D"/>
    <w:rsid w:val="00890BEA"/>
    <w:rsid w:val="0089317A"/>
    <w:rsid w:val="00893EEB"/>
    <w:rsid w:val="008955B4"/>
    <w:rsid w:val="00895918"/>
    <w:rsid w:val="008A19CD"/>
    <w:rsid w:val="008A1A6F"/>
    <w:rsid w:val="008A1CDC"/>
    <w:rsid w:val="008A3D36"/>
    <w:rsid w:val="008A5BE6"/>
    <w:rsid w:val="008A5E41"/>
    <w:rsid w:val="008A6743"/>
    <w:rsid w:val="008A6A58"/>
    <w:rsid w:val="008A6B70"/>
    <w:rsid w:val="008A780E"/>
    <w:rsid w:val="008B0A83"/>
    <w:rsid w:val="008B25DA"/>
    <w:rsid w:val="008B2DDB"/>
    <w:rsid w:val="008B3A82"/>
    <w:rsid w:val="008B675A"/>
    <w:rsid w:val="008B6D5D"/>
    <w:rsid w:val="008C116C"/>
    <w:rsid w:val="008C29FD"/>
    <w:rsid w:val="008C3545"/>
    <w:rsid w:val="008C3BA4"/>
    <w:rsid w:val="008C3BAD"/>
    <w:rsid w:val="008C46B0"/>
    <w:rsid w:val="008C60CD"/>
    <w:rsid w:val="008C6AC5"/>
    <w:rsid w:val="008C7CCE"/>
    <w:rsid w:val="008D0E6F"/>
    <w:rsid w:val="008D1C07"/>
    <w:rsid w:val="008D2FD5"/>
    <w:rsid w:val="008D3426"/>
    <w:rsid w:val="008D3B6D"/>
    <w:rsid w:val="008D4A9F"/>
    <w:rsid w:val="008D5A70"/>
    <w:rsid w:val="008D7918"/>
    <w:rsid w:val="008D7E25"/>
    <w:rsid w:val="008E0901"/>
    <w:rsid w:val="008E0F07"/>
    <w:rsid w:val="008E1599"/>
    <w:rsid w:val="008E15DD"/>
    <w:rsid w:val="008E1723"/>
    <w:rsid w:val="008E17B4"/>
    <w:rsid w:val="008E19A8"/>
    <w:rsid w:val="008E1BEE"/>
    <w:rsid w:val="008E2EEA"/>
    <w:rsid w:val="008E4B9F"/>
    <w:rsid w:val="008E4E2C"/>
    <w:rsid w:val="008F0D23"/>
    <w:rsid w:val="008F0DC9"/>
    <w:rsid w:val="008F33BC"/>
    <w:rsid w:val="008F38F8"/>
    <w:rsid w:val="008F3C25"/>
    <w:rsid w:val="008F7135"/>
    <w:rsid w:val="008F7ED9"/>
    <w:rsid w:val="00900D59"/>
    <w:rsid w:val="00900DCA"/>
    <w:rsid w:val="0090280A"/>
    <w:rsid w:val="00902F64"/>
    <w:rsid w:val="009049FE"/>
    <w:rsid w:val="00906A85"/>
    <w:rsid w:val="00906AC1"/>
    <w:rsid w:val="0090736E"/>
    <w:rsid w:val="00907BB6"/>
    <w:rsid w:val="00907C65"/>
    <w:rsid w:val="009106AE"/>
    <w:rsid w:val="00911815"/>
    <w:rsid w:val="00912983"/>
    <w:rsid w:val="00912BD5"/>
    <w:rsid w:val="00912FFC"/>
    <w:rsid w:val="00914035"/>
    <w:rsid w:val="00914693"/>
    <w:rsid w:val="009151DC"/>
    <w:rsid w:val="00917A7D"/>
    <w:rsid w:val="00917F98"/>
    <w:rsid w:val="0092007F"/>
    <w:rsid w:val="00920C65"/>
    <w:rsid w:val="009219D9"/>
    <w:rsid w:val="00921C8B"/>
    <w:rsid w:val="00922228"/>
    <w:rsid w:val="009241BD"/>
    <w:rsid w:val="0092540D"/>
    <w:rsid w:val="009269E2"/>
    <w:rsid w:val="00927664"/>
    <w:rsid w:val="00927832"/>
    <w:rsid w:val="00927D6E"/>
    <w:rsid w:val="00930013"/>
    <w:rsid w:val="0093180A"/>
    <w:rsid w:val="009332A0"/>
    <w:rsid w:val="009333AD"/>
    <w:rsid w:val="00933BB1"/>
    <w:rsid w:val="009340EF"/>
    <w:rsid w:val="00934790"/>
    <w:rsid w:val="00940141"/>
    <w:rsid w:val="00940965"/>
    <w:rsid w:val="00941322"/>
    <w:rsid w:val="00941553"/>
    <w:rsid w:val="009429D7"/>
    <w:rsid w:val="009430BF"/>
    <w:rsid w:val="00943350"/>
    <w:rsid w:val="00943828"/>
    <w:rsid w:val="0094417A"/>
    <w:rsid w:val="009443BF"/>
    <w:rsid w:val="00944883"/>
    <w:rsid w:val="00944D30"/>
    <w:rsid w:val="00945492"/>
    <w:rsid w:val="0094629E"/>
    <w:rsid w:val="00950539"/>
    <w:rsid w:val="00952CFB"/>
    <w:rsid w:val="009542F2"/>
    <w:rsid w:val="0095477E"/>
    <w:rsid w:val="009555B0"/>
    <w:rsid w:val="00955931"/>
    <w:rsid w:val="00956288"/>
    <w:rsid w:val="0095643A"/>
    <w:rsid w:val="00957427"/>
    <w:rsid w:val="00960643"/>
    <w:rsid w:val="00960B82"/>
    <w:rsid w:val="00961301"/>
    <w:rsid w:val="009613F4"/>
    <w:rsid w:val="00961D62"/>
    <w:rsid w:val="009640DA"/>
    <w:rsid w:val="009660F3"/>
    <w:rsid w:val="00966C96"/>
    <w:rsid w:val="00967C86"/>
    <w:rsid w:val="00967F9C"/>
    <w:rsid w:val="00971226"/>
    <w:rsid w:val="00971923"/>
    <w:rsid w:val="0097243C"/>
    <w:rsid w:val="00972621"/>
    <w:rsid w:val="0097441D"/>
    <w:rsid w:val="00974A46"/>
    <w:rsid w:val="009759F9"/>
    <w:rsid w:val="00975C57"/>
    <w:rsid w:val="00975E79"/>
    <w:rsid w:val="0097670D"/>
    <w:rsid w:val="00977047"/>
    <w:rsid w:val="00977464"/>
    <w:rsid w:val="00977809"/>
    <w:rsid w:val="0098046B"/>
    <w:rsid w:val="00982163"/>
    <w:rsid w:val="0098344C"/>
    <w:rsid w:val="00984119"/>
    <w:rsid w:val="00984A68"/>
    <w:rsid w:val="00985C77"/>
    <w:rsid w:val="00985DEC"/>
    <w:rsid w:val="00987883"/>
    <w:rsid w:val="00991553"/>
    <w:rsid w:val="009916F8"/>
    <w:rsid w:val="00992386"/>
    <w:rsid w:val="009935B4"/>
    <w:rsid w:val="00995E76"/>
    <w:rsid w:val="00996C61"/>
    <w:rsid w:val="009976F5"/>
    <w:rsid w:val="009A02AB"/>
    <w:rsid w:val="009A08DB"/>
    <w:rsid w:val="009A1463"/>
    <w:rsid w:val="009A3B10"/>
    <w:rsid w:val="009A58FD"/>
    <w:rsid w:val="009A7FCD"/>
    <w:rsid w:val="009B0FAB"/>
    <w:rsid w:val="009B1953"/>
    <w:rsid w:val="009B287F"/>
    <w:rsid w:val="009B2B44"/>
    <w:rsid w:val="009B4070"/>
    <w:rsid w:val="009B5EBB"/>
    <w:rsid w:val="009B6542"/>
    <w:rsid w:val="009C0B5E"/>
    <w:rsid w:val="009C16D8"/>
    <w:rsid w:val="009C19BB"/>
    <w:rsid w:val="009C2109"/>
    <w:rsid w:val="009C282E"/>
    <w:rsid w:val="009C3AF3"/>
    <w:rsid w:val="009C4967"/>
    <w:rsid w:val="009C4B3A"/>
    <w:rsid w:val="009C57A6"/>
    <w:rsid w:val="009C6B5D"/>
    <w:rsid w:val="009D0295"/>
    <w:rsid w:val="009D1216"/>
    <w:rsid w:val="009D2270"/>
    <w:rsid w:val="009D581B"/>
    <w:rsid w:val="009D7BFA"/>
    <w:rsid w:val="009D7C8E"/>
    <w:rsid w:val="009D7F83"/>
    <w:rsid w:val="009E28F6"/>
    <w:rsid w:val="009E3303"/>
    <w:rsid w:val="009E3405"/>
    <w:rsid w:val="009E39A7"/>
    <w:rsid w:val="009E4982"/>
    <w:rsid w:val="009E53E1"/>
    <w:rsid w:val="009E5EA9"/>
    <w:rsid w:val="009E5F9D"/>
    <w:rsid w:val="009E6626"/>
    <w:rsid w:val="009E66E5"/>
    <w:rsid w:val="009E73ED"/>
    <w:rsid w:val="009E7B60"/>
    <w:rsid w:val="009F0751"/>
    <w:rsid w:val="009F10FD"/>
    <w:rsid w:val="009F2B19"/>
    <w:rsid w:val="009F3A9E"/>
    <w:rsid w:val="009F3F7E"/>
    <w:rsid w:val="009F4B79"/>
    <w:rsid w:val="009F4C52"/>
    <w:rsid w:val="009F4E2F"/>
    <w:rsid w:val="009F5E28"/>
    <w:rsid w:val="009F7DFC"/>
    <w:rsid w:val="00A00195"/>
    <w:rsid w:val="00A03156"/>
    <w:rsid w:val="00A03E82"/>
    <w:rsid w:val="00A05487"/>
    <w:rsid w:val="00A06A7A"/>
    <w:rsid w:val="00A06C4C"/>
    <w:rsid w:val="00A06FAD"/>
    <w:rsid w:val="00A07F7E"/>
    <w:rsid w:val="00A11D0E"/>
    <w:rsid w:val="00A11E2E"/>
    <w:rsid w:val="00A12BBB"/>
    <w:rsid w:val="00A132B3"/>
    <w:rsid w:val="00A13555"/>
    <w:rsid w:val="00A139B0"/>
    <w:rsid w:val="00A14B06"/>
    <w:rsid w:val="00A15A45"/>
    <w:rsid w:val="00A17215"/>
    <w:rsid w:val="00A20AC5"/>
    <w:rsid w:val="00A212E9"/>
    <w:rsid w:val="00A21502"/>
    <w:rsid w:val="00A21B0B"/>
    <w:rsid w:val="00A22A2F"/>
    <w:rsid w:val="00A2420B"/>
    <w:rsid w:val="00A25661"/>
    <w:rsid w:val="00A25695"/>
    <w:rsid w:val="00A25E64"/>
    <w:rsid w:val="00A262CB"/>
    <w:rsid w:val="00A309C7"/>
    <w:rsid w:val="00A3128C"/>
    <w:rsid w:val="00A34CC5"/>
    <w:rsid w:val="00A35986"/>
    <w:rsid w:val="00A36626"/>
    <w:rsid w:val="00A37416"/>
    <w:rsid w:val="00A4079B"/>
    <w:rsid w:val="00A41579"/>
    <w:rsid w:val="00A42581"/>
    <w:rsid w:val="00A4367B"/>
    <w:rsid w:val="00A43F3C"/>
    <w:rsid w:val="00A44C32"/>
    <w:rsid w:val="00A44CA7"/>
    <w:rsid w:val="00A455AF"/>
    <w:rsid w:val="00A456BF"/>
    <w:rsid w:val="00A465C9"/>
    <w:rsid w:val="00A46E4F"/>
    <w:rsid w:val="00A500E3"/>
    <w:rsid w:val="00A50577"/>
    <w:rsid w:val="00A518E9"/>
    <w:rsid w:val="00A52820"/>
    <w:rsid w:val="00A542A2"/>
    <w:rsid w:val="00A54B19"/>
    <w:rsid w:val="00A5602F"/>
    <w:rsid w:val="00A60512"/>
    <w:rsid w:val="00A60927"/>
    <w:rsid w:val="00A609AA"/>
    <w:rsid w:val="00A60BC4"/>
    <w:rsid w:val="00A617BF"/>
    <w:rsid w:val="00A61EFE"/>
    <w:rsid w:val="00A62DF1"/>
    <w:rsid w:val="00A6371A"/>
    <w:rsid w:val="00A6567C"/>
    <w:rsid w:val="00A6569C"/>
    <w:rsid w:val="00A67282"/>
    <w:rsid w:val="00A67BA0"/>
    <w:rsid w:val="00A700D2"/>
    <w:rsid w:val="00A708A3"/>
    <w:rsid w:val="00A73EE0"/>
    <w:rsid w:val="00A7433E"/>
    <w:rsid w:val="00A7614A"/>
    <w:rsid w:val="00A77787"/>
    <w:rsid w:val="00A77D1E"/>
    <w:rsid w:val="00A81893"/>
    <w:rsid w:val="00A81D3A"/>
    <w:rsid w:val="00A85229"/>
    <w:rsid w:val="00A85880"/>
    <w:rsid w:val="00A931D6"/>
    <w:rsid w:val="00A94D11"/>
    <w:rsid w:val="00A96845"/>
    <w:rsid w:val="00A974F3"/>
    <w:rsid w:val="00A976E2"/>
    <w:rsid w:val="00AA189A"/>
    <w:rsid w:val="00AA40CE"/>
    <w:rsid w:val="00AA49A7"/>
    <w:rsid w:val="00AA6251"/>
    <w:rsid w:val="00AA628F"/>
    <w:rsid w:val="00AA6CFC"/>
    <w:rsid w:val="00AA6F54"/>
    <w:rsid w:val="00AA7B73"/>
    <w:rsid w:val="00AA7DA3"/>
    <w:rsid w:val="00AB1774"/>
    <w:rsid w:val="00AB2A8A"/>
    <w:rsid w:val="00AB2C4A"/>
    <w:rsid w:val="00AB2C4C"/>
    <w:rsid w:val="00AB653B"/>
    <w:rsid w:val="00AB677C"/>
    <w:rsid w:val="00AB7AC5"/>
    <w:rsid w:val="00AB7BFF"/>
    <w:rsid w:val="00AB7F39"/>
    <w:rsid w:val="00AC0BC8"/>
    <w:rsid w:val="00AC132F"/>
    <w:rsid w:val="00AC4E4B"/>
    <w:rsid w:val="00AC54C1"/>
    <w:rsid w:val="00AC6524"/>
    <w:rsid w:val="00AC6915"/>
    <w:rsid w:val="00AC7ED8"/>
    <w:rsid w:val="00AD0793"/>
    <w:rsid w:val="00AD143E"/>
    <w:rsid w:val="00AD146A"/>
    <w:rsid w:val="00AD19A6"/>
    <w:rsid w:val="00AD3566"/>
    <w:rsid w:val="00AD48E4"/>
    <w:rsid w:val="00AD79EA"/>
    <w:rsid w:val="00AD7DB8"/>
    <w:rsid w:val="00AE0CF6"/>
    <w:rsid w:val="00AE1949"/>
    <w:rsid w:val="00AE4A03"/>
    <w:rsid w:val="00AE4ACF"/>
    <w:rsid w:val="00AE56D3"/>
    <w:rsid w:val="00AE65D8"/>
    <w:rsid w:val="00AE79CB"/>
    <w:rsid w:val="00AF2C0E"/>
    <w:rsid w:val="00AF37F3"/>
    <w:rsid w:val="00AF3B88"/>
    <w:rsid w:val="00AF5205"/>
    <w:rsid w:val="00AF5496"/>
    <w:rsid w:val="00AF6025"/>
    <w:rsid w:val="00AF6692"/>
    <w:rsid w:val="00B007B5"/>
    <w:rsid w:val="00B0190A"/>
    <w:rsid w:val="00B046F6"/>
    <w:rsid w:val="00B049AA"/>
    <w:rsid w:val="00B054A3"/>
    <w:rsid w:val="00B079FB"/>
    <w:rsid w:val="00B100EE"/>
    <w:rsid w:val="00B10B25"/>
    <w:rsid w:val="00B15BB5"/>
    <w:rsid w:val="00B16B0B"/>
    <w:rsid w:val="00B1738D"/>
    <w:rsid w:val="00B203F1"/>
    <w:rsid w:val="00B20ADC"/>
    <w:rsid w:val="00B20D4A"/>
    <w:rsid w:val="00B21116"/>
    <w:rsid w:val="00B21301"/>
    <w:rsid w:val="00B2357A"/>
    <w:rsid w:val="00B25E95"/>
    <w:rsid w:val="00B26163"/>
    <w:rsid w:val="00B26E72"/>
    <w:rsid w:val="00B2782B"/>
    <w:rsid w:val="00B27FA7"/>
    <w:rsid w:val="00B30C97"/>
    <w:rsid w:val="00B339F3"/>
    <w:rsid w:val="00B34548"/>
    <w:rsid w:val="00B35F14"/>
    <w:rsid w:val="00B3639F"/>
    <w:rsid w:val="00B40836"/>
    <w:rsid w:val="00B41953"/>
    <w:rsid w:val="00B41AAA"/>
    <w:rsid w:val="00B42DFD"/>
    <w:rsid w:val="00B4324B"/>
    <w:rsid w:val="00B4347B"/>
    <w:rsid w:val="00B438F4"/>
    <w:rsid w:val="00B45C9D"/>
    <w:rsid w:val="00B46BCC"/>
    <w:rsid w:val="00B504CE"/>
    <w:rsid w:val="00B507A3"/>
    <w:rsid w:val="00B50AB7"/>
    <w:rsid w:val="00B50D88"/>
    <w:rsid w:val="00B5156A"/>
    <w:rsid w:val="00B5401C"/>
    <w:rsid w:val="00B54A26"/>
    <w:rsid w:val="00B54B8F"/>
    <w:rsid w:val="00B555F6"/>
    <w:rsid w:val="00B56CC0"/>
    <w:rsid w:val="00B618E0"/>
    <w:rsid w:val="00B61F3A"/>
    <w:rsid w:val="00B627FE"/>
    <w:rsid w:val="00B63017"/>
    <w:rsid w:val="00B64AA0"/>
    <w:rsid w:val="00B652C9"/>
    <w:rsid w:val="00B652F8"/>
    <w:rsid w:val="00B670D1"/>
    <w:rsid w:val="00B6724B"/>
    <w:rsid w:val="00B67B67"/>
    <w:rsid w:val="00B67EFE"/>
    <w:rsid w:val="00B70D8E"/>
    <w:rsid w:val="00B715E8"/>
    <w:rsid w:val="00B7188C"/>
    <w:rsid w:val="00B723E2"/>
    <w:rsid w:val="00B73D5C"/>
    <w:rsid w:val="00B7601C"/>
    <w:rsid w:val="00B7765E"/>
    <w:rsid w:val="00B8144F"/>
    <w:rsid w:val="00B8199D"/>
    <w:rsid w:val="00B828D9"/>
    <w:rsid w:val="00B82EE1"/>
    <w:rsid w:val="00B830BB"/>
    <w:rsid w:val="00B83BCC"/>
    <w:rsid w:val="00B85BAA"/>
    <w:rsid w:val="00B9146E"/>
    <w:rsid w:val="00B917CF"/>
    <w:rsid w:val="00B92016"/>
    <w:rsid w:val="00B926A7"/>
    <w:rsid w:val="00B93DC3"/>
    <w:rsid w:val="00B941C9"/>
    <w:rsid w:val="00B94B39"/>
    <w:rsid w:val="00B94D69"/>
    <w:rsid w:val="00B96132"/>
    <w:rsid w:val="00B9648D"/>
    <w:rsid w:val="00B96537"/>
    <w:rsid w:val="00B9721D"/>
    <w:rsid w:val="00B97472"/>
    <w:rsid w:val="00BA19BD"/>
    <w:rsid w:val="00BA2C4E"/>
    <w:rsid w:val="00BA35BB"/>
    <w:rsid w:val="00BA4F94"/>
    <w:rsid w:val="00BA58A4"/>
    <w:rsid w:val="00BA6992"/>
    <w:rsid w:val="00BA7A17"/>
    <w:rsid w:val="00BB138D"/>
    <w:rsid w:val="00BB1BDC"/>
    <w:rsid w:val="00BB21EB"/>
    <w:rsid w:val="00BB54E3"/>
    <w:rsid w:val="00BB5C6F"/>
    <w:rsid w:val="00BB6C66"/>
    <w:rsid w:val="00BC0C77"/>
    <w:rsid w:val="00BC0FE6"/>
    <w:rsid w:val="00BC3B79"/>
    <w:rsid w:val="00BC53EB"/>
    <w:rsid w:val="00BC577C"/>
    <w:rsid w:val="00BC65AB"/>
    <w:rsid w:val="00BC69A2"/>
    <w:rsid w:val="00BC710C"/>
    <w:rsid w:val="00BC717E"/>
    <w:rsid w:val="00BC71C2"/>
    <w:rsid w:val="00BC7681"/>
    <w:rsid w:val="00BC7B27"/>
    <w:rsid w:val="00BD11D6"/>
    <w:rsid w:val="00BD3DBB"/>
    <w:rsid w:val="00BD4E45"/>
    <w:rsid w:val="00BD4F8A"/>
    <w:rsid w:val="00BD5E7A"/>
    <w:rsid w:val="00BD6321"/>
    <w:rsid w:val="00BD6A7C"/>
    <w:rsid w:val="00BD7989"/>
    <w:rsid w:val="00BE140E"/>
    <w:rsid w:val="00BE17E4"/>
    <w:rsid w:val="00BE1D86"/>
    <w:rsid w:val="00BE343D"/>
    <w:rsid w:val="00BE3F8F"/>
    <w:rsid w:val="00BE530D"/>
    <w:rsid w:val="00BE544D"/>
    <w:rsid w:val="00BF2079"/>
    <w:rsid w:val="00BF2CF1"/>
    <w:rsid w:val="00BF3BB8"/>
    <w:rsid w:val="00BF42B3"/>
    <w:rsid w:val="00BF42CA"/>
    <w:rsid w:val="00BF49ED"/>
    <w:rsid w:val="00BF52D9"/>
    <w:rsid w:val="00BF637F"/>
    <w:rsid w:val="00BF7CBF"/>
    <w:rsid w:val="00C029A9"/>
    <w:rsid w:val="00C02D22"/>
    <w:rsid w:val="00C03332"/>
    <w:rsid w:val="00C04A37"/>
    <w:rsid w:val="00C057EB"/>
    <w:rsid w:val="00C05AC1"/>
    <w:rsid w:val="00C05C71"/>
    <w:rsid w:val="00C065AC"/>
    <w:rsid w:val="00C07CB5"/>
    <w:rsid w:val="00C07D74"/>
    <w:rsid w:val="00C10207"/>
    <w:rsid w:val="00C11B4B"/>
    <w:rsid w:val="00C120E9"/>
    <w:rsid w:val="00C12CFA"/>
    <w:rsid w:val="00C12DFD"/>
    <w:rsid w:val="00C137A8"/>
    <w:rsid w:val="00C13E13"/>
    <w:rsid w:val="00C14A1A"/>
    <w:rsid w:val="00C15CC7"/>
    <w:rsid w:val="00C1659F"/>
    <w:rsid w:val="00C20CC9"/>
    <w:rsid w:val="00C22104"/>
    <w:rsid w:val="00C22566"/>
    <w:rsid w:val="00C228F9"/>
    <w:rsid w:val="00C2300E"/>
    <w:rsid w:val="00C234C3"/>
    <w:rsid w:val="00C23799"/>
    <w:rsid w:val="00C24268"/>
    <w:rsid w:val="00C2508B"/>
    <w:rsid w:val="00C2683C"/>
    <w:rsid w:val="00C30524"/>
    <w:rsid w:val="00C3226F"/>
    <w:rsid w:val="00C33D73"/>
    <w:rsid w:val="00C362B7"/>
    <w:rsid w:val="00C3637F"/>
    <w:rsid w:val="00C37355"/>
    <w:rsid w:val="00C403D7"/>
    <w:rsid w:val="00C405FA"/>
    <w:rsid w:val="00C409AB"/>
    <w:rsid w:val="00C40D2A"/>
    <w:rsid w:val="00C44DAC"/>
    <w:rsid w:val="00C4676C"/>
    <w:rsid w:val="00C50C56"/>
    <w:rsid w:val="00C51A28"/>
    <w:rsid w:val="00C53705"/>
    <w:rsid w:val="00C53838"/>
    <w:rsid w:val="00C54324"/>
    <w:rsid w:val="00C5479D"/>
    <w:rsid w:val="00C54F55"/>
    <w:rsid w:val="00C562FB"/>
    <w:rsid w:val="00C56CBF"/>
    <w:rsid w:val="00C57605"/>
    <w:rsid w:val="00C6079B"/>
    <w:rsid w:val="00C6269B"/>
    <w:rsid w:val="00C638F2"/>
    <w:rsid w:val="00C63A9B"/>
    <w:rsid w:val="00C640EE"/>
    <w:rsid w:val="00C65D4F"/>
    <w:rsid w:val="00C6617A"/>
    <w:rsid w:val="00C66F6E"/>
    <w:rsid w:val="00C6784F"/>
    <w:rsid w:val="00C70AE5"/>
    <w:rsid w:val="00C71D8F"/>
    <w:rsid w:val="00C724FF"/>
    <w:rsid w:val="00C7270E"/>
    <w:rsid w:val="00C72EDE"/>
    <w:rsid w:val="00C74411"/>
    <w:rsid w:val="00C74D2F"/>
    <w:rsid w:val="00C75099"/>
    <w:rsid w:val="00C75584"/>
    <w:rsid w:val="00C75CBF"/>
    <w:rsid w:val="00C77095"/>
    <w:rsid w:val="00C772AF"/>
    <w:rsid w:val="00C8037B"/>
    <w:rsid w:val="00C819CC"/>
    <w:rsid w:val="00C824C0"/>
    <w:rsid w:val="00C83AF0"/>
    <w:rsid w:val="00C83DA7"/>
    <w:rsid w:val="00C855C1"/>
    <w:rsid w:val="00C85D51"/>
    <w:rsid w:val="00C868F0"/>
    <w:rsid w:val="00C86DCE"/>
    <w:rsid w:val="00C90BAB"/>
    <w:rsid w:val="00C91066"/>
    <w:rsid w:val="00C91A49"/>
    <w:rsid w:val="00C91AEA"/>
    <w:rsid w:val="00C91C8E"/>
    <w:rsid w:val="00C9284F"/>
    <w:rsid w:val="00C92DE9"/>
    <w:rsid w:val="00C932AE"/>
    <w:rsid w:val="00C93D4F"/>
    <w:rsid w:val="00C944A3"/>
    <w:rsid w:val="00C9538F"/>
    <w:rsid w:val="00C9545F"/>
    <w:rsid w:val="00C97959"/>
    <w:rsid w:val="00CA00E8"/>
    <w:rsid w:val="00CA0F9C"/>
    <w:rsid w:val="00CA12B9"/>
    <w:rsid w:val="00CA1768"/>
    <w:rsid w:val="00CA1A3B"/>
    <w:rsid w:val="00CA1D5E"/>
    <w:rsid w:val="00CA1DC5"/>
    <w:rsid w:val="00CA2B2F"/>
    <w:rsid w:val="00CA2BDA"/>
    <w:rsid w:val="00CA51CA"/>
    <w:rsid w:val="00CA5761"/>
    <w:rsid w:val="00CA62B3"/>
    <w:rsid w:val="00CA73E2"/>
    <w:rsid w:val="00CA7E2F"/>
    <w:rsid w:val="00CB0207"/>
    <w:rsid w:val="00CB36D7"/>
    <w:rsid w:val="00CB3C18"/>
    <w:rsid w:val="00CB5674"/>
    <w:rsid w:val="00CB61A8"/>
    <w:rsid w:val="00CB71F0"/>
    <w:rsid w:val="00CB7F63"/>
    <w:rsid w:val="00CC20CE"/>
    <w:rsid w:val="00CC34D8"/>
    <w:rsid w:val="00CC3EEA"/>
    <w:rsid w:val="00CC573A"/>
    <w:rsid w:val="00CD3A0A"/>
    <w:rsid w:val="00CD48A5"/>
    <w:rsid w:val="00CD4924"/>
    <w:rsid w:val="00CD5075"/>
    <w:rsid w:val="00CD52E7"/>
    <w:rsid w:val="00CD67C0"/>
    <w:rsid w:val="00CD733D"/>
    <w:rsid w:val="00CE0F7E"/>
    <w:rsid w:val="00CE1032"/>
    <w:rsid w:val="00CE116A"/>
    <w:rsid w:val="00CE4E30"/>
    <w:rsid w:val="00CE671E"/>
    <w:rsid w:val="00CE7998"/>
    <w:rsid w:val="00CE7AFE"/>
    <w:rsid w:val="00CF06A1"/>
    <w:rsid w:val="00CF07F9"/>
    <w:rsid w:val="00CF0A1D"/>
    <w:rsid w:val="00CF0B85"/>
    <w:rsid w:val="00CF2272"/>
    <w:rsid w:val="00CF303A"/>
    <w:rsid w:val="00CF31F3"/>
    <w:rsid w:val="00CF3A92"/>
    <w:rsid w:val="00CF3E05"/>
    <w:rsid w:val="00CF5AC4"/>
    <w:rsid w:val="00CF5EE8"/>
    <w:rsid w:val="00CF64BE"/>
    <w:rsid w:val="00CF7476"/>
    <w:rsid w:val="00D010DC"/>
    <w:rsid w:val="00D01440"/>
    <w:rsid w:val="00D01BFC"/>
    <w:rsid w:val="00D06FDD"/>
    <w:rsid w:val="00D070C0"/>
    <w:rsid w:val="00D10162"/>
    <w:rsid w:val="00D129C6"/>
    <w:rsid w:val="00D13EBD"/>
    <w:rsid w:val="00D14233"/>
    <w:rsid w:val="00D146CC"/>
    <w:rsid w:val="00D2004D"/>
    <w:rsid w:val="00D20440"/>
    <w:rsid w:val="00D2099C"/>
    <w:rsid w:val="00D20D7A"/>
    <w:rsid w:val="00D2249E"/>
    <w:rsid w:val="00D2310F"/>
    <w:rsid w:val="00D2329A"/>
    <w:rsid w:val="00D24071"/>
    <w:rsid w:val="00D249C7"/>
    <w:rsid w:val="00D25B8D"/>
    <w:rsid w:val="00D260F4"/>
    <w:rsid w:val="00D26328"/>
    <w:rsid w:val="00D27F98"/>
    <w:rsid w:val="00D31605"/>
    <w:rsid w:val="00D31A84"/>
    <w:rsid w:val="00D3276D"/>
    <w:rsid w:val="00D32EC1"/>
    <w:rsid w:val="00D3341E"/>
    <w:rsid w:val="00D33497"/>
    <w:rsid w:val="00D33E97"/>
    <w:rsid w:val="00D37010"/>
    <w:rsid w:val="00D3749A"/>
    <w:rsid w:val="00D37700"/>
    <w:rsid w:val="00D402AC"/>
    <w:rsid w:val="00D40F5C"/>
    <w:rsid w:val="00D41D7C"/>
    <w:rsid w:val="00D42444"/>
    <w:rsid w:val="00D42E6A"/>
    <w:rsid w:val="00D437E1"/>
    <w:rsid w:val="00D45632"/>
    <w:rsid w:val="00D45AFE"/>
    <w:rsid w:val="00D45F66"/>
    <w:rsid w:val="00D508B6"/>
    <w:rsid w:val="00D508D2"/>
    <w:rsid w:val="00D51CE0"/>
    <w:rsid w:val="00D54855"/>
    <w:rsid w:val="00D55368"/>
    <w:rsid w:val="00D570EE"/>
    <w:rsid w:val="00D614A4"/>
    <w:rsid w:val="00D625CA"/>
    <w:rsid w:val="00D6416E"/>
    <w:rsid w:val="00D64DE9"/>
    <w:rsid w:val="00D66C4F"/>
    <w:rsid w:val="00D70B4D"/>
    <w:rsid w:val="00D70B7E"/>
    <w:rsid w:val="00D73379"/>
    <w:rsid w:val="00D737B6"/>
    <w:rsid w:val="00D77557"/>
    <w:rsid w:val="00D80E47"/>
    <w:rsid w:val="00D80F53"/>
    <w:rsid w:val="00D80F7A"/>
    <w:rsid w:val="00D81DE9"/>
    <w:rsid w:val="00D8221E"/>
    <w:rsid w:val="00D82FF9"/>
    <w:rsid w:val="00D836BA"/>
    <w:rsid w:val="00D83AB3"/>
    <w:rsid w:val="00D8413C"/>
    <w:rsid w:val="00D8491D"/>
    <w:rsid w:val="00D867DE"/>
    <w:rsid w:val="00D87BC1"/>
    <w:rsid w:val="00D902E9"/>
    <w:rsid w:val="00D92387"/>
    <w:rsid w:val="00D926D4"/>
    <w:rsid w:val="00D926EC"/>
    <w:rsid w:val="00D93959"/>
    <w:rsid w:val="00D9450A"/>
    <w:rsid w:val="00D954A2"/>
    <w:rsid w:val="00D962B2"/>
    <w:rsid w:val="00D97581"/>
    <w:rsid w:val="00DA0021"/>
    <w:rsid w:val="00DA0BC8"/>
    <w:rsid w:val="00DA1C0D"/>
    <w:rsid w:val="00DA1C61"/>
    <w:rsid w:val="00DA2307"/>
    <w:rsid w:val="00DA2F7E"/>
    <w:rsid w:val="00DA497F"/>
    <w:rsid w:val="00DA54A3"/>
    <w:rsid w:val="00DA70AD"/>
    <w:rsid w:val="00DA7CD7"/>
    <w:rsid w:val="00DA7F30"/>
    <w:rsid w:val="00DB17DB"/>
    <w:rsid w:val="00DB1F9D"/>
    <w:rsid w:val="00DB30C3"/>
    <w:rsid w:val="00DB59CF"/>
    <w:rsid w:val="00DB60FD"/>
    <w:rsid w:val="00DB73BD"/>
    <w:rsid w:val="00DC0054"/>
    <w:rsid w:val="00DC05AB"/>
    <w:rsid w:val="00DC087F"/>
    <w:rsid w:val="00DC1D81"/>
    <w:rsid w:val="00DC1FF5"/>
    <w:rsid w:val="00DC2177"/>
    <w:rsid w:val="00DC4E23"/>
    <w:rsid w:val="00DC4EB9"/>
    <w:rsid w:val="00DC5404"/>
    <w:rsid w:val="00DC56D0"/>
    <w:rsid w:val="00DC71CF"/>
    <w:rsid w:val="00DD0094"/>
    <w:rsid w:val="00DD02E0"/>
    <w:rsid w:val="00DD093A"/>
    <w:rsid w:val="00DD1503"/>
    <w:rsid w:val="00DD1D2A"/>
    <w:rsid w:val="00DD25A8"/>
    <w:rsid w:val="00DD2E4C"/>
    <w:rsid w:val="00DD387A"/>
    <w:rsid w:val="00DD422D"/>
    <w:rsid w:val="00DD4B70"/>
    <w:rsid w:val="00DD50DB"/>
    <w:rsid w:val="00DD662D"/>
    <w:rsid w:val="00DD6BCD"/>
    <w:rsid w:val="00DD7639"/>
    <w:rsid w:val="00DD776F"/>
    <w:rsid w:val="00DD795A"/>
    <w:rsid w:val="00DE02F1"/>
    <w:rsid w:val="00DE2A43"/>
    <w:rsid w:val="00DE3A98"/>
    <w:rsid w:val="00DE3D9C"/>
    <w:rsid w:val="00DE3FAC"/>
    <w:rsid w:val="00DE4D35"/>
    <w:rsid w:val="00DE721C"/>
    <w:rsid w:val="00DF17B3"/>
    <w:rsid w:val="00DF3206"/>
    <w:rsid w:val="00DF3651"/>
    <w:rsid w:val="00DF4BB7"/>
    <w:rsid w:val="00DF6929"/>
    <w:rsid w:val="00E03B5C"/>
    <w:rsid w:val="00E03ED7"/>
    <w:rsid w:val="00E04A2A"/>
    <w:rsid w:val="00E04E21"/>
    <w:rsid w:val="00E05428"/>
    <w:rsid w:val="00E0701E"/>
    <w:rsid w:val="00E10DD2"/>
    <w:rsid w:val="00E11F76"/>
    <w:rsid w:val="00E13205"/>
    <w:rsid w:val="00E1387D"/>
    <w:rsid w:val="00E157A6"/>
    <w:rsid w:val="00E15858"/>
    <w:rsid w:val="00E20E90"/>
    <w:rsid w:val="00E21581"/>
    <w:rsid w:val="00E21C68"/>
    <w:rsid w:val="00E22810"/>
    <w:rsid w:val="00E248E7"/>
    <w:rsid w:val="00E2600A"/>
    <w:rsid w:val="00E279D0"/>
    <w:rsid w:val="00E30A47"/>
    <w:rsid w:val="00E31805"/>
    <w:rsid w:val="00E31A30"/>
    <w:rsid w:val="00E3314A"/>
    <w:rsid w:val="00E340BF"/>
    <w:rsid w:val="00E342A9"/>
    <w:rsid w:val="00E355BF"/>
    <w:rsid w:val="00E35CB6"/>
    <w:rsid w:val="00E36985"/>
    <w:rsid w:val="00E3742E"/>
    <w:rsid w:val="00E40C74"/>
    <w:rsid w:val="00E41327"/>
    <w:rsid w:val="00E439C3"/>
    <w:rsid w:val="00E43A39"/>
    <w:rsid w:val="00E46873"/>
    <w:rsid w:val="00E478ED"/>
    <w:rsid w:val="00E503C1"/>
    <w:rsid w:val="00E508C7"/>
    <w:rsid w:val="00E50AA5"/>
    <w:rsid w:val="00E53FD7"/>
    <w:rsid w:val="00E54869"/>
    <w:rsid w:val="00E55624"/>
    <w:rsid w:val="00E55976"/>
    <w:rsid w:val="00E566D7"/>
    <w:rsid w:val="00E575DF"/>
    <w:rsid w:val="00E61B5D"/>
    <w:rsid w:val="00E61F34"/>
    <w:rsid w:val="00E62F08"/>
    <w:rsid w:val="00E6417E"/>
    <w:rsid w:val="00E64EEA"/>
    <w:rsid w:val="00E65CB8"/>
    <w:rsid w:val="00E66877"/>
    <w:rsid w:val="00E67549"/>
    <w:rsid w:val="00E677FD"/>
    <w:rsid w:val="00E67E7C"/>
    <w:rsid w:val="00E7239D"/>
    <w:rsid w:val="00E72FD8"/>
    <w:rsid w:val="00E73459"/>
    <w:rsid w:val="00E736AD"/>
    <w:rsid w:val="00E73C5B"/>
    <w:rsid w:val="00E7427B"/>
    <w:rsid w:val="00E745E0"/>
    <w:rsid w:val="00E75CAA"/>
    <w:rsid w:val="00E75ED6"/>
    <w:rsid w:val="00E77473"/>
    <w:rsid w:val="00E77F19"/>
    <w:rsid w:val="00E81286"/>
    <w:rsid w:val="00E81EA6"/>
    <w:rsid w:val="00E82FE4"/>
    <w:rsid w:val="00E8322D"/>
    <w:rsid w:val="00E83C3A"/>
    <w:rsid w:val="00E85149"/>
    <w:rsid w:val="00E910BA"/>
    <w:rsid w:val="00E913F1"/>
    <w:rsid w:val="00E91BF8"/>
    <w:rsid w:val="00E929F9"/>
    <w:rsid w:val="00E93C82"/>
    <w:rsid w:val="00E941E9"/>
    <w:rsid w:val="00E9789C"/>
    <w:rsid w:val="00E97B58"/>
    <w:rsid w:val="00E97E91"/>
    <w:rsid w:val="00EA0D78"/>
    <w:rsid w:val="00EA2765"/>
    <w:rsid w:val="00EA556E"/>
    <w:rsid w:val="00EA5907"/>
    <w:rsid w:val="00EA707B"/>
    <w:rsid w:val="00EA72B8"/>
    <w:rsid w:val="00EA7703"/>
    <w:rsid w:val="00EA7775"/>
    <w:rsid w:val="00EB1395"/>
    <w:rsid w:val="00EB5829"/>
    <w:rsid w:val="00EB5E87"/>
    <w:rsid w:val="00EB663A"/>
    <w:rsid w:val="00EB66F7"/>
    <w:rsid w:val="00EC0D89"/>
    <w:rsid w:val="00EC0E63"/>
    <w:rsid w:val="00EC3040"/>
    <w:rsid w:val="00EC3C4C"/>
    <w:rsid w:val="00EC3E35"/>
    <w:rsid w:val="00EC3EB6"/>
    <w:rsid w:val="00EC5C2D"/>
    <w:rsid w:val="00ED0E24"/>
    <w:rsid w:val="00ED248C"/>
    <w:rsid w:val="00ED26E1"/>
    <w:rsid w:val="00ED2880"/>
    <w:rsid w:val="00ED2FC7"/>
    <w:rsid w:val="00ED40BB"/>
    <w:rsid w:val="00EE402D"/>
    <w:rsid w:val="00EE4EA1"/>
    <w:rsid w:val="00EE5ECF"/>
    <w:rsid w:val="00EE6369"/>
    <w:rsid w:val="00EE7350"/>
    <w:rsid w:val="00EE7791"/>
    <w:rsid w:val="00EF1595"/>
    <w:rsid w:val="00EF28D6"/>
    <w:rsid w:val="00EF30AC"/>
    <w:rsid w:val="00EF409F"/>
    <w:rsid w:val="00EF41D8"/>
    <w:rsid w:val="00EF5004"/>
    <w:rsid w:val="00EF702B"/>
    <w:rsid w:val="00EF71CB"/>
    <w:rsid w:val="00EF73FF"/>
    <w:rsid w:val="00EF7F71"/>
    <w:rsid w:val="00F0031B"/>
    <w:rsid w:val="00F00CE6"/>
    <w:rsid w:val="00F01132"/>
    <w:rsid w:val="00F02D11"/>
    <w:rsid w:val="00F02EAC"/>
    <w:rsid w:val="00F03FAA"/>
    <w:rsid w:val="00F04F35"/>
    <w:rsid w:val="00F07BE9"/>
    <w:rsid w:val="00F10FCD"/>
    <w:rsid w:val="00F12223"/>
    <w:rsid w:val="00F12645"/>
    <w:rsid w:val="00F126E2"/>
    <w:rsid w:val="00F12BCB"/>
    <w:rsid w:val="00F134B8"/>
    <w:rsid w:val="00F13D41"/>
    <w:rsid w:val="00F1555A"/>
    <w:rsid w:val="00F156C7"/>
    <w:rsid w:val="00F15AAF"/>
    <w:rsid w:val="00F15DDF"/>
    <w:rsid w:val="00F17F0C"/>
    <w:rsid w:val="00F2017D"/>
    <w:rsid w:val="00F20550"/>
    <w:rsid w:val="00F20E6F"/>
    <w:rsid w:val="00F21ABF"/>
    <w:rsid w:val="00F220A8"/>
    <w:rsid w:val="00F2386B"/>
    <w:rsid w:val="00F240CB"/>
    <w:rsid w:val="00F2486B"/>
    <w:rsid w:val="00F24FB2"/>
    <w:rsid w:val="00F257C8"/>
    <w:rsid w:val="00F26C52"/>
    <w:rsid w:val="00F3083F"/>
    <w:rsid w:val="00F314FF"/>
    <w:rsid w:val="00F31A14"/>
    <w:rsid w:val="00F31AE9"/>
    <w:rsid w:val="00F31DC1"/>
    <w:rsid w:val="00F32290"/>
    <w:rsid w:val="00F354DF"/>
    <w:rsid w:val="00F35EC8"/>
    <w:rsid w:val="00F3693E"/>
    <w:rsid w:val="00F374FF"/>
    <w:rsid w:val="00F377E6"/>
    <w:rsid w:val="00F40B62"/>
    <w:rsid w:val="00F4190D"/>
    <w:rsid w:val="00F41CA0"/>
    <w:rsid w:val="00F42C9D"/>
    <w:rsid w:val="00F42FCC"/>
    <w:rsid w:val="00F43973"/>
    <w:rsid w:val="00F44120"/>
    <w:rsid w:val="00F44229"/>
    <w:rsid w:val="00F44319"/>
    <w:rsid w:val="00F445B9"/>
    <w:rsid w:val="00F460C2"/>
    <w:rsid w:val="00F4644F"/>
    <w:rsid w:val="00F47114"/>
    <w:rsid w:val="00F5011E"/>
    <w:rsid w:val="00F50734"/>
    <w:rsid w:val="00F516F4"/>
    <w:rsid w:val="00F51DA5"/>
    <w:rsid w:val="00F538B6"/>
    <w:rsid w:val="00F5477C"/>
    <w:rsid w:val="00F554F3"/>
    <w:rsid w:val="00F55A3A"/>
    <w:rsid w:val="00F56FF6"/>
    <w:rsid w:val="00F57193"/>
    <w:rsid w:val="00F579EF"/>
    <w:rsid w:val="00F601A9"/>
    <w:rsid w:val="00F60D01"/>
    <w:rsid w:val="00F62016"/>
    <w:rsid w:val="00F62B4D"/>
    <w:rsid w:val="00F649E4"/>
    <w:rsid w:val="00F64B7D"/>
    <w:rsid w:val="00F65DEE"/>
    <w:rsid w:val="00F664FF"/>
    <w:rsid w:val="00F70406"/>
    <w:rsid w:val="00F726B9"/>
    <w:rsid w:val="00F72770"/>
    <w:rsid w:val="00F749BB"/>
    <w:rsid w:val="00F74ABF"/>
    <w:rsid w:val="00F75743"/>
    <w:rsid w:val="00F76DC5"/>
    <w:rsid w:val="00F80E2F"/>
    <w:rsid w:val="00F81B00"/>
    <w:rsid w:val="00F82C9E"/>
    <w:rsid w:val="00F82DC5"/>
    <w:rsid w:val="00F83DC4"/>
    <w:rsid w:val="00F84EB8"/>
    <w:rsid w:val="00F859C4"/>
    <w:rsid w:val="00F8681F"/>
    <w:rsid w:val="00F86F25"/>
    <w:rsid w:val="00F902BB"/>
    <w:rsid w:val="00F931F7"/>
    <w:rsid w:val="00F93E72"/>
    <w:rsid w:val="00F9412D"/>
    <w:rsid w:val="00F944FF"/>
    <w:rsid w:val="00F94CA2"/>
    <w:rsid w:val="00F95B66"/>
    <w:rsid w:val="00F970B4"/>
    <w:rsid w:val="00F970EB"/>
    <w:rsid w:val="00F9718C"/>
    <w:rsid w:val="00FA0871"/>
    <w:rsid w:val="00FA15FC"/>
    <w:rsid w:val="00FA21E8"/>
    <w:rsid w:val="00FA34E2"/>
    <w:rsid w:val="00FA3988"/>
    <w:rsid w:val="00FA4046"/>
    <w:rsid w:val="00FA5D9E"/>
    <w:rsid w:val="00FA6ED9"/>
    <w:rsid w:val="00FB13F4"/>
    <w:rsid w:val="00FB181A"/>
    <w:rsid w:val="00FB1E14"/>
    <w:rsid w:val="00FB1F51"/>
    <w:rsid w:val="00FB2A2D"/>
    <w:rsid w:val="00FB2E2A"/>
    <w:rsid w:val="00FB3A42"/>
    <w:rsid w:val="00FB4126"/>
    <w:rsid w:val="00FB4554"/>
    <w:rsid w:val="00FB7A5D"/>
    <w:rsid w:val="00FC1217"/>
    <w:rsid w:val="00FC231D"/>
    <w:rsid w:val="00FC28E3"/>
    <w:rsid w:val="00FC29C4"/>
    <w:rsid w:val="00FC2BA7"/>
    <w:rsid w:val="00FC3248"/>
    <w:rsid w:val="00FC3EF7"/>
    <w:rsid w:val="00FC4567"/>
    <w:rsid w:val="00FC61D3"/>
    <w:rsid w:val="00FC791B"/>
    <w:rsid w:val="00FD06DD"/>
    <w:rsid w:val="00FD179D"/>
    <w:rsid w:val="00FD218D"/>
    <w:rsid w:val="00FD3CF7"/>
    <w:rsid w:val="00FD3DE9"/>
    <w:rsid w:val="00FD543D"/>
    <w:rsid w:val="00FD74F7"/>
    <w:rsid w:val="00FD7D2E"/>
    <w:rsid w:val="00FD7F69"/>
    <w:rsid w:val="00FE09AF"/>
    <w:rsid w:val="00FE1ABD"/>
    <w:rsid w:val="00FE204C"/>
    <w:rsid w:val="00FE2B34"/>
    <w:rsid w:val="00FE32A9"/>
    <w:rsid w:val="00FE5F18"/>
    <w:rsid w:val="00FE665F"/>
    <w:rsid w:val="00FE6983"/>
    <w:rsid w:val="00FE6D71"/>
    <w:rsid w:val="00FE72A3"/>
    <w:rsid w:val="00FE760F"/>
    <w:rsid w:val="00FF0429"/>
    <w:rsid w:val="00FF127A"/>
    <w:rsid w:val="00FF2625"/>
    <w:rsid w:val="00FF2861"/>
    <w:rsid w:val="00FF299B"/>
    <w:rsid w:val="00FF3552"/>
    <w:rsid w:val="00FF3B3D"/>
    <w:rsid w:val="00FF5BEF"/>
    <w:rsid w:val="00FF5D29"/>
    <w:rsid w:val="00FF628F"/>
    <w:rsid w:val="00FF6934"/>
    <w:rsid w:val="00FF694B"/>
    <w:rsid w:val="00FF6CB8"/>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406"/>
    <w:pPr>
      <w:spacing w:after="0" w:line="240" w:lineRule="auto"/>
    </w:pPr>
    <w:rPr>
      <w:rFonts w:ascii="Arial" w:eastAsia="Times New Roman" w:hAnsi="Arial" w:cs="Times New Roman"/>
      <w:szCs w:val="24"/>
      <w:lang w:val="en-US"/>
    </w:rPr>
  </w:style>
  <w:style w:type="paragraph" w:styleId="Heading1">
    <w:name w:val="heading 1"/>
    <w:basedOn w:val="Normal"/>
    <w:link w:val="Heading1Char"/>
    <w:uiPriority w:val="9"/>
    <w:qFormat/>
    <w:rsid w:val="001C6DB1"/>
    <w:pPr>
      <w:keepNext/>
      <w:keepLines/>
      <w:numPr>
        <w:numId w:val="7"/>
      </w:numPr>
      <w:outlineLvl w:val="0"/>
    </w:pPr>
    <w:rPr>
      <w:rFonts w:eastAsiaTheme="majorEastAsia" w:cstheme="majorBidi"/>
      <w:b/>
      <w:bCs/>
      <w:caps/>
      <w:sz w:val="28"/>
      <w:szCs w:val="28"/>
    </w:rPr>
  </w:style>
  <w:style w:type="paragraph" w:styleId="Heading2">
    <w:name w:val="heading 2"/>
    <w:basedOn w:val="Normal"/>
    <w:link w:val="Heading2Char"/>
    <w:autoRedefine/>
    <w:uiPriority w:val="9"/>
    <w:qFormat/>
    <w:rsid w:val="005B4E9F"/>
    <w:pPr>
      <w:numPr>
        <w:ilvl w:val="1"/>
        <w:numId w:val="7"/>
      </w:numPr>
      <w:spacing w:line="360" w:lineRule="auto"/>
      <w:outlineLvl w:val="1"/>
    </w:pPr>
    <w:rPr>
      <w:b/>
      <w:lang w:val="hr-HR"/>
    </w:rPr>
  </w:style>
  <w:style w:type="paragraph" w:styleId="Heading3">
    <w:name w:val="heading 3"/>
    <w:basedOn w:val="Normal"/>
    <w:next w:val="Heading2"/>
    <w:link w:val="Heading3Char"/>
    <w:uiPriority w:val="9"/>
    <w:unhideWhenUsed/>
    <w:qFormat/>
    <w:rsid w:val="0037217E"/>
    <w:pPr>
      <w:keepNext/>
      <w:keepLines/>
      <w:numPr>
        <w:ilvl w:val="2"/>
        <w:numId w:val="7"/>
      </w:numPr>
      <w:spacing w:before="200"/>
      <w:outlineLvl w:val="2"/>
    </w:pPr>
    <w:rPr>
      <w:rFonts w:eastAsiaTheme="majorEastAsia" w:cs="Arial"/>
      <w:b/>
      <w:bCs/>
      <w:i/>
      <w:lang w:val="hr-HR"/>
    </w:rPr>
  </w:style>
  <w:style w:type="paragraph" w:styleId="Heading4">
    <w:name w:val="heading 4"/>
    <w:basedOn w:val="Normal"/>
    <w:next w:val="Normal"/>
    <w:link w:val="Heading4Char"/>
    <w:uiPriority w:val="9"/>
    <w:unhideWhenUsed/>
    <w:qFormat/>
    <w:rsid w:val="0037217E"/>
    <w:pPr>
      <w:keepNext/>
      <w:keepLines/>
      <w:numPr>
        <w:ilvl w:val="3"/>
        <w:numId w:val="7"/>
      </w:numPr>
      <w:spacing w:before="200"/>
      <w:outlineLvl w:val="3"/>
    </w:pPr>
    <w:rPr>
      <w:rFonts w:eastAsiaTheme="majorEastAsia" w:cstheme="majorBidi"/>
      <w:bCs/>
      <w:i/>
      <w:iCs/>
    </w:rPr>
  </w:style>
  <w:style w:type="paragraph" w:styleId="Heading5">
    <w:name w:val="heading 5"/>
    <w:basedOn w:val="Normal"/>
    <w:next w:val="Normal"/>
    <w:link w:val="Heading5Char"/>
    <w:uiPriority w:val="9"/>
    <w:semiHidden/>
    <w:unhideWhenUsed/>
    <w:qFormat/>
    <w:rsid w:val="007C1A4F"/>
    <w:pPr>
      <w:keepNext/>
      <w:keepLines/>
      <w:numPr>
        <w:ilvl w:val="4"/>
        <w:numId w:val="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A4F"/>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A4F"/>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A4F"/>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A4F"/>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7520B9"/>
  </w:style>
  <w:style w:type="character" w:customStyle="1" w:styleId="apple-converted-space">
    <w:name w:val="apple-converted-space"/>
    <w:basedOn w:val="DefaultParagraphFont"/>
    <w:rsid w:val="00F82DC5"/>
  </w:style>
  <w:style w:type="paragraph" w:customStyle="1" w:styleId="clanak">
    <w:name w:val="clanak"/>
    <w:basedOn w:val="Normal"/>
    <w:rsid w:val="00A609AA"/>
    <w:pPr>
      <w:spacing w:before="100" w:beforeAutospacing="1" w:after="100" w:afterAutospacing="1"/>
    </w:pPr>
    <w:rPr>
      <w:lang w:val="hr-HR" w:eastAsia="hr-HR"/>
    </w:rPr>
  </w:style>
  <w:style w:type="paragraph" w:customStyle="1" w:styleId="t-98-2">
    <w:name w:val="t-98-2"/>
    <w:basedOn w:val="Normal"/>
    <w:rsid w:val="00A609AA"/>
    <w:pPr>
      <w:spacing w:before="100" w:beforeAutospacing="1" w:after="100" w:afterAutospacing="1"/>
    </w:pPr>
    <w:rPr>
      <w:lang w:val="hr-HR" w:eastAsia="hr-HR"/>
    </w:rPr>
  </w:style>
  <w:style w:type="paragraph" w:styleId="BalloonText">
    <w:name w:val="Balloon Text"/>
    <w:basedOn w:val="Normal"/>
    <w:link w:val="BalloonTextChar"/>
    <w:uiPriority w:val="99"/>
    <w:semiHidden/>
    <w:unhideWhenUsed/>
    <w:rsid w:val="00FE6983"/>
    <w:rPr>
      <w:rFonts w:ascii="Tahoma" w:hAnsi="Tahoma" w:cs="Tahoma"/>
      <w:sz w:val="16"/>
      <w:szCs w:val="16"/>
    </w:rPr>
  </w:style>
  <w:style w:type="character" w:customStyle="1" w:styleId="BalloonTextChar">
    <w:name w:val="Balloon Text Char"/>
    <w:basedOn w:val="DefaultParagraphFont"/>
    <w:link w:val="BalloonText"/>
    <w:uiPriority w:val="99"/>
    <w:semiHidden/>
    <w:rsid w:val="00FE6983"/>
    <w:rPr>
      <w:rFonts w:ascii="Tahoma" w:eastAsia="Times New Roman" w:hAnsi="Tahoma" w:cs="Tahoma"/>
      <w:sz w:val="16"/>
      <w:szCs w:val="16"/>
      <w:lang w:val="en-US"/>
    </w:rPr>
  </w:style>
  <w:style w:type="table" w:styleId="MediumGrid1-Accent1">
    <w:name w:val="Medium Grid 1 Accent 1"/>
    <w:basedOn w:val="TableNormal"/>
    <w:uiPriority w:val="67"/>
    <w:rsid w:val="00D508D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t-10-9-sred">
    <w:name w:val="t-10-9-sred"/>
    <w:basedOn w:val="Normal"/>
    <w:rsid w:val="00523292"/>
    <w:pPr>
      <w:spacing w:before="100" w:beforeAutospacing="1" w:after="100" w:afterAutospacing="1"/>
    </w:pPr>
    <w:rPr>
      <w:lang w:val="hr-HR" w:eastAsia="hr-HR"/>
    </w:rPr>
  </w:style>
  <w:style w:type="paragraph" w:customStyle="1" w:styleId="t-9-8">
    <w:name w:val="t-9-8"/>
    <w:basedOn w:val="Normal"/>
    <w:rsid w:val="00523292"/>
    <w:pPr>
      <w:spacing w:before="100" w:beforeAutospacing="1" w:after="100" w:afterAutospacing="1"/>
    </w:pPr>
    <w:rPr>
      <w:lang w:val="hr-HR" w:eastAsia="hr-HR"/>
    </w:rPr>
  </w:style>
  <w:style w:type="paragraph" w:styleId="FootnoteText">
    <w:name w:val="footnote text"/>
    <w:basedOn w:val="Normal"/>
    <w:link w:val="FootnoteTextChar"/>
    <w:uiPriority w:val="99"/>
    <w:unhideWhenUsed/>
    <w:rsid w:val="00022011"/>
    <w:rPr>
      <w:sz w:val="20"/>
      <w:szCs w:val="20"/>
    </w:rPr>
  </w:style>
  <w:style w:type="character" w:customStyle="1" w:styleId="FootnoteTextChar">
    <w:name w:val="Footnote Text Char"/>
    <w:basedOn w:val="DefaultParagraphFont"/>
    <w:link w:val="FootnoteText"/>
    <w:uiPriority w:val="99"/>
    <w:rsid w:val="00022011"/>
    <w:rPr>
      <w:rFonts w:ascii="Times New Roman" w:eastAsia="Times New Roman" w:hAnsi="Times New Roman" w:cs="Times New Roman"/>
      <w:sz w:val="20"/>
      <w:szCs w:val="20"/>
      <w:lang w:val="en-US"/>
    </w:rPr>
  </w:style>
  <w:style w:type="character" w:styleId="FootnoteReference">
    <w:name w:val="footnote reference"/>
    <w:basedOn w:val="DefaultParagraphFont"/>
    <w:semiHidden/>
    <w:unhideWhenUsed/>
    <w:rsid w:val="00022011"/>
    <w:rPr>
      <w:vertAlign w:val="superscript"/>
    </w:rPr>
  </w:style>
  <w:style w:type="paragraph" w:styleId="ListParagraph">
    <w:name w:val="List Paragraph"/>
    <w:basedOn w:val="Normal"/>
    <w:uiPriority w:val="34"/>
    <w:qFormat/>
    <w:rsid w:val="00907BB6"/>
    <w:pPr>
      <w:ind w:left="720"/>
      <w:contextualSpacing/>
    </w:pPr>
  </w:style>
  <w:style w:type="paragraph" w:customStyle="1" w:styleId="T-98-20">
    <w:name w:val="T-9/8-2"/>
    <w:basedOn w:val="Normal"/>
    <w:rsid w:val="00907BB6"/>
    <w:pPr>
      <w:widowControl w:val="0"/>
      <w:tabs>
        <w:tab w:val="left" w:pos="2153"/>
      </w:tabs>
      <w:adjustRightInd w:val="0"/>
      <w:spacing w:after="43"/>
      <w:ind w:firstLine="342"/>
      <w:jc w:val="both"/>
    </w:pPr>
    <w:rPr>
      <w:rFonts w:ascii="Times-NewRoman" w:hAnsi="Times-NewRoman"/>
      <w:sz w:val="19"/>
      <w:szCs w:val="19"/>
      <w:lang w:val="en-GB"/>
    </w:rPr>
  </w:style>
  <w:style w:type="paragraph" w:styleId="NormalWeb">
    <w:name w:val="Normal (Web)"/>
    <w:basedOn w:val="Normal"/>
    <w:uiPriority w:val="99"/>
    <w:unhideWhenUsed/>
    <w:rsid w:val="00CD48A5"/>
    <w:pPr>
      <w:spacing w:before="100" w:beforeAutospacing="1" w:after="100" w:afterAutospacing="1"/>
    </w:pPr>
    <w:rPr>
      <w:lang w:val="hr-HR" w:eastAsia="hr-HR"/>
    </w:rPr>
  </w:style>
  <w:style w:type="paragraph" w:customStyle="1" w:styleId="Clanak0">
    <w:name w:val="Clanak"/>
    <w:next w:val="T-98-20"/>
    <w:rsid w:val="00462FDB"/>
    <w:pPr>
      <w:widowControl w:val="0"/>
      <w:adjustRightInd w:val="0"/>
      <w:spacing w:before="86" w:after="43" w:line="240" w:lineRule="auto"/>
      <w:jc w:val="center"/>
    </w:pPr>
    <w:rPr>
      <w:rFonts w:ascii="Times-NewRoman" w:eastAsia="Times New Roman" w:hAnsi="Times-NewRoman" w:cs="Times New Roman"/>
      <w:sz w:val="19"/>
      <w:szCs w:val="19"/>
      <w:lang w:val="en-GB"/>
    </w:rPr>
  </w:style>
  <w:style w:type="character" w:styleId="Hyperlink">
    <w:name w:val="Hyperlink"/>
    <w:basedOn w:val="DefaultParagraphFont"/>
    <w:uiPriority w:val="99"/>
    <w:unhideWhenUsed/>
    <w:rsid w:val="004D0313"/>
    <w:rPr>
      <w:color w:val="0000FF"/>
      <w:u w:val="single"/>
    </w:rPr>
  </w:style>
  <w:style w:type="character" w:customStyle="1" w:styleId="Heading2Char">
    <w:name w:val="Heading 2 Char"/>
    <w:basedOn w:val="DefaultParagraphFont"/>
    <w:link w:val="Heading2"/>
    <w:uiPriority w:val="9"/>
    <w:rsid w:val="005B4E9F"/>
    <w:rPr>
      <w:rFonts w:ascii="Arial" w:eastAsia="Times New Roman" w:hAnsi="Arial" w:cs="Times New Roman"/>
      <w:b/>
      <w:sz w:val="24"/>
      <w:szCs w:val="24"/>
    </w:rPr>
  </w:style>
  <w:style w:type="character" w:customStyle="1" w:styleId="xclaimempty">
    <w:name w:val="xclaimempty"/>
    <w:basedOn w:val="DefaultParagraphFont"/>
    <w:rsid w:val="006C3136"/>
  </w:style>
  <w:style w:type="character" w:customStyle="1" w:styleId="xclaimstyle">
    <w:name w:val="xclaimstyle"/>
    <w:basedOn w:val="DefaultParagraphFont"/>
    <w:rsid w:val="006C3136"/>
  </w:style>
  <w:style w:type="character" w:styleId="Strong">
    <w:name w:val="Strong"/>
    <w:basedOn w:val="DefaultParagraphFont"/>
    <w:uiPriority w:val="22"/>
    <w:qFormat/>
    <w:rsid w:val="00977809"/>
    <w:rPr>
      <w:b/>
      <w:bCs/>
    </w:rPr>
  </w:style>
  <w:style w:type="character" w:customStyle="1" w:styleId="Heading1Char">
    <w:name w:val="Heading 1 Char"/>
    <w:basedOn w:val="DefaultParagraphFont"/>
    <w:link w:val="Heading1"/>
    <w:uiPriority w:val="9"/>
    <w:rsid w:val="001C6DB1"/>
    <w:rPr>
      <w:rFonts w:ascii="Arial" w:eastAsiaTheme="majorEastAsia" w:hAnsi="Arial" w:cstheme="majorBidi"/>
      <w:b/>
      <w:bCs/>
      <w:caps/>
      <w:sz w:val="28"/>
      <w:szCs w:val="28"/>
      <w:lang w:val="en-US"/>
    </w:rPr>
  </w:style>
  <w:style w:type="paragraph" w:styleId="Header">
    <w:name w:val="header"/>
    <w:basedOn w:val="Normal"/>
    <w:link w:val="HeaderChar"/>
    <w:uiPriority w:val="99"/>
    <w:unhideWhenUsed/>
    <w:rsid w:val="00CE116A"/>
    <w:pPr>
      <w:tabs>
        <w:tab w:val="center" w:pos="4536"/>
        <w:tab w:val="right" w:pos="9072"/>
      </w:tabs>
    </w:pPr>
  </w:style>
  <w:style w:type="character" w:customStyle="1" w:styleId="HeaderChar">
    <w:name w:val="Header Char"/>
    <w:basedOn w:val="DefaultParagraphFont"/>
    <w:link w:val="Header"/>
    <w:uiPriority w:val="99"/>
    <w:rsid w:val="00CE116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E116A"/>
    <w:pPr>
      <w:tabs>
        <w:tab w:val="center" w:pos="4536"/>
        <w:tab w:val="right" w:pos="9072"/>
      </w:tabs>
    </w:pPr>
  </w:style>
  <w:style w:type="character" w:customStyle="1" w:styleId="FooterChar">
    <w:name w:val="Footer Char"/>
    <w:basedOn w:val="DefaultParagraphFont"/>
    <w:link w:val="Footer"/>
    <w:uiPriority w:val="99"/>
    <w:rsid w:val="00CE116A"/>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6F0840"/>
    <w:rPr>
      <w:i/>
      <w:iCs/>
    </w:rPr>
  </w:style>
  <w:style w:type="table" w:styleId="TableGrid">
    <w:name w:val="Table Grid"/>
    <w:basedOn w:val="TableNormal"/>
    <w:uiPriority w:val="59"/>
    <w:rsid w:val="00715C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9F2B19"/>
    <w:rPr>
      <w:color w:val="800080" w:themeColor="followedHyperlink"/>
      <w:u w:val="single"/>
    </w:rPr>
  </w:style>
  <w:style w:type="table" w:customStyle="1" w:styleId="LightGrid-Accent11">
    <w:name w:val="Light Grid - Accent 11"/>
    <w:basedOn w:val="TableNormal"/>
    <w:uiPriority w:val="62"/>
    <w:rsid w:val="00C2426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LineNumber">
    <w:name w:val="line number"/>
    <w:basedOn w:val="DefaultParagraphFont"/>
    <w:uiPriority w:val="99"/>
    <w:semiHidden/>
    <w:unhideWhenUsed/>
    <w:rsid w:val="00F03FAA"/>
  </w:style>
  <w:style w:type="character" w:customStyle="1" w:styleId="Heading3Char">
    <w:name w:val="Heading 3 Char"/>
    <w:basedOn w:val="DefaultParagraphFont"/>
    <w:link w:val="Heading3"/>
    <w:uiPriority w:val="9"/>
    <w:rsid w:val="0037217E"/>
    <w:rPr>
      <w:rFonts w:ascii="Arial" w:eastAsiaTheme="majorEastAsia" w:hAnsi="Arial" w:cs="Arial"/>
      <w:b/>
      <w:bCs/>
      <w:i/>
      <w:szCs w:val="24"/>
    </w:rPr>
  </w:style>
  <w:style w:type="character" w:customStyle="1" w:styleId="Heading4Char">
    <w:name w:val="Heading 4 Char"/>
    <w:basedOn w:val="DefaultParagraphFont"/>
    <w:link w:val="Heading4"/>
    <w:uiPriority w:val="9"/>
    <w:rsid w:val="0037217E"/>
    <w:rPr>
      <w:rFonts w:ascii="Arial" w:eastAsiaTheme="majorEastAsia" w:hAnsi="Arial" w:cstheme="majorBidi"/>
      <w:bCs/>
      <w:i/>
      <w:iCs/>
      <w:szCs w:val="24"/>
      <w:lang w:val="en-US"/>
    </w:rPr>
  </w:style>
  <w:style w:type="paragraph" w:styleId="Title">
    <w:name w:val="Title"/>
    <w:basedOn w:val="Normal"/>
    <w:next w:val="Normal"/>
    <w:link w:val="TitleChar"/>
    <w:uiPriority w:val="10"/>
    <w:qFormat/>
    <w:rsid w:val="00A6371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6371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073C18"/>
    <w:pPr>
      <w:numPr>
        <w:numId w:val="1"/>
      </w:numPr>
    </w:pPr>
    <w:rPr>
      <w:rFonts w:eastAsiaTheme="majorEastAsia" w:cstheme="majorBidi"/>
      <w:iCs/>
      <w:caps/>
      <w:color w:val="000000" w:themeColor="text1"/>
      <w:spacing w:val="15"/>
      <w:sz w:val="28"/>
    </w:rPr>
  </w:style>
  <w:style w:type="character" w:customStyle="1" w:styleId="SubtitleChar">
    <w:name w:val="Subtitle Char"/>
    <w:basedOn w:val="DefaultParagraphFont"/>
    <w:link w:val="Subtitle"/>
    <w:uiPriority w:val="11"/>
    <w:rsid w:val="00073C18"/>
    <w:rPr>
      <w:rFonts w:ascii="Arial" w:eastAsiaTheme="majorEastAsia" w:hAnsi="Arial" w:cstheme="majorBidi"/>
      <w:iCs/>
      <w:caps/>
      <w:color w:val="000000" w:themeColor="text1"/>
      <w:spacing w:val="15"/>
      <w:sz w:val="28"/>
      <w:szCs w:val="24"/>
      <w:lang w:val="en-US"/>
    </w:rPr>
  </w:style>
  <w:style w:type="character" w:styleId="SubtleEmphasis">
    <w:name w:val="Subtle Emphasis"/>
    <w:basedOn w:val="DefaultParagraphFont"/>
    <w:uiPriority w:val="19"/>
    <w:qFormat/>
    <w:rsid w:val="00A6371A"/>
    <w:rPr>
      <w:iCs/>
      <w:color w:val="0D0D0D" w:themeColor="text1" w:themeTint="F2"/>
    </w:rPr>
  </w:style>
  <w:style w:type="numbering" w:customStyle="1" w:styleId="ida1">
    <w:name w:val="ida1"/>
    <w:uiPriority w:val="99"/>
    <w:rsid w:val="00073C18"/>
    <w:pPr>
      <w:numPr>
        <w:numId w:val="2"/>
      </w:numPr>
    </w:pPr>
  </w:style>
  <w:style w:type="numbering" w:customStyle="1" w:styleId="Style1">
    <w:name w:val="Style1"/>
    <w:uiPriority w:val="99"/>
    <w:rsid w:val="00073C18"/>
    <w:pPr>
      <w:numPr>
        <w:numId w:val="3"/>
      </w:numPr>
    </w:pPr>
  </w:style>
  <w:style w:type="numbering" w:customStyle="1" w:styleId="Style2">
    <w:name w:val="Style2"/>
    <w:uiPriority w:val="99"/>
    <w:rsid w:val="00073C18"/>
    <w:pPr>
      <w:numPr>
        <w:numId w:val="4"/>
      </w:numPr>
    </w:pPr>
  </w:style>
  <w:style w:type="numbering" w:customStyle="1" w:styleId="Style3">
    <w:name w:val="Style3"/>
    <w:uiPriority w:val="99"/>
    <w:rsid w:val="00073C18"/>
    <w:pPr>
      <w:numPr>
        <w:numId w:val="5"/>
      </w:numPr>
    </w:pPr>
  </w:style>
  <w:style w:type="numbering" w:customStyle="1" w:styleId="Style4">
    <w:name w:val="Style4"/>
    <w:uiPriority w:val="99"/>
    <w:rsid w:val="00073C18"/>
    <w:pPr>
      <w:numPr>
        <w:numId w:val="6"/>
      </w:numPr>
    </w:pPr>
  </w:style>
  <w:style w:type="paragraph" w:styleId="TOCHeading">
    <w:name w:val="TOC Heading"/>
    <w:basedOn w:val="Heading1"/>
    <w:next w:val="Normal"/>
    <w:uiPriority w:val="39"/>
    <w:unhideWhenUsed/>
    <w:qFormat/>
    <w:rsid w:val="00023627"/>
    <w:pPr>
      <w:numPr>
        <w:numId w:val="0"/>
      </w:numPr>
      <w:spacing w:before="480" w:line="276" w:lineRule="auto"/>
      <w:outlineLvl w:val="9"/>
    </w:pPr>
    <w:rPr>
      <w:rFonts w:asciiTheme="majorHAnsi" w:hAnsiTheme="majorHAnsi"/>
      <w:caps w:val="0"/>
      <w:color w:val="365F91" w:themeColor="accent1" w:themeShade="BF"/>
    </w:rPr>
  </w:style>
  <w:style w:type="paragraph" w:styleId="TOC1">
    <w:name w:val="toc 1"/>
    <w:basedOn w:val="Normal"/>
    <w:next w:val="Normal"/>
    <w:autoRedefine/>
    <w:uiPriority w:val="39"/>
    <w:unhideWhenUsed/>
    <w:qFormat/>
    <w:rsid w:val="00023627"/>
    <w:pPr>
      <w:spacing w:after="100"/>
    </w:pPr>
  </w:style>
  <w:style w:type="paragraph" w:styleId="TOC2">
    <w:name w:val="toc 2"/>
    <w:basedOn w:val="Normal"/>
    <w:next w:val="Normal"/>
    <w:autoRedefine/>
    <w:uiPriority w:val="39"/>
    <w:unhideWhenUsed/>
    <w:qFormat/>
    <w:rsid w:val="00023627"/>
    <w:pPr>
      <w:spacing w:after="100"/>
      <w:ind w:left="240"/>
    </w:pPr>
  </w:style>
  <w:style w:type="paragraph" w:styleId="TOC3">
    <w:name w:val="toc 3"/>
    <w:basedOn w:val="Normal"/>
    <w:next w:val="Normal"/>
    <w:autoRedefine/>
    <w:uiPriority w:val="39"/>
    <w:unhideWhenUsed/>
    <w:qFormat/>
    <w:rsid w:val="00023627"/>
    <w:pPr>
      <w:spacing w:after="100"/>
      <w:ind w:left="480"/>
    </w:pPr>
  </w:style>
  <w:style w:type="character" w:customStyle="1" w:styleId="Heading5Char">
    <w:name w:val="Heading 5 Char"/>
    <w:basedOn w:val="DefaultParagraphFont"/>
    <w:link w:val="Heading5"/>
    <w:uiPriority w:val="9"/>
    <w:semiHidden/>
    <w:rsid w:val="007C1A4F"/>
    <w:rPr>
      <w:rFonts w:asciiTheme="majorHAnsi" w:eastAsiaTheme="majorEastAsia" w:hAnsiTheme="majorHAnsi" w:cstheme="majorBidi"/>
      <w:color w:val="243F60" w:themeColor="accent1" w:themeShade="7F"/>
      <w:sz w:val="24"/>
      <w:szCs w:val="24"/>
      <w:lang w:val="en-US"/>
    </w:rPr>
  </w:style>
  <w:style w:type="character" w:customStyle="1" w:styleId="Heading6Char">
    <w:name w:val="Heading 6 Char"/>
    <w:basedOn w:val="DefaultParagraphFont"/>
    <w:link w:val="Heading6"/>
    <w:uiPriority w:val="9"/>
    <w:semiHidden/>
    <w:rsid w:val="007C1A4F"/>
    <w:rPr>
      <w:rFonts w:asciiTheme="majorHAnsi" w:eastAsiaTheme="majorEastAsia" w:hAnsiTheme="majorHAnsi" w:cstheme="majorBidi"/>
      <w:i/>
      <w:iCs/>
      <w:color w:val="243F60" w:themeColor="accent1" w:themeShade="7F"/>
      <w:sz w:val="24"/>
      <w:szCs w:val="24"/>
      <w:lang w:val="en-US"/>
    </w:rPr>
  </w:style>
  <w:style w:type="character" w:customStyle="1" w:styleId="Heading7Char">
    <w:name w:val="Heading 7 Char"/>
    <w:basedOn w:val="DefaultParagraphFont"/>
    <w:link w:val="Heading7"/>
    <w:uiPriority w:val="9"/>
    <w:semiHidden/>
    <w:rsid w:val="007C1A4F"/>
    <w:rPr>
      <w:rFonts w:asciiTheme="majorHAnsi" w:eastAsiaTheme="majorEastAsia" w:hAnsiTheme="majorHAnsi" w:cstheme="majorBidi"/>
      <w:i/>
      <w:iCs/>
      <w:color w:val="404040" w:themeColor="text1" w:themeTint="BF"/>
      <w:sz w:val="24"/>
      <w:szCs w:val="24"/>
      <w:lang w:val="en-US"/>
    </w:rPr>
  </w:style>
  <w:style w:type="character" w:customStyle="1" w:styleId="Heading8Char">
    <w:name w:val="Heading 8 Char"/>
    <w:basedOn w:val="DefaultParagraphFont"/>
    <w:link w:val="Heading8"/>
    <w:uiPriority w:val="9"/>
    <w:semiHidden/>
    <w:rsid w:val="007C1A4F"/>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7C1A4F"/>
    <w:rPr>
      <w:rFonts w:asciiTheme="majorHAnsi" w:eastAsiaTheme="majorEastAsia" w:hAnsiTheme="majorHAnsi" w:cstheme="majorBidi"/>
      <w:i/>
      <w:iCs/>
      <w:color w:val="404040" w:themeColor="text1" w:themeTint="BF"/>
      <w:sz w:val="20"/>
      <w:szCs w:val="20"/>
      <w:lang w:val="en-US"/>
    </w:rPr>
  </w:style>
  <w:style w:type="character" w:styleId="CommentReference">
    <w:name w:val="annotation reference"/>
    <w:basedOn w:val="DefaultParagraphFont"/>
    <w:uiPriority w:val="99"/>
    <w:semiHidden/>
    <w:unhideWhenUsed/>
    <w:rsid w:val="00365D47"/>
    <w:rPr>
      <w:sz w:val="16"/>
      <w:szCs w:val="16"/>
    </w:rPr>
  </w:style>
  <w:style w:type="paragraph" w:styleId="CommentText">
    <w:name w:val="annotation text"/>
    <w:basedOn w:val="Normal"/>
    <w:link w:val="CommentTextChar"/>
    <w:uiPriority w:val="99"/>
    <w:unhideWhenUsed/>
    <w:rsid w:val="00365D47"/>
    <w:rPr>
      <w:sz w:val="20"/>
      <w:szCs w:val="20"/>
    </w:rPr>
  </w:style>
  <w:style w:type="character" w:customStyle="1" w:styleId="CommentTextChar">
    <w:name w:val="Comment Text Char"/>
    <w:basedOn w:val="DefaultParagraphFont"/>
    <w:link w:val="CommentText"/>
    <w:uiPriority w:val="99"/>
    <w:rsid w:val="00365D4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65D47"/>
    <w:rPr>
      <w:b/>
      <w:bCs/>
    </w:rPr>
  </w:style>
  <w:style w:type="character" w:customStyle="1" w:styleId="CommentSubjectChar">
    <w:name w:val="Comment Subject Char"/>
    <w:basedOn w:val="CommentTextChar"/>
    <w:link w:val="CommentSubject"/>
    <w:uiPriority w:val="99"/>
    <w:semiHidden/>
    <w:rsid w:val="00365D47"/>
    <w:rPr>
      <w:rFonts w:ascii="Times New Roman" w:eastAsia="Times New Roman" w:hAnsi="Times New Roman" w:cs="Times New Roman"/>
      <w:b/>
      <w:bCs/>
      <w:sz w:val="20"/>
      <w:szCs w:val="20"/>
      <w:lang w:val="en-US"/>
    </w:rPr>
  </w:style>
  <w:style w:type="table" w:styleId="LightShading-Accent2">
    <w:name w:val="Light Shading Accent 2"/>
    <w:basedOn w:val="TableNormal"/>
    <w:uiPriority w:val="60"/>
    <w:rsid w:val="002932E7"/>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11">
    <w:name w:val="Light Shading - Accent 11"/>
    <w:basedOn w:val="TableNormal"/>
    <w:uiPriority w:val="60"/>
    <w:rsid w:val="002932E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5">
    <w:name w:val="Light Grid Accent 5"/>
    <w:basedOn w:val="TableNormal"/>
    <w:uiPriority w:val="62"/>
    <w:rsid w:val="002932E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clanak-">
    <w:name w:val="clanak-"/>
    <w:basedOn w:val="Normal"/>
    <w:rsid w:val="001C707F"/>
    <w:pPr>
      <w:spacing w:before="100" w:beforeAutospacing="1" w:after="100" w:afterAutospacing="1"/>
      <w:jc w:val="center"/>
    </w:pPr>
    <w:rPr>
      <w:lang w:val="hr-HR" w:eastAsia="hr-HR"/>
    </w:rPr>
  </w:style>
  <w:style w:type="character" w:styleId="EndnoteReference">
    <w:name w:val="endnote reference"/>
    <w:basedOn w:val="DefaultParagraphFont"/>
    <w:uiPriority w:val="99"/>
    <w:semiHidden/>
    <w:unhideWhenUsed/>
    <w:rsid w:val="00A500E3"/>
    <w:rPr>
      <w:vertAlign w:val="superscript"/>
    </w:rPr>
  </w:style>
  <w:style w:type="paragraph" w:customStyle="1" w:styleId="StyleHeading111pt">
    <w:name w:val="Style Heading 1 + 11 pt"/>
    <w:basedOn w:val="Heading1"/>
    <w:next w:val="Heading1"/>
    <w:rsid w:val="005B4E9F"/>
    <w:rPr>
      <w:sz w:val="22"/>
    </w:rPr>
  </w:style>
  <w:style w:type="character" w:customStyle="1" w:styleId="kurziv">
    <w:name w:val="kurziv"/>
    <w:basedOn w:val="DefaultParagraphFont"/>
    <w:rsid w:val="007C4F18"/>
  </w:style>
  <w:style w:type="character" w:customStyle="1" w:styleId="textcolumn">
    <w:name w:val="textcolumn"/>
    <w:basedOn w:val="DefaultParagraphFont"/>
    <w:rsid w:val="00D926EC"/>
  </w:style>
  <w:style w:type="paragraph" w:styleId="TOC4">
    <w:name w:val="toc 4"/>
    <w:basedOn w:val="Normal"/>
    <w:next w:val="Normal"/>
    <w:autoRedefine/>
    <w:uiPriority w:val="39"/>
    <w:unhideWhenUsed/>
    <w:rsid w:val="00FF299B"/>
    <w:pPr>
      <w:spacing w:after="100"/>
      <w:ind w:left="720"/>
    </w:pPr>
  </w:style>
  <w:style w:type="paragraph" w:styleId="Revision">
    <w:name w:val="Revision"/>
    <w:hidden/>
    <w:uiPriority w:val="99"/>
    <w:semiHidden/>
    <w:rsid w:val="00A21B0B"/>
    <w:pPr>
      <w:spacing w:after="0"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E439C3"/>
    <w:rPr>
      <w:sz w:val="20"/>
      <w:szCs w:val="20"/>
    </w:rPr>
  </w:style>
  <w:style w:type="character" w:customStyle="1" w:styleId="EndnoteTextChar">
    <w:name w:val="Endnote Text Char"/>
    <w:basedOn w:val="DefaultParagraphFont"/>
    <w:link w:val="EndnoteText"/>
    <w:uiPriority w:val="99"/>
    <w:semiHidden/>
    <w:rsid w:val="00E439C3"/>
    <w:rPr>
      <w:rFonts w:ascii="Arial" w:eastAsia="Times New Roman" w:hAnsi="Arial"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A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1C6DB1"/>
    <w:pPr>
      <w:keepNext/>
      <w:keepLines/>
      <w:numPr>
        <w:numId w:val="33"/>
      </w:numPr>
      <w:outlineLvl w:val="0"/>
    </w:pPr>
    <w:rPr>
      <w:rFonts w:ascii="Arial" w:eastAsiaTheme="majorEastAsia" w:hAnsi="Arial" w:cstheme="majorBidi"/>
      <w:b/>
      <w:bCs/>
      <w:caps/>
      <w:sz w:val="28"/>
      <w:szCs w:val="28"/>
    </w:rPr>
  </w:style>
  <w:style w:type="paragraph" w:styleId="Heading2">
    <w:name w:val="heading 2"/>
    <w:basedOn w:val="Normal"/>
    <w:link w:val="Heading2Char"/>
    <w:autoRedefine/>
    <w:uiPriority w:val="9"/>
    <w:qFormat/>
    <w:rsid w:val="005A57F5"/>
    <w:pPr>
      <w:numPr>
        <w:ilvl w:val="1"/>
        <w:numId w:val="33"/>
      </w:numPr>
      <w:spacing w:before="240" w:after="120"/>
      <w:outlineLvl w:val="1"/>
    </w:pPr>
    <w:rPr>
      <w:rFonts w:ascii="Arial" w:hAnsi="Arial" w:cs="Arial"/>
      <w:b/>
      <w:sz w:val="22"/>
      <w:szCs w:val="22"/>
    </w:rPr>
  </w:style>
  <w:style w:type="paragraph" w:styleId="Heading3">
    <w:name w:val="heading 3"/>
    <w:basedOn w:val="Normal"/>
    <w:next w:val="Heading2"/>
    <w:link w:val="Heading3Char"/>
    <w:uiPriority w:val="9"/>
    <w:unhideWhenUsed/>
    <w:qFormat/>
    <w:rsid w:val="001E1A80"/>
    <w:pPr>
      <w:keepNext/>
      <w:keepLines/>
      <w:numPr>
        <w:ilvl w:val="2"/>
        <w:numId w:val="33"/>
      </w:numPr>
      <w:spacing w:before="200"/>
      <w:outlineLvl w:val="2"/>
    </w:pPr>
    <w:rPr>
      <w:rFonts w:ascii="Arial" w:eastAsiaTheme="majorEastAsia" w:hAnsi="Arial" w:cs="Arial"/>
      <w:bCs/>
      <w:i/>
      <w:sz w:val="22"/>
      <w:lang w:val="hr-HR"/>
    </w:rPr>
  </w:style>
  <w:style w:type="paragraph" w:styleId="Heading4">
    <w:name w:val="heading 4"/>
    <w:basedOn w:val="Normal"/>
    <w:next w:val="Normal"/>
    <w:link w:val="Heading4Char"/>
    <w:uiPriority w:val="9"/>
    <w:unhideWhenUsed/>
    <w:qFormat/>
    <w:rsid w:val="00B50AB7"/>
    <w:pPr>
      <w:keepNext/>
      <w:keepLines/>
      <w:numPr>
        <w:ilvl w:val="3"/>
        <w:numId w:val="33"/>
      </w:numPr>
      <w:spacing w:before="200"/>
      <w:outlineLvl w:val="3"/>
    </w:pPr>
    <w:rPr>
      <w:rFonts w:ascii="Arial" w:eastAsiaTheme="majorEastAsia" w:hAnsi="Arial" w:cstheme="majorBidi"/>
      <w:b/>
      <w:bCs/>
      <w:i/>
      <w:iCs/>
      <w:sz w:val="20"/>
    </w:rPr>
  </w:style>
  <w:style w:type="paragraph" w:styleId="Heading5">
    <w:name w:val="heading 5"/>
    <w:basedOn w:val="Normal"/>
    <w:next w:val="Normal"/>
    <w:link w:val="Heading5Char"/>
    <w:uiPriority w:val="9"/>
    <w:semiHidden/>
    <w:unhideWhenUsed/>
    <w:qFormat/>
    <w:rsid w:val="007C1A4F"/>
    <w:pPr>
      <w:keepNext/>
      <w:keepLines/>
      <w:numPr>
        <w:ilvl w:val="4"/>
        <w:numId w:val="3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A4F"/>
    <w:pPr>
      <w:keepNext/>
      <w:keepLines/>
      <w:numPr>
        <w:ilvl w:val="5"/>
        <w:numId w:val="3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A4F"/>
    <w:pPr>
      <w:keepNext/>
      <w:keepLines/>
      <w:numPr>
        <w:ilvl w:val="6"/>
        <w:numId w:val="3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A4F"/>
    <w:pPr>
      <w:keepNext/>
      <w:keepLines/>
      <w:numPr>
        <w:ilvl w:val="7"/>
        <w:numId w:val="3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A4F"/>
    <w:pPr>
      <w:keepNext/>
      <w:keepLines/>
      <w:numPr>
        <w:ilvl w:val="8"/>
        <w:numId w:val="3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7520B9"/>
  </w:style>
  <w:style w:type="character" w:customStyle="1" w:styleId="apple-converted-space">
    <w:name w:val="apple-converted-space"/>
    <w:basedOn w:val="DefaultParagraphFont"/>
    <w:rsid w:val="00F82DC5"/>
  </w:style>
  <w:style w:type="paragraph" w:customStyle="1" w:styleId="clanak">
    <w:name w:val="clanak"/>
    <w:basedOn w:val="Normal"/>
    <w:rsid w:val="00A609AA"/>
    <w:pPr>
      <w:spacing w:before="100" w:beforeAutospacing="1" w:after="100" w:afterAutospacing="1"/>
    </w:pPr>
    <w:rPr>
      <w:lang w:val="hr-HR" w:eastAsia="hr-HR"/>
    </w:rPr>
  </w:style>
  <w:style w:type="paragraph" w:customStyle="1" w:styleId="t-98-2">
    <w:name w:val="t-98-2"/>
    <w:basedOn w:val="Normal"/>
    <w:rsid w:val="00A609AA"/>
    <w:pPr>
      <w:spacing w:before="100" w:beforeAutospacing="1" w:after="100" w:afterAutospacing="1"/>
    </w:pPr>
    <w:rPr>
      <w:lang w:val="hr-HR" w:eastAsia="hr-HR"/>
    </w:rPr>
  </w:style>
  <w:style w:type="paragraph" w:styleId="BalloonText">
    <w:name w:val="Balloon Text"/>
    <w:basedOn w:val="Normal"/>
    <w:link w:val="BalloonTextChar"/>
    <w:uiPriority w:val="99"/>
    <w:semiHidden/>
    <w:unhideWhenUsed/>
    <w:rsid w:val="00FE6983"/>
    <w:rPr>
      <w:rFonts w:ascii="Tahoma" w:hAnsi="Tahoma" w:cs="Tahoma"/>
      <w:sz w:val="16"/>
      <w:szCs w:val="16"/>
    </w:rPr>
  </w:style>
  <w:style w:type="character" w:customStyle="1" w:styleId="BalloonTextChar">
    <w:name w:val="Balloon Text Char"/>
    <w:basedOn w:val="DefaultParagraphFont"/>
    <w:link w:val="BalloonText"/>
    <w:uiPriority w:val="99"/>
    <w:semiHidden/>
    <w:rsid w:val="00FE6983"/>
    <w:rPr>
      <w:rFonts w:ascii="Tahoma" w:eastAsia="Times New Roman" w:hAnsi="Tahoma" w:cs="Tahoma"/>
      <w:sz w:val="16"/>
      <w:szCs w:val="16"/>
      <w:lang w:val="en-US"/>
    </w:rPr>
  </w:style>
  <w:style w:type="table" w:styleId="MediumGrid1-Accent1">
    <w:name w:val="Medium Grid 1 Accent 1"/>
    <w:basedOn w:val="TableNormal"/>
    <w:uiPriority w:val="67"/>
    <w:rsid w:val="00D508D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t-10-9-sred">
    <w:name w:val="t-10-9-sred"/>
    <w:basedOn w:val="Normal"/>
    <w:rsid w:val="00523292"/>
    <w:pPr>
      <w:spacing w:before="100" w:beforeAutospacing="1" w:after="100" w:afterAutospacing="1"/>
    </w:pPr>
    <w:rPr>
      <w:lang w:val="hr-HR" w:eastAsia="hr-HR"/>
    </w:rPr>
  </w:style>
  <w:style w:type="paragraph" w:customStyle="1" w:styleId="t-9-8">
    <w:name w:val="t-9-8"/>
    <w:basedOn w:val="Normal"/>
    <w:rsid w:val="00523292"/>
    <w:pPr>
      <w:spacing w:before="100" w:beforeAutospacing="1" w:after="100" w:afterAutospacing="1"/>
    </w:pPr>
    <w:rPr>
      <w:lang w:val="hr-HR" w:eastAsia="hr-HR"/>
    </w:rPr>
  </w:style>
  <w:style w:type="paragraph" w:styleId="FootnoteText">
    <w:name w:val="footnote text"/>
    <w:basedOn w:val="Normal"/>
    <w:link w:val="FootnoteTextChar"/>
    <w:uiPriority w:val="99"/>
    <w:unhideWhenUsed/>
    <w:rsid w:val="00022011"/>
    <w:rPr>
      <w:sz w:val="20"/>
      <w:szCs w:val="20"/>
    </w:rPr>
  </w:style>
  <w:style w:type="character" w:customStyle="1" w:styleId="FootnoteTextChar">
    <w:name w:val="Footnote Text Char"/>
    <w:basedOn w:val="DefaultParagraphFont"/>
    <w:link w:val="FootnoteText"/>
    <w:uiPriority w:val="99"/>
    <w:rsid w:val="00022011"/>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022011"/>
    <w:rPr>
      <w:vertAlign w:val="superscript"/>
    </w:rPr>
  </w:style>
  <w:style w:type="paragraph" w:styleId="ListParagraph">
    <w:name w:val="List Paragraph"/>
    <w:basedOn w:val="Normal"/>
    <w:uiPriority w:val="34"/>
    <w:qFormat/>
    <w:rsid w:val="00907BB6"/>
    <w:pPr>
      <w:ind w:left="720"/>
      <w:contextualSpacing/>
    </w:pPr>
  </w:style>
  <w:style w:type="paragraph" w:customStyle="1" w:styleId="T-98-20">
    <w:name w:val="T-9/8-2"/>
    <w:basedOn w:val="Normal"/>
    <w:rsid w:val="00907BB6"/>
    <w:pPr>
      <w:widowControl w:val="0"/>
      <w:tabs>
        <w:tab w:val="left" w:pos="2153"/>
      </w:tabs>
      <w:adjustRightInd w:val="0"/>
      <w:spacing w:after="43"/>
      <w:ind w:firstLine="342"/>
      <w:jc w:val="both"/>
    </w:pPr>
    <w:rPr>
      <w:rFonts w:ascii="Times-NewRoman" w:hAnsi="Times-NewRoman"/>
      <w:sz w:val="19"/>
      <w:szCs w:val="19"/>
      <w:lang w:val="en-GB"/>
    </w:rPr>
  </w:style>
  <w:style w:type="paragraph" w:styleId="NormalWeb">
    <w:name w:val="Normal (Web)"/>
    <w:basedOn w:val="Normal"/>
    <w:uiPriority w:val="99"/>
    <w:unhideWhenUsed/>
    <w:rsid w:val="00CD48A5"/>
    <w:pPr>
      <w:spacing w:before="100" w:beforeAutospacing="1" w:after="100" w:afterAutospacing="1"/>
    </w:pPr>
    <w:rPr>
      <w:lang w:val="hr-HR" w:eastAsia="hr-HR"/>
    </w:rPr>
  </w:style>
  <w:style w:type="paragraph" w:customStyle="1" w:styleId="Clanak0">
    <w:name w:val="Clanak"/>
    <w:next w:val="T-98-20"/>
    <w:rsid w:val="00462FDB"/>
    <w:pPr>
      <w:widowControl w:val="0"/>
      <w:adjustRightInd w:val="0"/>
      <w:spacing w:before="86" w:after="43" w:line="240" w:lineRule="auto"/>
      <w:jc w:val="center"/>
    </w:pPr>
    <w:rPr>
      <w:rFonts w:ascii="Times-NewRoman" w:eastAsia="Times New Roman" w:hAnsi="Times-NewRoman" w:cs="Times New Roman"/>
      <w:sz w:val="19"/>
      <w:szCs w:val="19"/>
      <w:lang w:val="en-GB"/>
    </w:rPr>
  </w:style>
  <w:style w:type="character" w:styleId="Hyperlink">
    <w:name w:val="Hyperlink"/>
    <w:basedOn w:val="DefaultParagraphFont"/>
    <w:uiPriority w:val="99"/>
    <w:unhideWhenUsed/>
    <w:rsid w:val="004D0313"/>
    <w:rPr>
      <w:color w:val="0000FF"/>
      <w:u w:val="single"/>
    </w:rPr>
  </w:style>
  <w:style w:type="character" w:customStyle="1" w:styleId="Heading2Char">
    <w:name w:val="Heading 2 Char"/>
    <w:basedOn w:val="DefaultParagraphFont"/>
    <w:link w:val="Heading2"/>
    <w:uiPriority w:val="9"/>
    <w:rsid w:val="005A57F5"/>
    <w:rPr>
      <w:rFonts w:ascii="Arial" w:eastAsia="Times New Roman" w:hAnsi="Arial" w:cs="Arial"/>
      <w:b/>
      <w:lang w:val="en-US"/>
    </w:rPr>
  </w:style>
  <w:style w:type="character" w:customStyle="1" w:styleId="xclaimempty">
    <w:name w:val="xclaimempty"/>
    <w:basedOn w:val="DefaultParagraphFont"/>
    <w:rsid w:val="006C3136"/>
  </w:style>
  <w:style w:type="character" w:customStyle="1" w:styleId="xclaimstyle">
    <w:name w:val="xclaimstyle"/>
    <w:basedOn w:val="DefaultParagraphFont"/>
    <w:rsid w:val="006C3136"/>
  </w:style>
  <w:style w:type="character" w:styleId="Strong">
    <w:name w:val="Strong"/>
    <w:basedOn w:val="DefaultParagraphFont"/>
    <w:uiPriority w:val="22"/>
    <w:qFormat/>
    <w:rsid w:val="00977809"/>
    <w:rPr>
      <w:b/>
      <w:bCs/>
    </w:rPr>
  </w:style>
  <w:style w:type="character" w:customStyle="1" w:styleId="Heading1Char">
    <w:name w:val="Heading 1 Char"/>
    <w:basedOn w:val="DefaultParagraphFont"/>
    <w:link w:val="Heading1"/>
    <w:uiPriority w:val="9"/>
    <w:rsid w:val="001C6DB1"/>
    <w:rPr>
      <w:rFonts w:ascii="Arial" w:eastAsiaTheme="majorEastAsia" w:hAnsi="Arial" w:cstheme="majorBidi"/>
      <w:b/>
      <w:bCs/>
      <w:caps/>
      <w:sz w:val="28"/>
      <w:szCs w:val="28"/>
      <w:lang w:val="en-US"/>
    </w:rPr>
  </w:style>
  <w:style w:type="paragraph" w:styleId="Header">
    <w:name w:val="header"/>
    <w:basedOn w:val="Normal"/>
    <w:link w:val="HeaderChar"/>
    <w:uiPriority w:val="99"/>
    <w:unhideWhenUsed/>
    <w:rsid w:val="00CE116A"/>
    <w:pPr>
      <w:tabs>
        <w:tab w:val="center" w:pos="4536"/>
        <w:tab w:val="right" w:pos="9072"/>
      </w:tabs>
    </w:pPr>
  </w:style>
  <w:style w:type="character" w:customStyle="1" w:styleId="HeaderChar">
    <w:name w:val="Header Char"/>
    <w:basedOn w:val="DefaultParagraphFont"/>
    <w:link w:val="Header"/>
    <w:uiPriority w:val="99"/>
    <w:rsid w:val="00CE116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E116A"/>
    <w:pPr>
      <w:tabs>
        <w:tab w:val="center" w:pos="4536"/>
        <w:tab w:val="right" w:pos="9072"/>
      </w:tabs>
    </w:pPr>
  </w:style>
  <w:style w:type="character" w:customStyle="1" w:styleId="FooterChar">
    <w:name w:val="Footer Char"/>
    <w:basedOn w:val="DefaultParagraphFont"/>
    <w:link w:val="Footer"/>
    <w:uiPriority w:val="99"/>
    <w:rsid w:val="00CE116A"/>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6F0840"/>
    <w:rPr>
      <w:i/>
      <w:iCs/>
    </w:rPr>
  </w:style>
  <w:style w:type="table" w:styleId="TableGrid">
    <w:name w:val="Table Grid"/>
    <w:basedOn w:val="TableNormal"/>
    <w:uiPriority w:val="59"/>
    <w:rsid w:val="00715C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9F2B19"/>
    <w:rPr>
      <w:color w:val="800080" w:themeColor="followedHyperlink"/>
      <w:u w:val="single"/>
    </w:rPr>
  </w:style>
  <w:style w:type="table" w:customStyle="1" w:styleId="LightGrid-Accent11">
    <w:name w:val="Light Grid - Accent 11"/>
    <w:basedOn w:val="TableNormal"/>
    <w:uiPriority w:val="62"/>
    <w:rsid w:val="00C2426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LineNumber">
    <w:name w:val="line number"/>
    <w:basedOn w:val="DefaultParagraphFont"/>
    <w:uiPriority w:val="99"/>
    <w:semiHidden/>
    <w:unhideWhenUsed/>
    <w:rsid w:val="00F03FAA"/>
  </w:style>
  <w:style w:type="character" w:customStyle="1" w:styleId="Heading3Char">
    <w:name w:val="Heading 3 Char"/>
    <w:basedOn w:val="DefaultParagraphFont"/>
    <w:link w:val="Heading3"/>
    <w:uiPriority w:val="9"/>
    <w:rsid w:val="001E1A80"/>
    <w:rPr>
      <w:rFonts w:ascii="Arial" w:eastAsiaTheme="majorEastAsia" w:hAnsi="Arial" w:cs="Arial"/>
      <w:bCs/>
      <w:i/>
      <w:szCs w:val="24"/>
    </w:rPr>
  </w:style>
  <w:style w:type="character" w:customStyle="1" w:styleId="Heading4Char">
    <w:name w:val="Heading 4 Char"/>
    <w:basedOn w:val="DefaultParagraphFont"/>
    <w:link w:val="Heading4"/>
    <w:uiPriority w:val="9"/>
    <w:rsid w:val="00B50AB7"/>
    <w:rPr>
      <w:rFonts w:ascii="Arial" w:eastAsiaTheme="majorEastAsia" w:hAnsi="Arial" w:cstheme="majorBidi"/>
      <w:b/>
      <w:bCs/>
      <w:i/>
      <w:iCs/>
      <w:sz w:val="20"/>
      <w:szCs w:val="24"/>
      <w:lang w:val="en-US"/>
    </w:rPr>
  </w:style>
  <w:style w:type="paragraph" w:styleId="Title">
    <w:name w:val="Title"/>
    <w:basedOn w:val="Normal"/>
    <w:next w:val="Normal"/>
    <w:link w:val="TitleChar"/>
    <w:uiPriority w:val="10"/>
    <w:qFormat/>
    <w:rsid w:val="00A6371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6371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073C18"/>
    <w:pPr>
      <w:numPr>
        <w:numId w:val="27"/>
      </w:numPr>
    </w:pPr>
    <w:rPr>
      <w:rFonts w:ascii="Arial" w:eastAsiaTheme="majorEastAsia" w:hAnsi="Arial" w:cstheme="majorBidi"/>
      <w:iCs/>
      <w:caps/>
      <w:color w:val="000000" w:themeColor="text1"/>
      <w:spacing w:val="15"/>
      <w:sz w:val="28"/>
    </w:rPr>
  </w:style>
  <w:style w:type="character" w:customStyle="1" w:styleId="SubtitleChar">
    <w:name w:val="Subtitle Char"/>
    <w:basedOn w:val="DefaultParagraphFont"/>
    <w:link w:val="Subtitle"/>
    <w:uiPriority w:val="11"/>
    <w:rsid w:val="00073C18"/>
    <w:rPr>
      <w:rFonts w:ascii="Arial" w:eastAsiaTheme="majorEastAsia" w:hAnsi="Arial" w:cstheme="majorBidi"/>
      <w:iCs/>
      <w:caps/>
      <w:color w:val="000000" w:themeColor="text1"/>
      <w:spacing w:val="15"/>
      <w:sz w:val="28"/>
      <w:szCs w:val="24"/>
      <w:lang w:val="en-US"/>
    </w:rPr>
  </w:style>
  <w:style w:type="character" w:styleId="SubtleEmphasis">
    <w:name w:val="Subtle Emphasis"/>
    <w:basedOn w:val="DefaultParagraphFont"/>
    <w:uiPriority w:val="19"/>
    <w:qFormat/>
    <w:rsid w:val="00A6371A"/>
    <w:rPr>
      <w:iCs/>
      <w:color w:val="0D0D0D" w:themeColor="text1" w:themeTint="F2"/>
    </w:rPr>
  </w:style>
  <w:style w:type="numbering" w:customStyle="1" w:styleId="ida1">
    <w:name w:val="ida1"/>
    <w:uiPriority w:val="99"/>
    <w:rsid w:val="00073C18"/>
    <w:pPr>
      <w:numPr>
        <w:numId w:val="28"/>
      </w:numPr>
    </w:pPr>
  </w:style>
  <w:style w:type="numbering" w:customStyle="1" w:styleId="Style1">
    <w:name w:val="Style1"/>
    <w:uiPriority w:val="99"/>
    <w:rsid w:val="00073C18"/>
    <w:pPr>
      <w:numPr>
        <w:numId w:val="29"/>
      </w:numPr>
    </w:pPr>
  </w:style>
  <w:style w:type="numbering" w:customStyle="1" w:styleId="Style2">
    <w:name w:val="Style2"/>
    <w:uiPriority w:val="99"/>
    <w:rsid w:val="00073C18"/>
    <w:pPr>
      <w:numPr>
        <w:numId w:val="30"/>
      </w:numPr>
    </w:pPr>
  </w:style>
  <w:style w:type="numbering" w:customStyle="1" w:styleId="Style3">
    <w:name w:val="Style3"/>
    <w:uiPriority w:val="99"/>
    <w:rsid w:val="00073C18"/>
    <w:pPr>
      <w:numPr>
        <w:numId w:val="31"/>
      </w:numPr>
    </w:pPr>
  </w:style>
  <w:style w:type="numbering" w:customStyle="1" w:styleId="Style4">
    <w:name w:val="Style4"/>
    <w:uiPriority w:val="99"/>
    <w:rsid w:val="00073C18"/>
    <w:pPr>
      <w:numPr>
        <w:numId w:val="32"/>
      </w:numPr>
    </w:pPr>
  </w:style>
  <w:style w:type="paragraph" w:styleId="TOCHeading">
    <w:name w:val="TOC Heading"/>
    <w:basedOn w:val="Heading1"/>
    <w:next w:val="Normal"/>
    <w:uiPriority w:val="39"/>
    <w:semiHidden/>
    <w:unhideWhenUsed/>
    <w:qFormat/>
    <w:rsid w:val="00023627"/>
    <w:pPr>
      <w:numPr>
        <w:numId w:val="0"/>
      </w:numPr>
      <w:spacing w:before="480" w:line="276" w:lineRule="auto"/>
      <w:outlineLvl w:val="9"/>
    </w:pPr>
    <w:rPr>
      <w:rFonts w:asciiTheme="majorHAnsi" w:hAnsiTheme="majorHAnsi"/>
      <w:caps w:val="0"/>
      <w:color w:val="365F91" w:themeColor="accent1" w:themeShade="BF"/>
    </w:rPr>
  </w:style>
  <w:style w:type="paragraph" w:styleId="TOC1">
    <w:name w:val="toc 1"/>
    <w:basedOn w:val="Normal"/>
    <w:next w:val="Normal"/>
    <w:autoRedefine/>
    <w:uiPriority w:val="39"/>
    <w:unhideWhenUsed/>
    <w:rsid w:val="00023627"/>
    <w:pPr>
      <w:spacing w:after="100"/>
    </w:pPr>
  </w:style>
  <w:style w:type="paragraph" w:styleId="TOC2">
    <w:name w:val="toc 2"/>
    <w:basedOn w:val="Normal"/>
    <w:next w:val="Normal"/>
    <w:autoRedefine/>
    <w:uiPriority w:val="39"/>
    <w:unhideWhenUsed/>
    <w:rsid w:val="00023627"/>
    <w:pPr>
      <w:spacing w:after="100"/>
      <w:ind w:left="240"/>
    </w:pPr>
  </w:style>
  <w:style w:type="paragraph" w:styleId="TOC3">
    <w:name w:val="toc 3"/>
    <w:basedOn w:val="Normal"/>
    <w:next w:val="Normal"/>
    <w:autoRedefine/>
    <w:uiPriority w:val="39"/>
    <w:unhideWhenUsed/>
    <w:rsid w:val="00023627"/>
    <w:pPr>
      <w:spacing w:after="100"/>
      <w:ind w:left="480"/>
    </w:pPr>
  </w:style>
  <w:style w:type="character" w:customStyle="1" w:styleId="Heading5Char">
    <w:name w:val="Heading 5 Char"/>
    <w:basedOn w:val="DefaultParagraphFont"/>
    <w:link w:val="Heading5"/>
    <w:uiPriority w:val="9"/>
    <w:semiHidden/>
    <w:rsid w:val="007C1A4F"/>
    <w:rPr>
      <w:rFonts w:asciiTheme="majorHAnsi" w:eastAsiaTheme="majorEastAsia" w:hAnsiTheme="majorHAnsi" w:cstheme="majorBidi"/>
      <w:color w:val="243F60" w:themeColor="accent1" w:themeShade="7F"/>
      <w:sz w:val="24"/>
      <w:szCs w:val="24"/>
      <w:lang w:val="en-US"/>
    </w:rPr>
  </w:style>
  <w:style w:type="character" w:customStyle="1" w:styleId="Heading6Char">
    <w:name w:val="Heading 6 Char"/>
    <w:basedOn w:val="DefaultParagraphFont"/>
    <w:link w:val="Heading6"/>
    <w:uiPriority w:val="9"/>
    <w:semiHidden/>
    <w:rsid w:val="007C1A4F"/>
    <w:rPr>
      <w:rFonts w:asciiTheme="majorHAnsi" w:eastAsiaTheme="majorEastAsia" w:hAnsiTheme="majorHAnsi" w:cstheme="majorBidi"/>
      <w:i/>
      <w:iCs/>
      <w:color w:val="243F60" w:themeColor="accent1" w:themeShade="7F"/>
      <w:sz w:val="24"/>
      <w:szCs w:val="24"/>
      <w:lang w:val="en-US"/>
    </w:rPr>
  </w:style>
  <w:style w:type="character" w:customStyle="1" w:styleId="Heading7Char">
    <w:name w:val="Heading 7 Char"/>
    <w:basedOn w:val="DefaultParagraphFont"/>
    <w:link w:val="Heading7"/>
    <w:uiPriority w:val="9"/>
    <w:semiHidden/>
    <w:rsid w:val="007C1A4F"/>
    <w:rPr>
      <w:rFonts w:asciiTheme="majorHAnsi" w:eastAsiaTheme="majorEastAsia" w:hAnsiTheme="majorHAnsi" w:cstheme="majorBidi"/>
      <w:i/>
      <w:iCs/>
      <w:color w:val="404040" w:themeColor="text1" w:themeTint="BF"/>
      <w:sz w:val="24"/>
      <w:szCs w:val="24"/>
      <w:lang w:val="en-US"/>
    </w:rPr>
  </w:style>
  <w:style w:type="character" w:customStyle="1" w:styleId="Heading8Char">
    <w:name w:val="Heading 8 Char"/>
    <w:basedOn w:val="DefaultParagraphFont"/>
    <w:link w:val="Heading8"/>
    <w:uiPriority w:val="9"/>
    <w:semiHidden/>
    <w:rsid w:val="007C1A4F"/>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7C1A4F"/>
    <w:rPr>
      <w:rFonts w:asciiTheme="majorHAnsi" w:eastAsiaTheme="majorEastAsia" w:hAnsiTheme="majorHAnsi" w:cstheme="majorBidi"/>
      <w:i/>
      <w:iCs/>
      <w:color w:val="404040" w:themeColor="text1" w:themeTint="BF"/>
      <w:sz w:val="20"/>
      <w:szCs w:val="20"/>
      <w:lang w:val="en-US"/>
    </w:rPr>
  </w:style>
  <w:style w:type="character" w:styleId="CommentReference">
    <w:name w:val="annotation reference"/>
    <w:basedOn w:val="DefaultParagraphFont"/>
    <w:uiPriority w:val="99"/>
    <w:semiHidden/>
    <w:unhideWhenUsed/>
    <w:rsid w:val="00365D47"/>
    <w:rPr>
      <w:sz w:val="16"/>
      <w:szCs w:val="16"/>
    </w:rPr>
  </w:style>
  <w:style w:type="paragraph" w:styleId="CommentText">
    <w:name w:val="annotation text"/>
    <w:basedOn w:val="Normal"/>
    <w:link w:val="CommentTextChar"/>
    <w:uiPriority w:val="99"/>
    <w:unhideWhenUsed/>
    <w:rsid w:val="00365D47"/>
    <w:rPr>
      <w:sz w:val="20"/>
      <w:szCs w:val="20"/>
    </w:rPr>
  </w:style>
  <w:style w:type="character" w:customStyle="1" w:styleId="CommentTextChar">
    <w:name w:val="Comment Text Char"/>
    <w:basedOn w:val="DefaultParagraphFont"/>
    <w:link w:val="CommentText"/>
    <w:uiPriority w:val="99"/>
    <w:rsid w:val="00365D4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65D47"/>
    <w:rPr>
      <w:b/>
      <w:bCs/>
    </w:rPr>
  </w:style>
  <w:style w:type="character" w:customStyle="1" w:styleId="CommentSubjectChar">
    <w:name w:val="Comment Subject Char"/>
    <w:basedOn w:val="CommentTextChar"/>
    <w:link w:val="CommentSubject"/>
    <w:uiPriority w:val="99"/>
    <w:semiHidden/>
    <w:rsid w:val="00365D47"/>
    <w:rPr>
      <w:rFonts w:ascii="Times New Roman" w:eastAsia="Times New Roman" w:hAnsi="Times New Roman" w:cs="Times New Roman"/>
      <w:b/>
      <w:bCs/>
      <w:sz w:val="20"/>
      <w:szCs w:val="20"/>
      <w:lang w:val="en-US"/>
    </w:rPr>
  </w:style>
  <w:style w:type="table" w:styleId="LightShading-Accent2">
    <w:name w:val="Light Shading Accent 2"/>
    <w:basedOn w:val="TableNormal"/>
    <w:uiPriority w:val="60"/>
    <w:rsid w:val="002932E7"/>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11">
    <w:name w:val="Light Shading - Accent 11"/>
    <w:basedOn w:val="TableNormal"/>
    <w:uiPriority w:val="60"/>
    <w:rsid w:val="002932E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5">
    <w:name w:val="Light Grid Accent 5"/>
    <w:basedOn w:val="TableNormal"/>
    <w:uiPriority w:val="62"/>
    <w:rsid w:val="002932E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clanak-">
    <w:name w:val="clanak-"/>
    <w:basedOn w:val="Normal"/>
    <w:rsid w:val="001C707F"/>
    <w:pPr>
      <w:spacing w:before="100" w:beforeAutospacing="1" w:after="100" w:afterAutospacing="1"/>
      <w:jc w:val="center"/>
    </w:pPr>
    <w:rPr>
      <w:lang w:val="hr-HR" w:eastAsia="hr-HR"/>
    </w:rPr>
  </w:style>
</w:styles>
</file>

<file path=word/webSettings.xml><?xml version="1.0" encoding="utf-8"?>
<w:webSettings xmlns:r="http://schemas.openxmlformats.org/officeDocument/2006/relationships" xmlns:w="http://schemas.openxmlformats.org/wordprocessingml/2006/main">
  <w:divs>
    <w:div w:id="67578800">
      <w:bodyDiv w:val="1"/>
      <w:marLeft w:val="0"/>
      <w:marRight w:val="0"/>
      <w:marTop w:val="0"/>
      <w:marBottom w:val="0"/>
      <w:divBdr>
        <w:top w:val="none" w:sz="0" w:space="0" w:color="auto"/>
        <w:left w:val="none" w:sz="0" w:space="0" w:color="auto"/>
        <w:bottom w:val="none" w:sz="0" w:space="0" w:color="auto"/>
        <w:right w:val="none" w:sz="0" w:space="0" w:color="auto"/>
      </w:divBdr>
    </w:div>
    <w:div w:id="100951395">
      <w:bodyDiv w:val="1"/>
      <w:marLeft w:val="0"/>
      <w:marRight w:val="0"/>
      <w:marTop w:val="0"/>
      <w:marBottom w:val="0"/>
      <w:divBdr>
        <w:top w:val="none" w:sz="0" w:space="0" w:color="auto"/>
        <w:left w:val="none" w:sz="0" w:space="0" w:color="auto"/>
        <w:bottom w:val="none" w:sz="0" w:space="0" w:color="auto"/>
        <w:right w:val="none" w:sz="0" w:space="0" w:color="auto"/>
      </w:divBdr>
    </w:div>
    <w:div w:id="133375604">
      <w:bodyDiv w:val="1"/>
      <w:marLeft w:val="0"/>
      <w:marRight w:val="0"/>
      <w:marTop w:val="0"/>
      <w:marBottom w:val="0"/>
      <w:divBdr>
        <w:top w:val="none" w:sz="0" w:space="0" w:color="auto"/>
        <w:left w:val="none" w:sz="0" w:space="0" w:color="auto"/>
        <w:bottom w:val="none" w:sz="0" w:space="0" w:color="auto"/>
        <w:right w:val="none" w:sz="0" w:space="0" w:color="auto"/>
      </w:divBdr>
    </w:div>
    <w:div w:id="135031385">
      <w:bodyDiv w:val="1"/>
      <w:marLeft w:val="0"/>
      <w:marRight w:val="0"/>
      <w:marTop w:val="0"/>
      <w:marBottom w:val="0"/>
      <w:divBdr>
        <w:top w:val="none" w:sz="0" w:space="0" w:color="auto"/>
        <w:left w:val="none" w:sz="0" w:space="0" w:color="auto"/>
        <w:bottom w:val="none" w:sz="0" w:space="0" w:color="auto"/>
        <w:right w:val="none" w:sz="0" w:space="0" w:color="auto"/>
      </w:divBdr>
    </w:div>
    <w:div w:id="136918277">
      <w:bodyDiv w:val="1"/>
      <w:marLeft w:val="0"/>
      <w:marRight w:val="0"/>
      <w:marTop w:val="0"/>
      <w:marBottom w:val="0"/>
      <w:divBdr>
        <w:top w:val="none" w:sz="0" w:space="0" w:color="auto"/>
        <w:left w:val="none" w:sz="0" w:space="0" w:color="auto"/>
        <w:bottom w:val="none" w:sz="0" w:space="0" w:color="auto"/>
        <w:right w:val="none" w:sz="0" w:space="0" w:color="auto"/>
      </w:divBdr>
    </w:div>
    <w:div w:id="149637401">
      <w:bodyDiv w:val="1"/>
      <w:marLeft w:val="0"/>
      <w:marRight w:val="0"/>
      <w:marTop w:val="0"/>
      <w:marBottom w:val="0"/>
      <w:divBdr>
        <w:top w:val="none" w:sz="0" w:space="0" w:color="auto"/>
        <w:left w:val="none" w:sz="0" w:space="0" w:color="auto"/>
        <w:bottom w:val="none" w:sz="0" w:space="0" w:color="auto"/>
        <w:right w:val="none" w:sz="0" w:space="0" w:color="auto"/>
      </w:divBdr>
    </w:div>
    <w:div w:id="229268422">
      <w:bodyDiv w:val="1"/>
      <w:marLeft w:val="0"/>
      <w:marRight w:val="0"/>
      <w:marTop w:val="0"/>
      <w:marBottom w:val="0"/>
      <w:divBdr>
        <w:top w:val="none" w:sz="0" w:space="0" w:color="auto"/>
        <w:left w:val="none" w:sz="0" w:space="0" w:color="auto"/>
        <w:bottom w:val="none" w:sz="0" w:space="0" w:color="auto"/>
        <w:right w:val="none" w:sz="0" w:space="0" w:color="auto"/>
      </w:divBdr>
    </w:div>
    <w:div w:id="258879906">
      <w:bodyDiv w:val="1"/>
      <w:marLeft w:val="0"/>
      <w:marRight w:val="0"/>
      <w:marTop w:val="0"/>
      <w:marBottom w:val="0"/>
      <w:divBdr>
        <w:top w:val="none" w:sz="0" w:space="0" w:color="auto"/>
        <w:left w:val="none" w:sz="0" w:space="0" w:color="auto"/>
        <w:bottom w:val="none" w:sz="0" w:space="0" w:color="auto"/>
        <w:right w:val="none" w:sz="0" w:space="0" w:color="auto"/>
      </w:divBdr>
    </w:div>
    <w:div w:id="261426084">
      <w:bodyDiv w:val="1"/>
      <w:marLeft w:val="0"/>
      <w:marRight w:val="0"/>
      <w:marTop w:val="0"/>
      <w:marBottom w:val="0"/>
      <w:divBdr>
        <w:top w:val="none" w:sz="0" w:space="0" w:color="auto"/>
        <w:left w:val="none" w:sz="0" w:space="0" w:color="auto"/>
        <w:bottom w:val="none" w:sz="0" w:space="0" w:color="auto"/>
        <w:right w:val="none" w:sz="0" w:space="0" w:color="auto"/>
      </w:divBdr>
    </w:div>
    <w:div w:id="264844876">
      <w:bodyDiv w:val="1"/>
      <w:marLeft w:val="0"/>
      <w:marRight w:val="0"/>
      <w:marTop w:val="0"/>
      <w:marBottom w:val="0"/>
      <w:divBdr>
        <w:top w:val="none" w:sz="0" w:space="0" w:color="auto"/>
        <w:left w:val="none" w:sz="0" w:space="0" w:color="auto"/>
        <w:bottom w:val="none" w:sz="0" w:space="0" w:color="auto"/>
        <w:right w:val="none" w:sz="0" w:space="0" w:color="auto"/>
      </w:divBdr>
    </w:div>
    <w:div w:id="317685311">
      <w:bodyDiv w:val="1"/>
      <w:marLeft w:val="0"/>
      <w:marRight w:val="0"/>
      <w:marTop w:val="0"/>
      <w:marBottom w:val="0"/>
      <w:divBdr>
        <w:top w:val="none" w:sz="0" w:space="0" w:color="auto"/>
        <w:left w:val="none" w:sz="0" w:space="0" w:color="auto"/>
        <w:bottom w:val="none" w:sz="0" w:space="0" w:color="auto"/>
        <w:right w:val="none" w:sz="0" w:space="0" w:color="auto"/>
      </w:divBdr>
      <w:divsChild>
        <w:div w:id="1932155824">
          <w:marLeft w:val="0"/>
          <w:marRight w:val="0"/>
          <w:marTop w:val="0"/>
          <w:marBottom w:val="0"/>
          <w:divBdr>
            <w:top w:val="none" w:sz="0" w:space="0" w:color="auto"/>
            <w:left w:val="none" w:sz="0" w:space="0" w:color="auto"/>
            <w:bottom w:val="none" w:sz="0" w:space="0" w:color="auto"/>
            <w:right w:val="none" w:sz="0" w:space="0" w:color="auto"/>
          </w:divBdr>
          <w:divsChild>
            <w:div w:id="79117459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09816281">
      <w:bodyDiv w:val="1"/>
      <w:marLeft w:val="0"/>
      <w:marRight w:val="0"/>
      <w:marTop w:val="0"/>
      <w:marBottom w:val="0"/>
      <w:divBdr>
        <w:top w:val="none" w:sz="0" w:space="0" w:color="auto"/>
        <w:left w:val="none" w:sz="0" w:space="0" w:color="auto"/>
        <w:bottom w:val="none" w:sz="0" w:space="0" w:color="auto"/>
        <w:right w:val="none" w:sz="0" w:space="0" w:color="auto"/>
      </w:divBdr>
    </w:div>
    <w:div w:id="423381344">
      <w:bodyDiv w:val="1"/>
      <w:marLeft w:val="0"/>
      <w:marRight w:val="0"/>
      <w:marTop w:val="0"/>
      <w:marBottom w:val="0"/>
      <w:divBdr>
        <w:top w:val="none" w:sz="0" w:space="0" w:color="auto"/>
        <w:left w:val="none" w:sz="0" w:space="0" w:color="auto"/>
        <w:bottom w:val="none" w:sz="0" w:space="0" w:color="auto"/>
        <w:right w:val="none" w:sz="0" w:space="0" w:color="auto"/>
      </w:divBdr>
    </w:div>
    <w:div w:id="440106846">
      <w:bodyDiv w:val="1"/>
      <w:marLeft w:val="0"/>
      <w:marRight w:val="0"/>
      <w:marTop w:val="0"/>
      <w:marBottom w:val="0"/>
      <w:divBdr>
        <w:top w:val="none" w:sz="0" w:space="0" w:color="auto"/>
        <w:left w:val="none" w:sz="0" w:space="0" w:color="auto"/>
        <w:bottom w:val="none" w:sz="0" w:space="0" w:color="auto"/>
        <w:right w:val="none" w:sz="0" w:space="0" w:color="auto"/>
      </w:divBdr>
    </w:div>
    <w:div w:id="519971728">
      <w:bodyDiv w:val="1"/>
      <w:marLeft w:val="0"/>
      <w:marRight w:val="0"/>
      <w:marTop w:val="0"/>
      <w:marBottom w:val="0"/>
      <w:divBdr>
        <w:top w:val="none" w:sz="0" w:space="0" w:color="auto"/>
        <w:left w:val="none" w:sz="0" w:space="0" w:color="auto"/>
        <w:bottom w:val="none" w:sz="0" w:space="0" w:color="auto"/>
        <w:right w:val="none" w:sz="0" w:space="0" w:color="auto"/>
      </w:divBdr>
    </w:div>
    <w:div w:id="522288185">
      <w:bodyDiv w:val="1"/>
      <w:marLeft w:val="0"/>
      <w:marRight w:val="0"/>
      <w:marTop w:val="0"/>
      <w:marBottom w:val="0"/>
      <w:divBdr>
        <w:top w:val="none" w:sz="0" w:space="0" w:color="auto"/>
        <w:left w:val="none" w:sz="0" w:space="0" w:color="auto"/>
        <w:bottom w:val="none" w:sz="0" w:space="0" w:color="auto"/>
        <w:right w:val="none" w:sz="0" w:space="0" w:color="auto"/>
      </w:divBdr>
    </w:div>
    <w:div w:id="528833287">
      <w:bodyDiv w:val="1"/>
      <w:marLeft w:val="0"/>
      <w:marRight w:val="0"/>
      <w:marTop w:val="0"/>
      <w:marBottom w:val="0"/>
      <w:divBdr>
        <w:top w:val="none" w:sz="0" w:space="0" w:color="auto"/>
        <w:left w:val="none" w:sz="0" w:space="0" w:color="auto"/>
        <w:bottom w:val="none" w:sz="0" w:space="0" w:color="auto"/>
        <w:right w:val="none" w:sz="0" w:space="0" w:color="auto"/>
      </w:divBdr>
    </w:div>
    <w:div w:id="591741581">
      <w:bodyDiv w:val="1"/>
      <w:marLeft w:val="0"/>
      <w:marRight w:val="0"/>
      <w:marTop w:val="0"/>
      <w:marBottom w:val="0"/>
      <w:divBdr>
        <w:top w:val="none" w:sz="0" w:space="0" w:color="auto"/>
        <w:left w:val="none" w:sz="0" w:space="0" w:color="auto"/>
        <w:bottom w:val="none" w:sz="0" w:space="0" w:color="auto"/>
        <w:right w:val="none" w:sz="0" w:space="0" w:color="auto"/>
      </w:divBdr>
    </w:div>
    <w:div w:id="609898344">
      <w:bodyDiv w:val="1"/>
      <w:marLeft w:val="0"/>
      <w:marRight w:val="0"/>
      <w:marTop w:val="0"/>
      <w:marBottom w:val="0"/>
      <w:divBdr>
        <w:top w:val="none" w:sz="0" w:space="0" w:color="auto"/>
        <w:left w:val="none" w:sz="0" w:space="0" w:color="auto"/>
        <w:bottom w:val="none" w:sz="0" w:space="0" w:color="auto"/>
        <w:right w:val="none" w:sz="0" w:space="0" w:color="auto"/>
      </w:divBdr>
    </w:div>
    <w:div w:id="639849613">
      <w:bodyDiv w:val="1"/>
      <w:marLeft w:val="0"/>
      <w:marRight w:val="0"/>
      <w:marTop w:val="0"/>
      <w:marBottom w:val="0"/>
      <w:divBdr>
        <w:top w:val="none" w:sz="0" w:space="0" w:color="auto"/>
        <w:left w:val="none" w:sz="0" w:space="0" w:color="auto"/>
        <w:bottom w:val="none" w:sz="0" w:space="0" w:color="auto"/>
        <w:right w:val="none" w:sz="0" w:space="0" w:color="auto"/>
      </w:divBdr>
    </w:div>
    <w:div w:id="673723962">
      <w:bodyDiv w:val="1"/>
      <w:marLeft w:val="0"/>
      <w:marRight w:val="0"/>
      <w:marTop w:val="0"/>
      <w:marBottom w:val="0"/>
      <w:divBdr>
        <w:top w:val="none" w:sz="0" w:space="0" w:color="auto"/>
        <w:left w:val="none" w:sz="0" w:space="0" w:color="auto"/>
        <w:bottom w:val="none" w:sz="0" w:space="0" w:color="auto"/>
        <w:right w:val="none" w:sz="0" w:space="0" w:color="auto"/>
      </w:divBdr>
    </w:div>
    <w:div w:id="762652040">
      <w:bodyDiv w:val="1"/>
      <w:marLeft w:val="0"/>
      <w:marRight w:val="0"/>
      <w:marTop w:val="0"/>
      <w:marBottom w:val="0"/>
      <w:divBdr>
        <w:top w:val="none" w:sz="0" w:space="0" w:color="auto"/>
        <w:left w:val="none" w:sz="0" w:space="0" w:color="auto"/>
        <w:bottom w:val="none" w:sz="0" w:space="0" w:color="auto"/>
        <w:right w:val="none" w:sz="0" w:space="0" w:color="auto"/>
      </w:divBdr>
    </w:div>
    <w:div w:id="867110099">
      <w:bodyDiv w:val="1"/>
      <w:marLeft w:val="0"/>
      <w:marRight w:val="0"/>
      <w:marTop w:val="0"/>
      <w:marBottom w:val="0"/>
      <w:divBdr>
        <w:top w:val="none" w:sz="0" w:space="0" w:color="auto"/>
        <w:left w:val="none" w:sz="0" w:space="0" w:color="auto"/>
        <w:bottom w:val="none" w:sz="0" w:space="0" w:color="auto"/>
        <w:right w:val="none" w:sz="0" w:space="0" w:color="auto"/>
      </w:divBdr>
    </w:div>
    <w:div w:id="884830691">
      <w:bodyDiv w:val="1"/>
      <w:marLeft w:val="0"/>
      <w:marRight w:val="0"/>
      <w:marTop w:val="0"/>
      <w:marBottom w:val="0"/>
      <w:divBdr>
        <w:top w:val="none" w:sz="0" w:space="0" w:color="auto"/>
        <w:left w:val="none" w:sz="0" w:space="0" w:color="auto"/>
        <w:bottom w:val="none" w:sz="0" w:space="0" w:color="auto"/>
        <w:right w:val="none" w:sz="0" w:space="0" w:color="auto"/>
      </w:divBdr>
    </w:div>
    <w:div w:id="891621301">
      <w:bodyDiv w:val="1"/>
      <w:marLeft w:val="0"/>
      <w:marRight w:val="0"/>
      <w:marTop w:val="0"/>
      <w:marBottom w:val="0"/>
      <w:divBdr>
        <w:top w:val="none" w:sz="0" w:space="0" w:color="auto"/>
        <w:left w:val="none" w:sz="0" w:space="0" w:color="auto"/>
        <w:bottom w:val="none" w:sz="0" w:space="0" w:color="auto"/>
        <w:right w:val="none" w:sz="0" w:space="0" w:color="auto"/>
      </w:divBdr>
    </w:div>
    <w:div w:id="921984689">
      <w:bodyDiv w:val="1"/>
      <w:marLeft w:val="0"/>
      <w:marRight w:val="0"/>
      <w:marTop w:val="0"/>
      <w:marBottom w:val="0"/>
      <w:divBdr>
        <w:top w:val="none" w:sz="0" w:space="0" w:color="auto"/>
        <w:left w:val="none" w:sz="0" w:space="0" w:color="auto"/>
        <w:bottom w:val="none" w:sz="0" w:space="0" w:color="auto"/>
        <w:right w:val="none" w:sz="0" w:space="0" w:color="auto"/>
      </w:divBdr>
    </w:div>
    <w:div w:id="961158313">
      <w:bodyDiv w:val="1"/>
      <w:marLeft w:val="0"/>
      <w:marRight w:val="0"/>
      <w:marTop w:val="0"/>
      <w:marBottom w:val="0"/>
      <w:divBdr>
        <w:top w:val="none" w:sz="0" w:space="0" w:color="auto"/>
        <w:left w:val="none" w:sz="0" w:space="0" w:color="auto"/>
        <w:bottom w:val="none" w:sz="0" w:space="0" w:color="auto"/>
        <w:right w:val="none" w:sz="0" w:space="0" w:color="auto"/>
      </w:divBdr>
    </w:div>
    <w:div w:id="962462982">
      <w:bodyDiv w:val="1"/>
      <w:marLeft w:val="0"/>
      <w:marRight w:val="0"/>
      <w:marTop w:val="0"/>
      <w:marBottom w:val="0"/>
      <w:divBdr>
        <w:top w:val="none" w:sz="0" w:space="0" w:color="auto"/>
        <w:left w:val="none" w:sz="0" w:space="0" w:color="auto"/>
        <w:bottom w:val="none" w:sz="0" w:space="0" w:color="auto"/>
        <w:right w:val="none" w:sz="0" w:space="0" w:color="auto"/>
      </w:divBdr>
    </w:div>
    <w:div w:id="976227110">
      <w:bodyDiv w:val="1"/>
      <w:marLeft w:val="0"/>
      <w:marRight w:val="0"/>
      <w:marTop w:val="0"/>
      <w:marBottom w:val="0"/>
      <w:divBdr>
        <w:top w:val="none" w:sz="0" w:space="0" w:color="auto"/>
        <w:left w:val="none" w:sz="0" w:space="0" w:color="auto"/>
        <w:bottom w:val="none" w:sz="0" w:space="0" w:color="auto"/>
        <w:right w:val="none" w:sz="0" w:space="0" w:color="auto"/>
      </w:divBdr>
    </w:div>
    <w:div w:id="1019510089">
      <w:bodyDiv w:val="1"/>
      <w:marLeft w:val="0"/>
      <w:marRight w:val="0"/>
      <w:marTop w:val="0"/>
      <w:marBottom w:val="0"/>
      <w:divBdr>
        <w:top w:val="none" w:sz="0" w:space="0" w:color="auto"/>
        <w:left w:val="none" w:sz="0" w:space="0" w:color="auto"/>
        <w:bottom w:val="none" w:sz="0" w:space="0" w:color="auto"/>
        <w:right w:val="none" w:sz="0" w:space="0" w:color="auto"/>
      </w:divBdr>
    </w:div>
    <w:div w:id="1044329207">
      <w:bodyDiv w:val="1"/>
      <w:marLeft w:val="0"/>
      <w:marRight w:val="0"/>
      <w:marTop w:val="0"/>
      <w:marBottom w:val="0"/>
      <w:divBdr>
        <w:top w:val="none" w:sz="0" w:space="0" w:color="auto"/>
        <w:left w:val="none" w:sz="0" w:space="0" w:color="auto"/>
        <w:bottom w:val="none" w:sz="0" w:space="0" w:color="auto"/>
        <w:right w:val="none" w:sz="0" w:space="0" w:color="auto"/>
      </w:divBdr>
    </w:div>
    <w:div w:id="1049493575">
      <w:bodyDiv w:val="1"/>
      <w:marLeft w:val="0"/>
      <w:marRight w:val="0"/>
      <w:marTop w:val="0"/>
      <w:marBottom w:val="0"/>
      <w:divBdr>
        <w:top w:val="none" w:sz="0" w:space="0" w:color="auto"/>
        <w:left w:val="none" w:sz="0" w:space="0" w:color="auto"/>
        <w:bottom w:val="none" w:sz="0" w:space="0" w:color="auto"/>
        <w:right w:val="none" w:sz="0" w:space="0" w:color="auto"/>
      </w:divBdr>
    </w:div>
    <w:div w:id="1122697766">
      <w:bodyDiv w:val="1"/>
      <w:marLeft w:val="0"/>
      <w:marRight w:val="0"/>
      <w:marTop w:val="0"/>
      <w:marBottom w:val="0"/>
      <w:divBdr>
        <w:top w:val="none" w:sz="0" w:space="0" w:color="auto"/>
        <w:left w:val="none" w:sz="0" w:space="0" w:color="auto"/>
        <w:bottom w:val="none" w:sz="0" w:space="0" w:color="auto"/>
        <w:right w:val="none" w:sz="0" w:space="0" w:color="auto"/>
      </w:divBdr>
    </w:div>
    <w:div w:id="1194533760">
      <w:bodyDiv w:val="1"/>
      <w:marLeft w:val="0"/>
      <w:marRight w:val="0"/>
      <w:marTop w:val="0"/>
      <w:marBottom w:val="0"/>
      <w:divBdr>
        <w:top w:val="none" w:sz="0" w:space="0" w:color="auto"/>
        <w:left w:val="none" w:sz="0" w:space="0" w:color="auto"/>
        <w:bottom w:val="none" w:sz="0" w:space="0" w:color="auto"/>
        <w:right w:val="none" w:sz="0" w:space="0" w:color="auto"/>
      </w:divBdr>
      <w:divsChild>
        <w:div w:id="239406827">
          <w:marLeft w:val="60"/>
          <w:marRight w:val="0"/>
          <w:marTop w:val="15"/>
          <w:marBottom w:val="0"/>
          <w:divBdr>
            <w:top w:val="none" w:sz="0" w:space="0" w:color="auto"/>
            <w:left w:val="none" w:sz="0" w:space="0" w:color="auto"/>
            <w:bottom w:val="none" w:sz="0" w:space="0" w:color="auto"/>
            <w:right w:val="none" w:sz="0" w:space="0" w:color="auto"/>
          </w:divBdr>
        </w:div>
      </w:divsChild>
    </w:div>
    <w:div w:id="1259947913">
      <w:bodyDiv w:val="1"/>
      <w:marLeft w:val="0"/>
      <w:marRight w:val="0"/>
      <w:marTop w:val="0"/>
      <w:marBottom w:val="0"/>
      <w:divBdr>
        <w:top w:val="none" w:sz="0" w:space="0" w:color="auto"/>
        <w:left w:val="none" w:sz="0" w:space="0" w:color="auto"/>
        <w:bottom w:val="none" w:sz="0" w:space="0" w:color="auto"/>
        <w:right w:val="none" w:sz="0" w:space="0" w:color="auto"/>
      </w:divBdr>
    </w:div>
    <w:div w:id="1318995498">
      <w:bodyDiv w:val="1"/>
      <w:marLeft w:val="0"/>
      <w:marRight w:val="0"/>
      <w:marTop w:val="0"/>
      <w:marBottom w:val="0"/>
      <w:divBdr>
        <w:top w:val="none" w:sz="0" w:space="0" w:color="auto"/>
        <w:left w:val="none" w:sz="0" w:space="0" w:color="auto"/>
        <w:bottom w:val="none" w:sz="0" w:space="0" w:color="auto"/>
        <w:right w:val="none" w:sz="0" w:space="0" w:color="auto"/>
      </w:divBdr>
    </w:div>
    <w:div w:id="1326862780">
      <w:bodyDiv w:val="1"/>
      <w:marLeft w:val="0"/>
      <w:marRight w:val="0"/>
      <w:marTop w:val="0"/>
      <w:marBottom w:val="0"/>
      <w:divBdr>
        <w:top w:val="none" w:sz="0" w:space="0" w:color="auto"/>
        <w:left w:val="none" w:sz="0" w:space="0" w:color="auto"/>
        <w:bottom w:val="none" w:sz="0" w:space="0" w:color="auto"/>
        <w:right w:val="none" w:sz="0" w:space="0" w:color="auto"/>
      </w:divBdr>
    </w:div>
    <w:div w:id="1342778522">
      <w:bodyDiv w:val="1"/>
      <w:marLeft w:val="0"/>
      <w:marRight w:val="0"/>
      <w:marTop w:val="0"/>
      <w:marBottom w:val="0"/>
      <w:divBdr>
        <w:top w:val="none" w:sz="0" w:space="0" w:color="auto"/>
        <w:left w:val="none" w:sz="0" w:space="0" w:color="auto"/>
        <w:bottom w:val="none" w:sz="0" w:space="0" w:color="auto"/>
        <w:right w:val="none" w:sz="0" w:space="0" w:color="auto"/>
      </w:divBdr>
    </w:div>
    <w:div w:id="1540120389">
      <w:bodyDiv w:val="1"/>
      <w:marLeft w:val="0"/>
      <w:marRight w:val="0"/>
      <w:marTop w:val="0"/>
      <w:marBottom w:val="0"/>
      <w:divBdr>
        <w:top w:val="none" w:sz="0" w:space="0" w:color="auto"/>
        <w:left w:val="none" w:sz="0" w:space="0" w:color="auto"/>
        <w:bottom w:val="none" w:sz="0" w:space="0" w:color="auto"/>
        <w:right w:val="none" w:sz="0" w:space="0" w:color="auto"/>
      </w:divBdr>
    </w:div>
    <w:div w:id="1542935524">
      <w:bodyDiv w:val="1"/>
      <w:marLeft w:val="0"/>
      <w:marRight w:val="0"/>
      <w:marTop w:val="0"/>
      <w:marBottom w:val="0"/>
      <w:divBdr>
        <w:top w:val="none" w:sz="0" w:space="0" w:color="auto"/>
        <w:left w:val="none" w:sz="0" w:space="0" w:color="auto"/>
        <w:bottom w:val="none" w:sz="0" w:space="0" w:color="auto"/>
        <w:right w:val="none" w:sz="0" w:space="0" w:color="auto"/>
      </w:divBdr>
    </w:div>
    <w:div w:id="1545364448">
      <w:bodyDiv w:val="1"/>
      <w:marLeft w:val="0"/>
      <w:marRight w:val="0"/>
      <w:marTop w:val="0"/>
      <w:marBottom w:val="0"/>
      <w:divBdr>
        <w:top w:val="none" w:sz="0" w:space="0" w:color="auto"/>
        <w:left w:val="none" w:sz="0" w:space="0" w:color="auto"/>
        <w:bottom w:val="none" w:sz="0" w:space="0" w:color="auto"/>
        <w:right w:val="none" w:sz="0" w:space="0" w:color="auto"/>
      </w:divBdr>
    </w:div>
    <w:div w:id="1577475264">
      <w:bodyDiv w:val="1"/>
      <w:marLeft w:val="0"/>
      <w:marRight w:val="0"/>
      <w:marTop w:val="0"/>
      <w:marBottom w:val="0"/>
      <w:divBdr>
        <w:top w:val="none" w:sz="0" w:space="0" w:color="auto"/>
        <w:left w:val="none" w:sz="0" w:space="0" w:color="auto"/>
        <w:bottom w:val="none" w:sz="0" w:space="0" w:color="auto"/>
        <w:right w:val="none" w:sz="0" w:space="0" w:color="auto"/>
      </w:divBdr>
    </w:div>
    <w:div w:id="1667854638">
      <w:bodyDiv w:val="1"/>
      <w:marLeft w:val="0"/>
      <w:marRight w:val="0"/>
      <w:marTop w:val="0"/>
      <w:marBottom w:val="0"/>
      <w:divBdr>
        <w:top w:val="none" w:sz="0" w:space="0" w:color="auto"/>
        <w:left w:val="none" w:sz="0" w:space="0" w:color="auto"/>
        <w:bottom w:val="none" w:sz="0" w:space="0" w:color="auto"/>
        <w:right w:val="none" w:sz="0" w:space="0" w:color="auto"/>
      </w:divBdr>
    </w:div>
    <w:div w:id="1683169049">
      <w:bodyDiv w:val="1"/>
      <w:marLeft w:val="0"/>
      <w:marRight w:val="0"/>
      <w:marTop w:val="0"/>
      <w:marBottom w:val="0"/>
      <w:divBdr>
        <w:top w:val="none" w:sz="0" w:space="0" w:color="auto"/>
        <w:left w:val="none" w:sz="0" w:space="0" w:color="auto"/>
        <w:bottom w:val="none" w:sz="0" w:space="0" w:color="auto"/>
        <w:right w:val="none" w:sz="0" w:space="0" w:color="auto"/>
      </w:divBdr>
      <w:divsChild>
        <w:div w:id="246236056">
          <w:marLeft w:val="0"/>
          <w:marRight w:val="0"/>
          <w:marTop w:val="0"/>
          <w:marBottom w:val="0"/>
          <w:divBdr>
            <w:top w:val="none" w:sz="0" w:space="0" w:color="auto"/>
            <w:left w:val="none" w:sz="0" w:space="0" w:color="auto"/>
            <w:bottom w:val="none" w:sz="0" w:space="0" w:color="auto"/>
            <w:right w:val="none" w:sz="0" w:space="0" w:color="auto"/>
          </w:divBdr>
        </w:div>
        <w:div w:id="334573984">
          <w:marLeft w:val="0"/>
          <w:marRight w:val="0"/>
          <w:marTop w:val="0"/>
          <w:marBottom w:val="0"/>
          <w:divBdr>
            <w:top w:val="none" w:sz="0" w:space="0" w:color="auto"/>
            <w:left w:val="none" w:sz="0" w:space="0" w:color="auto"/>
            <w:bottom w:val="none" w:sz="0" w:space="0" w:color="auto"/>
            <w:right w:val="none" w:sz="0" w:space="0" w:color="auto"/>
          </w:divBdr>
          <w:divsChild>
            <w:div w:id="845248707">
              <w:marLeft w:val="0"/>
              <w:marRight w:val="0"/>
              <w:marTop w:val="0"/>
              <w:marBottom w:val="0"/>
              <w:divBdr>
                <w:top w:val="none" w:sz="0" w:space="0" w:color="auto"/>
                <w:left w:val="none" w:sz="0" w:space="0" w:color="auto"/>
                <w:bottom w:val="none" w:sz="0" w:space="0" w:color="auto"/>
                <w:right w:val="none" w:sz="0" w:space="0" w:color="auto"/>
              </w:divBdr>
            </w:div>
            <w:div w:id="1135950489">
              <w:marLeft w:val="0"/>
              <w:marRight w:val="0"/>
              <w:marTop w:val="0"/>
              <w:marBottom w:val="0"/>
              <w:divBdr>
                <w:top w:val="none" w:sz="0" w:space="0" w:color="auto"/>
                <w:left w:val="none" w:sz="0" w:space="0" w:color="auto"/>
                <w:bottom w:val="none" w:sz="0" w:space="0" w:color="auto"/>
                <w:right w:val="none" w:sz="0" w:space="0" w:color="auto"/>
              </w:divBdr>
            </w:div>
            <w:div w:id="1802723683">
              <w:marLeft w:val="0"/>
              <w:marRight w:val="0"/>
              <w:marTop w:val="0"/>
              <w:marBottom w:val="0"/>
              <w:divBdr>
                <w:top w:val="none" w:sz="0" w:space="0" w:color="auto"/>
                <w:left w:val="none" w:sz="0" w:space="0" w:color="auto"/>
                <w:bottom w:val="none" w:sz="0" w:space="0" w:color="auto"/>
                <w:right w:val="none" w:sz="0" w:space="0" w:color="auto"/>
              </w:divBdr>
            </w:div>
          </w:divsChild>
        </w:div>
        <w:div w:id="349644822">
          <w:marLeft w:val="0"/>
          <w:marRight w:val="0"/>
          <w:marTop w:val="0"/>
          <w:marBottom w:val="0"/>
          <w:divBdr>
            <w:top w:val="none" w:sz="0" w:space="0" w:color="auto"/>
            <w:left w:val="none" w:sz="0" w:space="0" w:color="auto"/>
            <w:bottom w:val="none" w:sz="0" w:space="0" w:color="auto"/>
            <w:right w:val="none" w:sz="0" w:space="0" w:color="auto"/>
          </w:divBdr>
        </w:div>
        <w:div w:id="1123499112">
          <w:marLeft w:val="0"/>
          <w:marRight w:val="0"/>
          <w:marTop w:val="0"/>
          <w:marBottom w:val="0"/>
          <w:divBdr>
            <w:top w:val="none" w:sz="0" w:space="0" w:color="auto"/>
            <w:left w:val="none" w:sz="0" w:space="0" w:color="auto"/>
            <w:bottom w:val="none" w:sz="0" w:space="0" w:color="auto"/>
            <w:right w:val="none" w:sz="0" w:space="0" w:color="auto"/>
          </w:divBdr>
          <w:divsChild>
            <w:div w:id="298415988">
              <w:marLeft w:val="0"/>
              <w:marRight w:val="0"/>
              <w:marTop w:val="0"/>
              <w:marBottom w:val="0"/>
              <w:divBdr>
                <w:top w:val="none" w:sz="0" w:space="0" w:color="auto"/>
                <w:left w:val="none" w:sz="0" w:space="0" w:color="auto"/>
                <w:bottom w:val="none" w:sz="0" w:space="0" w:color="auto"/>
                <w:right w:val="none" w:sz="0" w:space="0" w:color="auto"/>
              </w:divBdr>
            </w:div>
            <w:div w:id="1584218194">
              <w:marLeft w:val="0"/>
              <w:marRight w:val="0"/>
              <w:marTop w:val="0"/>
              <w:marBottom w:val="0"/>
              <w:divBdr>
                <w:top w:val="none" w:sz="0" w:space="0" w:color="auto"/>
                <w:left w:val="none" w:sz="0" w:space="0" w:color="auto"/>
                <w:bottom w:val="none" w:sz="0" w:space="0" w:color="auto"/>
                <w:right w:val="none" w:sz="0" w:space="0" w:color="auto"/>
              </w:divBdr>
            </w:div>
          </w:divsChild>
        </w:div>
        <w:div w:id="1381903779">
          <w:marLeft w:val="0"/>
          <w:marRight w:val="0"/>
          <w:marTop w:val="0"/>
          <w:marBottom w:val="0"/>
          <w:divBdr>
            <w:top w:val="none" w:sz="0" w:space="0" w:color="auto"/>
            <w:left w:val="none" w:sz="0" w:space="0" w:color="auto"/>
            <w:bottom w:val="none" w:sz="0" w:space="0" w:color="auto"/>
            <w:right w:val="none" w:sz="0" w:space="0" w:color="auto"/>
          </w:divBdr>
          <w:divsChild>
            <w:div w:id="1247377752">
              <w:marLeft w:val="0"/>
              <w:marRight w:val="0"/>
              <w:marTop w:val="0"/>
              <w:marBottom w:val="0"/>
              <w:divBdr>
                <w:top w:val="none" w:sz="0" w:space="0" w:color="auto"/>
                <w:left w:val="none" w:sz="0" w:space="0" w:color="auto"/>
                <w:bottom w:val="none" w:sz="0" w:space="0" w:color="auto"/>
                <w:right w:val="none" w:sz="0" w:space="0" w:color="auto"/>
              </w:divBdr>
            </w:div>
          </w:divsChild>
        </w:div>
        <w:div w:id="1442414121">
          <w:marLeft w:val="0"/>
          <w:marRight w:val="0"/>
          <w:marTop w:val="0"/>
          <w:marBottom w:val="0"/>
          <w:divBdr>
            <w:top w:val="none" w:sz="0" w:space="0" w:color="auto"/>
            <w:left w:val="none" w:sz="0" w:space="0" w:color="auto"/>
            <w:bottom w:val="none" w:sz="0" w:space="0" w:color="auto"/>
            <w:right w:val="none" w:sz="0" w:space="0" w:color="auto"/>
          </w:divBdr>
        </w:div>
        <w:div w:id="1464812805">
          <w:marLeft w:val="0"/>
          <w:marRight w:val="0"/>
          <w:marTop w:val="0"/>
          <w:marBottom w:val="0"/>
          <w:divBdr>
            <w:top w:val="none" w:sz="0" w:space="0" w:color="auto"/>
            <w:left w:val="none" w:sz="0" w:space="0" w:color="auto"/>
            <w:bottom w:val="none" w:sz="0" w:space="0" w:color="auto"/>
            <w:right w:val="none" w:sz="0" w:space="0" w:color="auto"/>
          </w:divBdr>
        </w:div>
        <w:div w:id="1800564746">
          <w:marLeft w:val="0"/>
          <w:marRight w:val="0"/>
          <w:marTop w:val="0"/>
          <w:marBottom w:val="0"/>
          <w:divBdr>
            <w:top w:val="none" w:sz="0" w:space="0" w:color="auto"/>
            <w:left w:val="none" w:sz="0" w:space="0" w:color="auto"/>
            <w:bottom w:val="none" w:sz="0" w:space="0" w:color="auto"/>
            <w:right w:val="none" w:sz="0" w:space="0" w:color="auto"/>
          </w:divBdr>
        </w:div>
        <w:div w:id="1831747624">
          <w:marLeft w:val="0"/>
          <w:marRight w:val="0"/>
          <w:marTop w:val="0"/>
          <w:marBottom w:val="0"/>
          <w:divBdr>
            <w:top w:val="none" w:sz="0" w:space="0" w:color="auto"/>
            <w:left w:val="none" w:sz="0" w:space="0" w:color="auto"/>
            <w:bottom w:val="none" w:sz="0" w:space="0" w:color="auto"/>
            <w:right w:val="none" w:sz="0" w:space="0" w:color="auto"/>
          </w:divBdr>
          <w:divsChild>
            <w:div w:id="1450708989">
              <w:marLeft w:val="0"/>
              <w:marRight w:val="0"/>
              <w:marTop w:val="0"/>
              <w:marBottom w:val="0"/>
              <w:divBdr>
                <w:top w:val="none" w:sz="0" w:space="0" w:color="auto"/>
                <w:left w:val="none" w:sz="0" w:space="0" w:color="auto"/>
                <w:bottom w:val="none" w:sz="0" w:space="0" w:color="auto"/>
                <w:right w:val="none" w:sz="0" w:space="0" w:color="auto"/>
              </w:divBdr>
            </w:div>
          </w:divsChild>
        </w:div>
        <w:div w:id="1876428022">
          <w:marLeft w:val="0"/>
          <w:marRight w:val="0"/>
          <w:marTop w:val="0"/>
          <w:marBottom w:val="0"/>
          <w:divBdr>
            <w:top w:val="none" w:sz="0" w:space="0" w:color="auto"/>
            <w:left w:val="none" w:sz="0" w:space="0" w:color="auto"/>
            <w:bottom w:val="none" w:sz="0" w:space="0" w:color="auto"/>
            <w:right w:val="none" w:sz="0" w:space="0" w:color="auto"/>
          </w:divBdr>
        </w:div>
        <w:div w:id="1881630366">
          <w:marLeft w:val="0"/>
          <w:marRight w:val="0"/>
          <w:marTop w:val="0"/>
          <w:marBottom w:val="0"/>
          <w:divBdr>
            <w:top w:val="none" w:sz="0" w:space="0" w:color="auto"/>
            <w:left w:val="none" w:sz="0" w:space="0" w:color="auto"/>
            <w:bottom w:val="none" w:sz="0" w:space="0" w:color="auto"/>
            <w:right w:val="none" w:sz="0" w:space="0" w:color="auto"/>
          </w:divBdr>
          <w:divsChild>
            <w:div w:id="167140207">
              <w:marLeft w:val="0"/>
              <w:marRight w:val="0"/>
              <w:marTop w:val="0"/>
              <w:marBottom w:val="0"/>
              <w:divBdr>
                <w:top w:val="none" w:sz="0" w:space="0" w:color="auto"/>
                <w:left w:val="none" w:sz="0" w:space="0" w:color="auto"/>
                <w:bottom w:val="none" w:sz="0" w:space="0" w:color="auto"/>
                <w:right w:val="none" w:sz="0" w:space="0" w:color="auto"/>
              </w:divBdr>
            </w:div>
            <w:div w:id="394545699">
              <w:marLeft w:val="0"/>
              <w:marRight w:val="0"/>
              <w:marTop w:val="0"/>
              <w:marBottom w:val="0"/>
              <w:divBdr>
                <w:top w:val="none" w:sz="0" w:space="0" w:color="auto"/>
                <w:left w:val="none" w:sz="0" w:space="0" w:color="auto"/>
                <w:bottom w:val="none" w:sz="0" w:space="0" w:color="auto"/>
                <w:right w:val="none" w:sz="0" w:space="0" w:color="auto"/>
              </w:divBdr>
            </w:div>
            <w:div w:id="525291144">
              <w:marLeft w:val="0"/>
              <w:marRight w:val="0"/>
              <w:marTop w:val="0"/>
              <w:marBottom w:val="0"/>
              <w:divBdr>
                <w:top w:val="none" w:sz="0" w:space="0" w:color="auto"/>
                <w:left w:val="none" w:sz="0" w:space="0" w:color="auto"/>
                <w:bottom w:val="none" w:sz="0" w:space="0" w:color="auto"/>
                <w:right w:val="none" w:sz="0" w:space="0" w:color="auto"/>
              </w:divBdr>
            </w:div>
            <w:div w:id="741563652">
              <w:marLeft w:val="0"/>
              <w:marRight w:val="0"/>
              <w:marTop w:val="0"/>
              <w:marBottom w:val="0"/>
              <w:divBdr>
                <w:top w:val="none" w:sz="0" w:space="0" w:color="auto"/>
                <w:left w:val="none" w:sz="0" w:space="0" w:color="auto"/>
                <w:bottom w:val="none" w:sz="0" w:space="0" w:color="auto"/>
                <w:right w:val="none" w:sz="0" w:space="0" w:color="auto"/>
              </w:divBdr>
            </w:div>
            <w:div w:id="793644622">
              <w:marLeft w:val="0"/>
              <w:marRight w:val="0"/>
              <w:marTop w:val="0"/>
              <w:marBottom w:val="0"/>
              <w:divBdr>
                <w:top w:val="none" w:sz="0" w:space="0" w:color="auto"/>
                <w:left w:val="none" w:sz="0" w:space="0" w:color="auto"/>
                <w:bottom w:val="none" w:sz="0" w:space="0" w:color="auto"/>
                <w:right w:val="none" w:sz="0" w:space="0" w:color="auto"/>
              </w:divBdr>
            </w:div>
            <w:div w:id="1241675445">
              <w:marLeft w:val="0"/>
              <w:marRight w:val="0"/>
              <w:marTop w:val="0"/>
              <w:marBottom w:val="0"/>
              <w:divBdr>
                <w:top w:val="none" w:sz="0" w:space="0" w:color="auto"/>
                <w:left w:val="none" w:sz="0" w:space="0" w:color="auto"/>
                <w:bottom w:val="none" w:sz="0" w:space="0" w:color="auto"/>
                <w:right w:val="none" w:sz="0" w:space="0" w:color="auto"/>
              </w:divBdr>
            </w:div>
            <w:div w:id="1412778112">
              <w:marLeft w:val="0"/>
              <w:marRight w:val="0"/>
              <w:marTop w:val="0"/>
              <w:marBottom w:val="0"/>
              <w:divBdr>
                <w:top w:val="none" w:sz="0" w:space="0" w:color="auto"/>
                <w:left w:val="none" w:sz="0" w:space="0" w:color="auto"/>
                <w:bottom w:val="none" w:sz="0" w:space="0" w:color="auto"/>
                <w:right w:val="none" w:sz="0" w:space="0" w:color="auto"/>
              </w:divBdr>
            </w:div>
            <w:div w:id="1482387214">
              <w:marLeft w:val="0"/>
              <w:marRight w:val="0"/>
              <w:marTop w:val="0"/>
              <w:marBottom w:val="0"/>
              <w:divBdr>
                <w:top w:val="none" w:sz="0" w:space="0" w:color="auto"/>
                <w:left w:val="none" w:sz="0" w:space="0" w:color="auto"/>
                <w:bottom w:val="none" w:sz="0" w:space="0" w:color="auto"/>
                <w:right w:val="none" w:sz="0" w:space="0" w:color="auto"/>
              </w:divBdr>
            </w:div>
            <w:div w:id="14971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18633">
      <w:bodyDiv w:val="1"/>
      <w:marLeft w:val="0"/>
      <w:marRight w:val="0"/>
      <w:marTop w:val="0"/>
      <w:marBottom w:val="0"/>
      <w:divBdr>
        <w:top w:val="none" w:sz="0" w:space="0" w:color="auto"/>
        <w:left w:val="none" w:sz="0" w:space="0" w:color="auto"/>
        <w:bottom w:val="none" w:sz="0" w:space="0" w:color="auto"/>
        <w:right w:val="none" w:sz="0" w:space="0" w:color="auto"/>
      </w:divBdr>
    </w:div>
    <w:div w:id="1894194195">
      <w:bodyDiv w:val="1"/>
      <w:marLeft w:val="0"/>
      <w:marRight w:val="0"/>
      <w:marTop w:val="0"/>
      <w:marBottom w:val="0"/>
      <w:divBdr>
        <w:top w:val="none" w:sz="0" w:space="0" w:color="auto"/>
        <w:left w:val="none" w:sz="0" w:space="0" w:color="auto"/>
        <w:bottom w:val="none" w:sz="0" w:space="0" w:color="auto"/>
        <w:right w:val="none" w:sz="0" w:space="0" w:color="auto"/>
      </w:divBdr>
    </w:div>
    <w:div w:id="1948610238">
      <w:bodyDiv w:val="1"/>
      <w:marLeft w:val="0"/>
      <w:marRight w:val="0"/>
      <w:marTop w:val="0"/>
      <w:marBottom w:val="0"/>
      <w:divBdr>
        <w:top w:val="none" w:sz="0" w:space="0" w:color="auto"/>
        <w:left w:val="none" w:sz="0" w:space="0" w:color="auto"/>
        <w:bottom w:val="none" w:sz="0" w:space="0" w:color="auto"/>
        <w:right w:val="none" w:sz="0" w:space="0" w:color="auto"/>
      </w:divBdr>
    </w:div>
    <w:div w:id="1995840683">
      <w:bodyDiv w:val="1"/>
      <w:marLeft w:val="0"/>
      <w:marRight w:val="0"/>
      <w:marTop w:val="0"/>
      <w:marBottom w:val="0"/>
      <w:divBdr>
        <w:top w:val="none" w:sz="0" w:space="0" w:color="auto"/>
        <w:left w:val="none" w:sz="0" w:space="0" w:color="auto"/>
        <w:bottom w:val="none" w:sz="0" w:space="0" w:color="auto"/>
        <w:right w:val="none" w:sz="0" w:space="0" w:color="auto"/>
      </w:divBdr>
    </w:div>
    <w:div w:id="2079403161">
      <w:bodyDiv w:val="1"/>
      <w:marLeft w:val="0"/>
      <w:marRight w:val="0"/>
      <w:marTop w:val="0"/>
      <w:marBottom w:val="0"/>
      <w:divBdr>
        <w:top w:val="none" w:sz="0" w:space="0" w:color="auto"/>
        <w:left w:val="none" w:sz="0" w:space="0" w:color="auto"/>
        <w:bottom w:val="none" w:sz="0" w:space="0" w:color="auto"/>
        <w:right w:val="none" w:sz="0" w:space="0" w:color="auto"/>
      </w:divBdr>
    </w:div>
    <w:div w:id="2086678652">
      <w:bodyDiv w:val="1"/>
      <w:marLeft w:val="0"/>
      <w:marRight w:val="0"/>
      <w:marTop w:val="0"/>
      <w:marBottom w:val="0"/>
      <w:divBdr>
        <w:top w:val="none" w:sz="0" w:space="0" w:color="auto"/>
        <w:left w:val="none" w:sz="0" w:space="0" w:color="auto"/>
        <w:bottom w:val="none" w:sz="0" w:space="0" w:color="auto"/>
        <w:right w:val="none" w:sz="0" w:space="0" w:color="auto"/>
      </w:divBdr>
    </w:div>
    <w:div w:id="2124883966">
      <w:bodyDiv w:val="1"/>
      <w:marLeft w:val="0"/>
      <w:marRight w:val="0"/>
      <w:marTop w:val="0"/>
      <w:marBottom w:val="0"/>
      <w:divBdr>
        <w:top w:val="none" w:sz="0" w:space="0" w:color="auto"/>
        <w:left w:val="none" w:sz="0" w:space="0" w:color="auto"/>
        <w:bottom w:val="none" w:sz="0" w:space="0" w:color="auto"/>
        <w:right w:val="none" w:sz="0" w:space="0" w:color="auto"/>
      </w:divBdr>
    </w:div>
    <w:div w:id="212522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styles" Target="styles.xml"/><Relationship Id="rId39" Type="http://schemas.openxmlformats.org/officeDocument/2006/relationships/hyperlink" Target="http://www.zakon.hr/cms.htm?id=247" TargetMode="External"/><Relationship Id="rId21" Type="http://schemas.openxmlformats.org/officeDocument/2006/relationships/customXml" Target="../customXml/item21.xml"/><Relationship Id="rId34" Type="http://schemas.openxmlformats.org/officeDocument/2006/relationships/hyperlink" Target="http://www.zakon.hr/cms.htm?id=490" TargetMode="External"/><Relationship Id="rId42" Type="http://schemas.openxmlformats.org/officeDocument/2006/relationships/hyperlink" Target="http://www.zakon.hr/cms.htm?id=250" TargetMode="External"/><Relationship Id="rId47" Type="http://schemas.openxmlformats.org/officeDocument/2006/relationships/hyperlink" Target="http://www.zakon.hr/cms.htm?id=457" TargetMode="External"/><Relationship Id="rId50" Type="http://schemas.openxmlformats.org/officeDocument/2006/relationships/hyperlink" Target="http://www.zakon.hr/cms.htm?id=98" TargetMode="External"/><Relationship Id="rId55" Type="http://schemas.openxmlformats.org/officeDocument/2006/relationships/hyperlink" Target="http://www.article19.org/resources.php/resource/3611/en/united-kingdom:-ruling-on-google%E2%80%99s-liability-is-bad-news-for-free-speech-online"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notes" Target="footnotes.xml"/><Relationship Id="rId41" Type="http://schemas.openxmlformats.org/officeDocument/2006/relationships/hyperlink" Target="http://www.zakon.hr/cms.htm?id=249" TargetMode="External"/><Relationship Id="rId54" Type="http://schemas.openxmlformats.org/officeDocument/2006/relationships/hyperlink" Target="http://www.laquadrature.net/en/civil-society-calls-on-the-echrs-grand-chamber-to-overturn-delfi-v-estonia-ruling" TargetMode="External"/><Relationship Id="rId62"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er" Target="footer1.xml"/><Relationship Id="rId37" Type="http://schemas.openxmlformats.org/officeDocument/2006/relationships/hyperlink" Target="http://www.zakon.hr/cms.htm?id=542" TargetMode="External"/><Relationship Id="rId40" Type="http://schemas.openxmlformats.org/officeDocument/2006/relationships/hyperlink" Target="http://www.zakon.hr/cms.htm?id=248" TargetMode="External"/><Relationship Id="rId45" Type="http://schemas.openxmlformats.org/officeDocument/2006/relationships/hyperlink" Target="http://www.zakon.hr/cms.htm?id=567" TargetMode="External"/><Relationship Id="rId53" Type="http://schemas.openxmlformats.org/officeDocument/2006/relationships/hyperlink" Target="http://www.article19.org/resources.php/resource/37287/en/european-court-strikes-serious-blow-to-free-speech-online" TargetMode="External"/><Relationship Id="rId58" Type="http://schemas.openxmlformats.org/officeDocument/2006/relationships/hyperlink" Target="http://www.vsrh.hr/CustomPages/Static/HRV/Files/VSRH_Kzz-34-09-2.pdf"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webSettings" Target="webSettings.xml"/><Relationship Id="rId36" Type="http://schemas.openxmlformats.org/officeDocument/2006/relationships/hyperlink" Target="http://www.zakon.hr/cms.htm?id=492" TargetMode="External"/><Relationship Id="rId49" Type="http://schemas.openxmlformats.org/officeDocument/2006/relationships/hyperlink" Target="http://www.zakon.hr/cms.htm?id=97" TargetMode="External"/><Relationship Id="rId57" Type="http://schemas.openxmlformats.org/officeDocument/2006/relationships/hyperlink" Target="http://pollitika.com/vrhovni-sud-srusio-trecu-presudu" TargetMode="External"/><Relationship Id="rId61"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eader" Target="header1.xml"/><Relationship Id="rId44" Type="http://schemas.openxmlformats.org/officeDocument/2006/relationships/hyperlink" Target="http://www.zakon.hr/cms.htm?id=364" TargetMode="External"/><Relationship Id="rId52" Type="http://schemas.openxmlformats.org/officeDocument/2006/relationships/hyperlink" Target="http://www.echr.coe.int/Documents/FS_Hate_speech_ENG.pdf"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ettings" Target="settings.xml"/><Relationship Id="rId30" Type="http://schemas.openxmlformats.org/officeDocument/2006/relationships/endnotes" Target="endnotes.xml"/><Relationship Id="rId35" Type="http://schemas.openxmlformats.org/officeDocument/2006/relationships/hyperlink" Target="http://www.zakon.hr/cms.htm?id=491" TargetMode="External"/><Relationship Id="rId43" Type="http://schemas.openxmlformats.org/officeDocument/2006/relationships/hyperlink" Target="http://www.zakon.hr/cms.htm?id=251" TargetMode="External"/><Relationship Id="rId48" Type="http://schemas.openxmlformats.org/officeDocument/2006/relationships/hyperlink" Target="http://www.zakon.hr/cms.htm?id=96" TargetMode="External"/><Relationship Id="rId56" Type="http://schemas.openxmlformats.org/officeDocument/2006/relationships/hyperlink" Target="http://www.nacional.hr/clanak/65058/prvi-bloger-u-hrvatskom-zatvoru" TargetMode="External"/><Relationship Id="rId8" Type="http://schemas.openxmlformats.org/officeDocument/2006/relationships/customXml" Target="../customXml/item8.xml"/><Relationship Id="rId51" Type="http://schemas.openxmlformats.org/officeDocument/2006/relationships/hyperlink" Target="http://www.dorh.hr/PodnijetPrijedlogZa"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numbering" Target="numbering.xml"/><Relationship Id="rId33" Type="http://schemas.openxmlformats.org/officeDocument/2006/relationships/footer" Target="footer2.xml"/><Relationship Id="rId38" Type="http://schemas.openxmlformats.org/officeDocument/2006/relationships/hyperlink" Target="http://www.zakon.hr/cms.htm?id=246" TargetMode="External"/><Relationship Id="rId46" Type="http://schemas.openxmlformats.org/officeDocument/2006/relationships/hyperlink" Target="http://www.zakon.hr/cms.htm?id=456" TargetMode="External"/><Relationship Id="rId59"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www.zakon.hr/cms.htm?id=492" TargetMode="External"/><Relationship Id="rId13" Type="http://schemas.openxmlformats.org/officeDocument/2006/relationships/hyperlink" Target="http://www.nacional.hr/clanak/65058/prvi-bloger-u-hrvatskom-zatvoru" TargetMode="External"/><Relationship Id="rId18" Type="http://schemas.openxmlformats.org/officeDocument/2006/relationships/hyperlink" Target="http://www.zakon.hr/cms.htm?id=247" TargetMode="External"/><Relationship Id="rId3" Type="http://schemas.openxmlformats.org/officeDocument/2006/relationships/hyperlink" Target="http://www.echr.coe.int/Documents/FS_Hate_speech_ENG.pdf" TargetMode="External"/><Relationship Id="rId21" Type="http://schemas.openxmlformats.org/officeDocument/2006/relationships/hyperlink" Target="http://www.zakon.hr/cms.htm?id=250" TargetMode="External"/><Relationship Id="rId7" Type="http://schemas.openxmlformats.org/officeDocument/2006/relationships/hyperlink" Target="http://www.zakon.hr/cms.htm?id=491" TargetMode="External"/><Relationship Id="rId12" Type="http://schemas.openxmlformats.org/officeDocument/2006/relationships/hyperlink" Target="http://www.article19.org/resources.php/resource/3611/en/united-kingdom:-ruling-on-google%E2%80%99s-liability-is-bad-news-for-free-speech-online" TargetMode="External"/><Relationship Id="rId17" Type="http://schemas.openxmlformats.org/officeDocument/2006/relationships/hyperlink" Target="http://www.zakon.hr/cms.htm?id=246" TargetMode="External"/><Relationship Id="rId2" Type="http://schemas.openxmlformats.org/officeDocument/2006/relationships/hyperlink" Target="http://www.coe.int/t/dghl/standardsetting/hrpolicy/Publications/Hate_Speech_EN.pdf" TargetMode="External"/><Relationship Id="rId16" Type="http://schemas.openxmlformats.org/officeDocument/2006/relationships/hyperlink" Target="http://www.vsrh.hr/CustomPages/Static/HRV/Files/VSRH_Kzz-34-09-2.pdf" TargetMode="External"/><Relationship Id="rId20" Type="http://schemas.openxmlformats.org/officeDocument/2006/relationships/hyperlink" Target="http://www.zakon.hr/cms.htm?id=249" TargetMode="External"/><Relationship Id="rId1" Type="http://schemas.openxmlformats.org/officeDocument/2006/relationships/hyperlink" Target="http://www.pravo.unizg.hr/_download/repository/Kregar_Pravo_javnosti_je_reci.doc" TargetMode="External"/><Relationship Id="rId6" Type="http://schemas.openxmlformats.org/officeDocument/2006/relationships/hyperlink" Target="http://www.zakon.hr/cms.htm?id=490" TargetMode="External"/><Relationship Id="rId11" Type="http://schemas.openxmlformats.org/officeDocument/2006/relationships/hyperlink" Target="http://www.laquadrature.net/en/civil-society-calls-on-the-echrs-grand-chamber-to-overturn-delfi-v-estonia-ruling" TargetMode="External"/><Relationship Id="rId24" Type="http://schemas.openxmlformats.org/officeDocument/2006/relationships/hyperlink" Target="http://www.zakon.hr/cms.htm?id=567" TargetMode="External"/><Relationship Id="rId5" Type="http://schemas.openxmlformats.org/officeDocument/2006/relationships/hyperlink" Target="http://www.zakon.hr/cms.htm?id=457" TargetMode="External"/><Relationship Id="rId15" Type="http://schemas.openxmlformats.org/officeDocument/2006/relationships/hyperlink" Target="http://www.dorh.hr/PodnijetPrijedlogZa" TargetMode="External"/><Relationship Id="rId23" Type="http://schemas.openxmlformats.org/officeDocument/2006/relationships/hyperlink" Target="http://www.zakon.hr/cms.htm?id=364" TargetMode="External"/><Relationship Id="rId10" Type="http://schemas.openxmlformats.org/officeDocument/2006/relationships/hyperlink" Target="http://www.article19.org/resources.php/resource/37287/en/european-court-strikes-serious-blow-to-free-speech-online" TargetMode="External"/><Relationship Id="rId19" Type="http://schemas.openxmlformats.org/officeDocument/2006/relationships/hyperlink" Target="http://www.zakon.hr/cms.htm?id=248" TargetMode="External"/><Relationship Id="rId4" Type="http://schemas.openxmlformats.org/officeDocument/2006/relationships/hyperlink" Target="http://www.zakon.hr/cms.htm?id=456" TargetMode="External"/><Relationship Id="rId9" Type="http://schemas.openxmlformats.org/officeDocument/2006/relationships/hyperlink" Target="http://www.zakon.hr/cms.htm?id=542" TargetMode="External"/><Relationship Id="rId14" Type="http://schemas.openxmlformats.org/officeDocument/2006/relationships/hyperlink" Target="http://pollitika.com/vrhovni-sud-srusio-trecu-presudu" TargetMode="External"/><Relationship Id="rId22" Type="http://schemas.openxmlformats.org/officeDocument/2006/relationships/hyperlink" Target="http://www.zakon.hr/cms.htm?id=2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A8FFA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7C45F-D1D6-452C-A258-F60B0179D6DF}">
  <ds:schemaRefs>
    <ds:schemaRef ds:uri="http://schemas.openxmlformats.org/officeDocument/2006/bibliography"/>
  </ds:schemaRefs>
</ds:datastoreItem>
</file>

<file path=customXml/itemProps10.xml><?xml version="1.0" encoding="utf-8"?>
<ds:datastoreItem xmlns:ds="http://schemas.openxmlformats.org/officeDocument/2006/customXml" ds:itemID="{1DEF7746-B323-4971-89F1-9636D345C5AA}">
  <ds:schemaRefs>
    <ds:schemaRef ds:uri="http://schemas.openxmlformats.org/officeDocument/2006/bibliography"/>
  </ds:schemaRefs>
</ds:datastoreItem>
</file>

<file path=customXml/itemProps11.xml><?xml version="1.0" encoding="utf-8"?>
<ds:datastoreItem xmlns:ds="http://schemas.openxmlformats.org/officeDocument/2006/customXml" ds:itemID="{8BE5912A-C014-4667-B981-E40F1E87B83B}">
  <ds:schemaRefs>
    <ds:schemaRef ds:uri="http://schemas.openxmlformats.org/officeDocument/2006/bibliography"/>
  </ds:schemaRefs>
</ds:datastoreItem>
</file>

<file path=customXml/itemProps12.xml><?xml version="1.0" encoding="utf-8"?>
<ds:datastoreItem xmlns:ds="http://schemas.openxmlformats.org/officeDocument/2006/customXml" ds:itemID="{66C9A652-121A-4218-90B6-C12D2586FD59}">
  <ds:schemaRefs>
    <ds:schemaRef ds:uri="http://schemas.openxmlformats.org/officeDocument/2006/bibliography"/>
  </ds:schemaRefs>
</ds:datastoreItem>
</file>

<file path=customXml/itemProps13.xml><?xml version="1.0" encoding="utf-8"?>
<ds:datastoreItem xmlns:ds="http://schemas.openxmlformats.org/officeDocument/2006/customXml" ds:itemID="{346CE4DF-6214-4D33-AEDB-95E6AD278CBC}">
  <ds:schemaRefs>
    <ds:schemaRef ds:uri="http://schemas.openxmlformats.org/officeDocument/2006/bibliography"/>
  </ds:schemaRefs>
</ds:datastoreItem>
</file>

<file path=customXml/itemProps14.xml><?xml version="1.0" encoding="utf-8"?>
<ds:datastoreItem xmlns:ds="http://schemas.openxmlformats.org/officeDocument/2006/customXml" ds:itemID="{A927735E-3714-4B74-8300-52AF8E779CDB}">
  <ds:schemaRefs>
    <ds:schemaRef ds:uri="http://schemas.openxmlformats.org/officeDocument/2006/bibliography"/>
  </ds:schemaRefs>
</ds:datastoreItem>
</file>

<file path=customXml/itemProps15.xml><?xml version="1.0" encoding="utf-8"?>
<ds:datastoreItem xmlns:ds="http://schemas.openxmlformats.org/officeDocument/2006/customXml" ds:itemID="{5D5428B8-AF0D-4B38-853A-0FBAAFF92784}">
  <ds:schemaRefs>
    <ds:schemaRef ds:uri="http://schemas.openxmlformats.org/officeDocument/2006/bibliography"/>
  </ds:schemaRefs>
</ds:datastoreItem>
</file>

<file path=customXml/itemProps16.xml><?xml version="1.0" encoding="utf-8"?>
<ds:datastoreItem xmlns:ds="http://schemas.openxmlformats.org/officeDocument/2006/customXml" ds:itemID="{B7980AA0-A6D7-4057-88ED-A95235E8A367}">
  <ds:schemaRefs>
    <ds:schemaRef ds:uri="http://schemas.openxmlformats.org/officeDocument/2006/bibliography"/>
  </ds:schemaRefs>
</ds:datastoreItem>
</file>

<file path=customXml/itemProps17.xml><?xml version="1.0" encoding="utf-8"?>
<ds:datastoreItem xmlns:ds="http://schemas.openxmlformats.org/officeDocument/2006/customXml" ds:itemID="{036F66FE-FDF1-406E-8C15-2420FC06F41D}">
  <ds:schemaRefs>
    <ds:schemaRef ds:uri="http://schemas.openxmlformats.org/officeDocument/2006/bibliography"/>
  </ds:schemaRefs>
</ds:datastoreItem>
</file>

<file path=customXml/itemProps18.xml><?xml version="1.0" encoding="utf-8"?>
<ds:datastoreItem xmlns:ds="http://schemas.openxmlformats.org/officeDocument/2006/customXml" ds:itemID="{FAA0375F-1D31-4A09-9999-C597C6F65A78}">
  <ds:schemaRefs>
    <ds:schemaRef ds:uri="http://schemas.openxmlformats.org/officeDocument/2006/bibliography"/>
  </ds:schemaRefs>
</ds:datastoreItem>
</file>

<file path=customXml/itemProps19.xml><?xml version="1.0" encoding="utf-8"?>
<ds:datastoreItem xmlns:ds="http://schemas.openxmlformats.org/officeDocument/2006/customXml" ds:itemID="{7F3CF25A-5176-4CE7-93FE-7BFCBACF8331}">
  <ds:schemaRefs>
    <ds:schemaRef ds:uri="http://schemas.openxmlformats.org/officeDocument/2006/bibliography"/>
  </ds:schemaRefs>
</ds:datastoreItem>
</file>

<file path=customXml/itemProps2.xml><?xml version="1.0" encoding="utf-8"?>
<ds:datastoreItem xmlns:ds="http://schemas.openxmlformats.org/officeDocument/2006/customXml" ds:itemID="{9B85F4FB-A5A8-4343-B5DC-6F95ED929D3B}">
  <ds:schemaRefs>
    <ds:schemaRef ds:uri="http://schemas.openxmlformats.org/officeDocument/2006/bibliography"/>
  </ds:schemaRefs>
</ds:datastoreItem>
</file>

<file path=customXml/itemProps20.xml><?xml version="1.0" encoding="utf-8"?>
<ds:datastoreItem xmlns:ds="http://schemas.openxmlformats.org/officeDocument/2006/customXml" ds:itemID="{5C276B3D-B9BE-420C-9FC1-AF9EA79C15C7}">
  <ds:schemaRefs>
    <ds:schemaRef ds:uri="http://schemas.openxmlformats.org/officeDocument/2006/bibliography"/>
  </ds:schemaRefs>
</ds:datastoreItem>
</file>

<file path=customXml/itemProps21.xml><?xml version="1.0" encoding="utf-8"?>
<ds:datastoreItem xmlns:ds="http://schemas.openxmlformats.org/officeDocument/2006/customXml" ds:itemID="{95A793BF-34E7-4798-B7C2-7FB4F7220345}">
  <ds:schemaRefs>
    <ds:schemaRef ds:uri="http://schemas.openxmlformats.org/officeDocument/2006/bibliography"/>
  </ds:schemaRefs>
</ds:datastoreItem>
</file>

<file path=customXml/itemProps22.xml><?xml version="1.0" encoding="utf-8"?>
<ds:datastoreItem xmlns:ds="http://schemas.openxmlformats.org/officeDocument/2006/customXml" ds:itemID="{2085676C-4550-449D-AD70-55D6721A9EEF}">
  <ds:schemaRefs>
    <ds:schemaRef ds:uri="http://schemas.openxmlformats.org/officeDocument/2006/bibliography"/>
  </ds:schemaRefs>
</ds:datastoreItem>
</file>

<file path=customXml/itemProps23.xml><?xml version="1.0" encoding="utf-8"?>
<ds:datastoreItem xmlns:ds="http://schemas.openxmlformats.org/officeDocument/2006/customXml" ds:itemID="{1EC3F75D-48D0-4549-A56E-BC4E112D4FC6}">
  <ds:schemaRefs>
    <ds:schemaRef ds:uri="http://schemas.openxmlformats.org/officeDocument/2006/bibliography"/>
  </ds:schemaRefs>
</ds:datastoreItem>
</file>

<file path=customXml/itemProps24.xml><?xml version="1.0" encoding="utf-8"?>
<ds:datastoreItem xmlns:ds="http://schemas.openxmlformats.org/officeDocument/2006/customXml" ds:itemID="{8145309D-4918-4B2B-BEF6-77E003A1AC69}">
  <ds:schemaRefs>
    <ds:schemaRef ds:uri="http://schemas.openxmlformats.org/officeDocument/2006/bibliography"/>
  </ds:schemaRefs>
</ds:datastoreItem>
</file>

<file path=customXml/itemProps3.xml><?xml version="1.0" encoding="utf-8"?>
<ds:datastoreItem xmlns:ds="http://schemas.openxmlformats.org/officeDocument/2006/customXml" ds:itemID="{D6B6AC71-9630-4F14-89D0-66162C475804}">
  <ds:schemaRefs>
    <ds:schemaRef ds:uri="http://schemas.openxmlformats.org/officeDocument/2006/bibliography"/>
  </ds:schemaRefs>
</ds:datastoreItem>
</file>

<file path=customXml/itemProps4.xml><?xml version="1.0" encoding="utf-8"?>
<ds:datastoreItem xmlns:ds="http://schemas.openxmlformats.org/officeDocument/2006/customXml" ds:itemID="{8F0C6258-4150-4AE8-B93E-8E22212E8781}">
  <ds:schemaRefs>
    <ds:schemaRef ds:uri="http://schemas.openxmlformats.org/officeDocument/2006/bibliography"/>
  </ds:schemaRefs>
</ds:datastoreItem>
</file>

<file path=customXml/itemProps5.xml><?xml version="1.0" encoding="utf-8"?>
<ds:datastoreItem xmlns:ds="http://schemas.openxmlformats.org/officeDocument/2006/customXml" ds:itemID="{10556E43-D427-4CE2-934E-A88EEDCAC509}">
  <ds:schemaRefs>
    <ds:schemaRef ds:uri="http://schemas.openxmlformats.org/officeDocument/2006/bibliography"/>
  </ds:schemaRefs>
</ds:datastoreItem>
</file>

<file path=customXml/itemProps6.xml><?xml version="1.0" encoding="utf-8"?>
<ds:datastoreItem xmlns:ds="http://schemas.openxmlformats.org/officeDocument/2006/customXml" ds:itemID="{00F123AD-DA0C-49D7-878A-54230993C87B}">
  <ds:schemaRefs>
    <ds:schemaRef ds:uri="http://schemas.openxmlformats.org/officeDocument/2006/bibliography"/>
  </ds:schemaRefs>
</ds:datastoreItem>
</file>

<file path=customXml/itemProps7.xml><?xml version="1.0" encoding="utf-8"?>
<ds:datastoreItem xmlns:ds="http://schemas.openxmlformats.org/officeDocument/2006/customXml" ds:itemID="{76717408-D006-4C52-A965-154B559FA4E1}">
  <ds:schemaRefs>
    <ds:schemaRef ds:uri="http://schemas.openxmlformats.org/officeDocument/2006/bibliography"/>
  </ds:schemaRefs>
</ds:datastoreItem>
</file>

<file path=customXml/itemProps8.xml><?xml version="1.0" encoding="utf-8"?>
<ds:datastoreItem xmlns:ds="http://schemas.openxmlformats.org/officeDocument/2006/customXml" ds:itemID="{1355DAC9-3661-4F60-A348-60D5C73564FD}">
  <ds:schemaRefs>
    <ds:schemaRef ds:uri="http://schemas.openxmlformats.org/officeDocument/2006/bibliography"/>
  </ds:schemaRefs>
</ds:datastoreItem>
</file>

<file path=customXml/itemProps9.xml><?xml version="1.0" encoding="utf-8"?>
<ds:datastoreItem xmlns:ds="http://schemas.openxmlformats.org/officeDocument/2006/customXml" ds:itemID="{6FEEC9F2-654A-4916-96C0-7601EED1A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72</Pages>
  <Words>23829</Words>
  <Characters>135831</Characters>
  <Application>Microsoft Office Word</Application>
  <DocSecurity>0</DocSecurity>
  <Lines>1131</Lines>
  <Paragraphs>318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159342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Ida</cp:lastModifiedBy>
  <cp:revision>5</cp:revision>
  <cp:lastPrinted>2014-04-28T07:57:00Z</cp:lastPrinted>
  <dcterms:created xsi:type="dcterms:W3CDTF">2014-04-30T09:17:00Z</dcterms:created>
  <dcterms:modified xsi:type="dcterms:W3CDTF">2014-04-30T09:28:00Z</dcterms:modified>
</cp:coreProperties>
</file>